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32920" w14:textId="04C54748" w:rsidR="005133C4" w:rsidRPr="006347E0" w:rsidRDefault="00187FA8" w:rsidP="005104F4">
      <w:pPr>
        <w:tabs>
          <w:tab w:val="right" w:pos="8505"/>
        </w:tabs>
        <w:spacing w:line="288" w:lineRule="auto"/>
        <w:jc w:val="right"/>
        <w:rPr>
          <w:rFonts w:cstheme="minorHAnsi"/>
          <w:sz w:val="20"/>
          <w:szCs w:val="20"/>
        </w:rPr>
      </w:pPr>
      <w:r w:rsidRPr="006347E0">
        <w:rPr>
          <w:rFonts w:cstheme="minorHAnsi"/>
          <w:sz w:val="20"/>
          <w:szCs w:val="20"/>
        </w:rPr>
        <w:t>Z</w:t>
      </w:r>
      <w:r w:rsidR="005133C4" w:rsidRPr="006347E0">
        <w:rPr>
          <w:rFonts w:cstheme="minorHAnsi"/>
          <w:sz w:val="20"/>
          <w:szCs w:val="20"/>
        </w:rPr>
        <w:t xml:space="preserve">ałącznik nr </w:t>
      </w:r>
      <w:r w:rsidR="00F743ED" w:rsidRPr="006347E0">
        <w:rPr>
          <w:rFonts w:cstheme="minorHAnsi"/>
          <w:sz w:val="20"/>
          <w:szCs w:val="20"/>
        </w:rPr>
        <w:t>9</w:t>
      </w:r>
      <w:r w:rsidR="00E70CEC" w:rsidRPr="006347E0">
        <w:rPr>
          <w:rFonts w:cstheme="minorHAnsi"/>
          <w:sz w:val="20"/>
          <w:szCs w:val="20"/>
        </w:rPr>
        <w:t xml:space="preserve"> </w:t>
      </w:r>
      <w:r w:rsidR="005133C4" w:rsidRPr="006347E0">
        <w:rPr>
          <w:rFonts w:cstheme="minorHAnsi"/>
          <w:sz w:val="20"/>
          <w:szCs w:val="20"/>
        </w:rPr>
        <w:t xml:space="preserve">do </w:t>
      </w:r>
      <w:r w:rsidR="00976FC2" w:rsidRPr="006347E0">
        <w:rPr>
          <w:rFonts w:eastAsia="Arial" w:cs="Arial"/>
          <w:sz w:val="20"/>
          <w:szCs w:val="20"/>
        </w:rPr>
        <w:t>Regulaminu wyboru projektów FENX.02.04-IW.01-001/23</w:t>
      </w:r>
    </w:p>
    <w:p w14:paraId="1C6B7A3B" w14:textId="623CEAB2" w:rsidR="00715D1C" w:rsidRDefault="00F173DD" w:rsidP="005104F4">
      <w:pPr>
        <w:pStyle w:val="Heading1"/>
        <w:spacing w:before="360" w:after="360" w:line="288" w:lineRule="auto"/>
        <w:jc w:val="center"/>
        <w:rPr>
          <w:rFonts w:cstheme="minorHAnsi"/>
        </w:rPr>
      </w:pPr>
      <w:r w:rsidRPr="00F173DD">
        <w:rPr>
          <w:b/>
          <w:bCs/>
          <w:color w:val="auto"/>
        </w:rPr>
        <w:t xml:space="preserve">Katalog kosztów pośrednich </w:t>
      </w:r>
    </w:p>
    <w:p w14:paraId="11446AD0" w14:textId="4F08B744" w:rsidR="004F5D0D" w:rsidRPr="000936D5" w:rsidRDefault="00967C69" w:rsidP="005104F4">
      <w:pPr>
        <w:spacing w:line="288" w:lineRule="auto"/>
      </w:pPr>
      <w:r w:rsidRPr="000936D5">
        <w:t xml:space="preserve">Koszty pośrednie to koszty niezbędne do realizacji projektu, których nie można bezpośrednio przypisać do głównego celu projektu, w szczególności koszty administracyjne związane z obsługą projektu, która nie wymaga podejmowania merytorycznych działań zmierzających do osiągnięcia celu projektu. </w:t>
      </w:r>
    </w:p>
    <w:p w14:paraId="594BB98B" w14:textId="7FD58596" w:rsidR="003F0C8E" w:rsidRPr="00B93027" w:rsidRDefault="00967C69" w:rsidP="005104F4">
      <w:pPr>
        <w:spacing w:line="288" w:lineRule="auto"/>
        <w:rPr>
          <w:b/>
          <w:bCs/>
        </w:rPr>
      </w:pPr>
      <w:r w:rsidRPr="000936D5">
        <w:t xml:space="preserve">Koszty pośrednie w projektach, realizowanych </w:t>
      </w:r>
      <w:r w:rsidR="00BB6FB2" w:rsidRPr="000936D5">
        <w:t xml:space="preserve">ze środków </w:t>
      </w:r>
      <w:proofErr w:type="spellStart"/>
      <w:r w:rsidR="004F5D0D" w:rsidRPr="000936D5">
        <w:t>FE</w:t>
      </w:r>
      <w:r w:rsidR="00210860" w:rsidRPr="000936D5">
        <w:t>nIKS</w:t>
      </w:r>
      <w:proofErr w:type="spellEnd"/>
      <w:r w:rsidR="00BB6FB2" w:rsidRPr="000936D5">
        <w:t xml:space="preserve">, są rozliczane </w:t>
      </w:r>
      <w:r w:rsidR="005133C4" w:rsidRPr="000936D5">
        <w:t xml:space="preserve">wyłącznie </w:t>
      </w:r>
      <w:r w:rsidR="00BB6FB2" w:rsidRPr="000936D5">
        <w:t>uproszczoną metodą rozliczania wydatków – stawką ryczałtową</w:t>
      </w:r>
      <w:r w:rsidR="00E8225A" w:rsidRPr="000936D5">
        <w:t>.</w:t>
      </w:r>
      <w:r w:rsidR="004F5D0D" w:rsidRPr="000936D5">
        <w:t xml:space="preserve"> </w:t>
      </w:r>
      <w:r w:rsidR="004F5D0D" w:rsidRPr="00B93027">
        <w:rPr>
          <w:b/>
          <w:bCs/>
        </w:rPr>
        <w:t xml:space="preserve">Wysokość stawki określona została w </w:t>
      </w:r>
      <w:r w:rsidR="005133C4" w:rsidRPr="00B93027">
        <w:rPr>
          <w:b/>
          <w:bCs/>
        </w:rPr>
        <w:t>§</w:t>
      </w:r>
      <w:r w:rsidR="00E70CEC" w:rsidRPr="00B93027">
        <w:rPr>
          <w:b/>
          <w:bCs/>
        </w:rPr>
        <w:t xml:space="preserve"> 5</w:t>
      </w:r>
      <w:r w:rsidR="005133C4" w:rsidRPr="00B93027">
        <w:rPr>
          <w:b/>
          <w:bCs/>
        </w:rPr>
        <w:t xml:space="preserve"> pkt </w:t>
      </w:r>
      <w:r w:rsidR="00210860" w:rsidRPr="00B93027">
        <w:rPr>
          <w:b/>
          <w:bCs/>
        </w:rPr>
        <w:t>6</w:t>
      </w:r>
      <w:r w:rsidR="005133C4" w:rsidRPr="00B93027">
        <w:rPr>
          <w:b/>
          <w:bCs/>
        </w:rPr>
        <w:t xml:space="preserve"> </w:t>
      </w:r>
      <w:r w:rsidR="004F5D0D" w:rsidRPr="00B93027">
        <w:rPr>
          <w:b/>
          <w:bCs/>
        </w:rPr>
        <w:t>Regulamin</w:t>
      </w:r>
      <w:r w:rsidR="005133C4" w:rsidRPr="00B93027">
        <w:rPr>
          <w:b/>
          <w:bCs/>
        </w:rPr>
        <w:t>u</w:t>
      </w:r>
      <w:r w:rsidR="004F5D0D" w:rsidRPr="00B93027">
        <w:rPr>
          <w:b/>
          <w:bCs/>
        </w:rPr>
        <w:t xml:space="preserve"> </w:t>
      </w:r>
      <w:r w:rsidR="00817A56" w:rsidRPr="00B93027">
        <w:rPr>
          <w:b/>
          <w:bCs/>
        </w:rPr>
        <w:t xml:space="preserve">wyboru </w:t>
      </w:r>
      <w:r w:rsidR="005133C4" w:rsidRPr="00B93027">
        <w:rPr>
          <w:b/>
          <w:bCs/>
        </w:rPr>
        <w:t>projektów</w:t>
      </w:r>
      <w:r w:rsidR="00F173DD" w:rsidRPr="00B93027">
        <w:rPr>
          <w:b/>
          <w:bCs/>
        </w:rPr>
        <w:t xml:space="preserve"> i wynosi 7 %</w:t>
      </w:r>
      <w:r w:rsidR="004F5D0D" w:rsidRPr="00B93027">
        <w:rPr>
          <w:b/>
          <w:bCs/>
        </w:rPr>
        <w:t>.</w:t>
      </w:r>
    </w:p>
    <w:p w14:paraId="7ED19A4E" w14:textId="423166A0" w:rsidR="002B6C57" w:rsidRPr="000936D5" w:rsidRDefault="002B6C57" w:rsidP="005104F4">
      <w:pPr>
        <w:spacing w:line="288" w:lineRule="auto"/>
      </w:pPr>
      <w:r w:rsidRPr="000936D5">
        <w:t xml:space="preserve">Kosztami pośrednimi </w:t>
      </w:r>
      <w:r w:rsidR="000C3C4E" w:rsidRPr="000936D5">
        <w:t>są:</w:t>
      </w:r>
      <w:r w:rsidRPr="000936D5">
        <w:t xml:space="preserve"> </w:t>
      </w:r>
    </w:p>
    <w:p w14:paraId="29A0702F" w14:textId="77777777" w:rsidR="00876134" w:rsidRDefault="000022BF" w:rsidP="005104F4">
      <w:pPr>
        <w:pStyle w:val="ListParagraph"/>
        <w:numPr>
          <w:ilvl w:val="0"/>
          <w:numId w:val="19"/>
        </w:numPr>
        <w:spacing w:line="288" w:lineRule="auto"/>
      </w:pPr>
      <w:r w:rsidRPr="000936D5">
        <w:t>Koszty poniesione na przygotowanie wniosku o dofinansowanie projektu, w szczególności:</w:t>
      </w:r>
    </w:p>
    <w:p w14:paraId="1C25B9AA" w14:textId="14089DF5" w:rsidR="005346ED" w:rsidRPr="000936D5" w:rsidRDefault="000022BF" w:rsidP="005104F4">
      <w:pPr>
        <w:pStyle w:val="ListParagraph"/>
        <w:numPr>
          <w:ilvl w:val="1"/>
          <w:numId w:val="24"/>
        </w:numPr>
        <w:spacing w:line="288" w:lineRule="auto"/>
      </w:pPr>
      <w:r w:rsidRPr="000936D5">
        <w:t>wydatki poniesione na opracowanie lub aktualizację dokumentacji niezbędnej do przygotowania wniosku o dofinansowanie projektu (w tym biznes plan, studium wykonalności lub ich elementy, mapy lub szkice sytuujące projekt),</w:t>
      </w:r>
    </w:p>
    <w:p w14:paraId="05D75E3A" w14:textId="13E83CD5" w:rsidR="000022BF" w:rsidRPr="000936D5" w:rsidRDefault="000022BF" w:rsidP="005104F4">
      <w:pPr>
        <w:pStyle w:val="ListParagraph"/>
        <w:numPr>
          <w:ilvl w:val="1"/>
          <w:numId w:val="24"/>
        </w:numPr>
        <w:spacing w:line="288" w:lineRule="auto"/>
      </w:pPr>
      <w:r w:rsidRPr="000936D5">
        <w:t>wydatki poniesione na nadzór nad przygotowaniem dokumentacji aplikacyjnej.</w:t>
      </w:r>
    </w:p>
    <w:p w14:paraId="0C75611F" w14:textId="5762E9AD" w:rsidR="002B6C57" w:rsidRPr="000936D5" w:rsidRDefault="00065868" w:rsidP="005104F4">
      <w:pPr>
        <w:pStyle w:val="ListParagraph"/>
        <w:numPr>
          <w:ilvl w:val="0"/>
          <w:numId w:val="19"/>
        </w:numPr>
        <w:spacing w:line="288" w:lineRule="auto"/>
      </w:pPr>
      <w:r w:rsidRPr="000936D5">
        <w:t xml:space="preserve">Koszty ogólne, w szczególności: </w:t>
      </w:r>
    </w:p>
    <w:p w14:paraId="77629E91" w14:textId="77777777" w:rsidR="004F36C2" w:rsidRPr="000936D5" w:rsidRDefault="00065868" w:rsidP="005104F4">
      <w:pPr>
        <w:pStyle w:val="ListParagraph"/>
        <w:numPr>
          <w:ilvl w:val="1"/>
          <w:numId w:val="21"/>
        </w:numPr>
        <w:spacing w:line="288" w:lineRule="auto"/>
      </w:pPr>
      <w:r w:rsidRPr="000936D5">
        <w:t>koszty utrzymania powierzchni biurowych (czynsz, najem, opłaty administracyjne),</w:t>
      </w:r>
    </w:p>
    <w:p w14:paraId="1AEA3E4E" w14:textId="7DA9D523" w:rsidR="00065868" w:rsidRPr="000936D5" w:rsidRDefault="00065868" w:rsidP="005104F4">
      <w:pPr>
        <w:pStyle w:val="ListParagraph"/>
        <w:numPr>
          <w:ilvl w:val="1"/>
          <w:numId w:val="21"/>
        </w:numPr>
        <w:spacing w:line="288" w:lineRule="auto"/>
      </w:pPr>
      <w:r w:rsidRPr="000936D5">
        <w:t>opłaty za energię elektryczną, cieplną, gazową i wodę, opłaty przesyłowe,</w:t>
      </w:r>
    </w:p>
    <w:p w14:paraId="2764F919" w14:textId="77777777" w:rsidR="00065868" w:rsidRPr="000936D5" w:rsidRDefault="00065868" w:rsidP="005104F4">
      <w:pPr>
        <w:pStyle w:val="ListParagraph"/>
        <w:numPr>
          <w:ilvl w:val="1"/>
          <w:numId w:val="21"/>
        </w:numPr>
        <w:spacing w:line="288" w:lineRule="auto"/>
      </w:pPr>
      <w:r w:rsidRPr="000936D5">
        <w:t>opłaty za odprowadzanie ścieków, opłaty za wywóz odpadów komunalnych,</w:t>
      </w:r>
    </w:p>
    <w:p w14:paraId="67B507DA" w14:textId="44DD03DD" w:rsidR="00065868" w:rsidRPr="000936D5" w:rsidRDefault="00065868" w:rsidP="005104F4">
      <w:pPr>
        <w:pStyle w:val="ListParagraph"/>
        <w:numPr>
          <w:ilvl w:val="1"/>
          <w:numId w:val="21"/>
        </w:numPr>
        <w:spacing w:line="288" w:lineRule="auto"/>
      </w:pPr>
      <w:r w:rsidRPr="000936D5">
        <w:t>koszty usług pocztowych, telefonicznych, internetowych, kurierskich,</w:t>
      </w:r>
    </w:p>
    <w:p w14:paraId="26FB12E2" w14:textId="3CCD7109" w:rsidR="00065868" w:rsidRPr="000936D5" w:rsidRDefault="00065868" w:rsidP="005104F4">
      <w:pPr>
        <w:pStyle w:val="ListParagraph"/>
        <w:numPr>
          <w:ilvl w:val="1"/>
          <w:numId w:val="21"/>
        </w:numPr>
        <w:spacing w:line="288" w:lineRule="auto"/>
      </w:pPr>
      <w:r w:rsidRPr="000936D5">
        <w:t>koszty usług powielania dokumentów,</w:t>
      </w:r>
    </w:p>
    <w:p w14:paraId="09103608" w14:textId="34399DF9" w:rsidR="00065868" w:rsidRPr="000936D5" w:rsidRDefault="00065868" w:rsidP="005104F4">
      <w:pPr>
        <w:pStyle w:val="ListParagraph"/>
        <w:numPr>
          <w:ilvl w:val="1"/>
          <w:numId w:val="21"/>
        </w:numPr>
        <w:spacing w:line="288" w:lineRule="auto"/>
      </w:pPr>
      <w:r w:rsidRPr="000936D5">
        <w:t>koszty materiałów biurowych i artykułów piśmienniczych,</w:t>
      </w:r>
    </w:p>
    <w:p w14:paraId="4DF580C9" w14:textId="121C5609" w:rsidR="00065868" w:rsidRPr="000936D5" w:rsidRDefault="00065868" w:rsidP="005104F4">
      <w:pPr>
        <w:pStyle w:val="ListParagraph"/>
        <w:numPr>
          <w:ilvl w:val="1"/>
          <w:numId w:val="21"/>
        </w:numPr>
        <w:spacing w:line="288" w:lineRule="auto"/>
      </w:pPr>
      <w:r w:rsidRPr="000936D5">
        <w:t>koszty ochrony,</w:t>
      </w:r>
    </w:p>
    <w:p w14:paraId="503FFD11" w14:textId="33C7A624" w:rsidR="00065868" w:rsidRPr="000936D5" w:rsidRDefault="00065868" w:rsidP="005104F4">
      <w:pPr>
        <w:pStyle w:val="ListParagraph"/>
        <w:numPr>
          <w:ilvl w:val="1"/>
          <w:numId w:val="21"/>
        </w:numPr>
        <w:spacing w:line="288" w:lineRule="auto"/>
      </w:pPr>
      <w:r w:rsidRPr="000936D5">
        <w:t>koszty sprzątania pomieszczeń, w tym środków czystości, dezynsekcji,</w:t>
      </w:r>
      <w:r w:rsidR="003E2BD3" w:rsidRPr="000936D5">
        <w:t xml:space="preserve"> </w:t>
      </w:r>
      <w:r w:rsidRPr="000936D5">
        <w:t>dezynfekcji, deratyzacji tych pomieszczeń.</w:t>
      </w:r>
    </w:p>
    <w:p w14:paraId="543B3BEE" w14:textId="548BF5F6" w:rsidR="00065868" w:rsidRPr="000936D5" w:rsidRDefault="00065868" w:rsidP="005104F4">
      <w:pPr>
        <w:pStyle w:val="ListParagraph"/>
        <w:numPr>
          <w:ilvl w:val="0"/>
          <w:numId w:val="19"/>
        </w:numPr>
        <w:spacing w:line="288" w:lineRule="auto"/>
      </w:pPr>
      <w:r w:rsidRPr="000936D5">
        <w:t xml:space="preserve">Koszty osobowe, w szczególności: </w:t>
      </w:r>
    </w:p>
    <w:p w14:paraId="4EE791BD" w14:textId="629DAB54" w:rsidR="00065868" w:rsidRPr="000936D5" w:rsidRDefault="00065868" w:rsidP="005104F4">
      <w:pPr>
        <w:pStyle w:val="ListParagraph"/>
        <w:numPr>
          <w:ilvl w:val="1"/>
          <w:numId w:val="22"/>
        </w:numPr>
        <w:spacing w:line="288" w:lineRule="auto"/>
      </w:pPr>
      <w:r w:rsidRPr="000936D5">
        <w:t>koszty koordynatora projektu oraz innego personelu zaangażowanego w zarządzanie, rozliczanie, monitorowanie projektu lub prowadzenie innych działań administracyjnych w projekcie, w szczególności koszty wynagrodzenia tych osób, ich delegacji służbowych i szkoleń,</w:t>
      </w:r>
    </w:p>
    <w:p w14:paraId="24CEE7AA" w14:textId="289455ED" w:rsidR="00065868" w:rsidRPr="000936D5" w:rsidRDefault="00065868" w:rsidP="005104F4">
      <w:pPr>
        <w:pStyle w:val="ListParagraph"/>
        <w:numPr>
          <w:ilvl w:val="1"/>
          <w:numId w:val="22"/>
        </w:numPr>
        <w:spacing w:line="288" w:lineRule="auto"/>
      </w:pPr>
      <w:r w:rsidRPr="000936D5">
        <w:t>koszty zarządu (wynagrodzenia osób uprawnionych do reprezentowania</w:t>
      </w:r>
    </w:p>
    <w:p w14:paraId="234CFFB6" w14:textId="3CBC8F4D" w:rsidR="00065868" w:rsidRPr="000936D5" w:rsidRDefault="00065868" w:rsidP="005104F4">
      <w:pPr>
        <w:pStyle w:val="ListParagraph"/>
        <w:numPr>
          <w:ilvl w:val="1"/>
          <w:numId w:val="22"/>
        </w:numPr>
        <w:spacing w:line="288" w:lineRule="auto"/>
      </w:pPr>
      <w:r w:rsidRPr="000936D5">
        <w:t>jednostki, których zakresy czynności nie są przypisane wyłącznie do projektu, np. kierownika jednostki),</w:t>
      </w:r>
    </w:p>
    <w:p w14:paraId="2114B5D3" w14:textId="092CB0C7" w:rsidR="00065868" w:rsidRPr="000936D5" w:rsidRDefault="00065868" w:rsidP="005104F4">
      <w:pPr>
        <w:pStyle w:val="ListParagraph"/>
        <w:numPr>
          <w:ilvl w:val="1"/>
          <w:numId w:val="22"/>
        </w:numPr>
        <w:spacing w:line="288" w:lineRule="auto"/>
      </w:pPr>
      <w:r w:rsidRPr="000936D5">
        <w:t>koszty personelu obsługowego (obsługa kadrowa, finansowa, administracyjna, sekretariat, kancelaria, obsługa prawna, w tym dotycząca zamówień) na potrzeby funkcjonowania jednostki,</w:t>
      </w:r>
    </w:p>
    <w:p w14:paraId="0BCB6569" w14:textId="11A800F9" w:rsidR="003E2BD3" w:rsidRPr="000936D5" w:rsidRDefault="00065868" w:rsidP="005104F4">
      <w:pPr>
        <w:pStyle w:val="ListParagraph"/>
        <w:numPr>
          <w:ilvl w:val="1"/>
          <w:numId w:val="22"/>
        </w:numPr>
        <w:spacing w:line="288" w:lineRule="auto"/>
      </w:pPr>
      <w:r w:rsidRPr="000936D5">
        <w:t>koszty obsługi księgowej (wynagrodzenia osób księgujących wydatki w projekcie, koszty związane ze zleceniem prowadzenia obsługi księgowej projektu biuru rachunkowemu)</w:t>
      </w:r>
      <w:r w:rsidR="00225B33" w:rsidRPr="000936D5">
        <w:t>,</w:t>
      </w:r>
      <w:r w:rsidRPr="000936D5">
        <w:t xml:space="preserve"> </w:t>
      </w:r>
    </w:p>
    <w:p w14:paraId="2B8B4F13" w14:textId="005E5235" w:rsidR="003E2BD3" w:rsidRPr="000936D5" w:rsidRDefault="003E2BD3" w:rsidP="005104F4">
      <w:pPr>
        <w:pStyle w:val="ListParagraph"/>
        <w:numPr>
          <w:ilvl w:val="0"/>
          <w:numId w:val="19"/>
        </w:numPr>
        <w:spacing w:line="288" w:lineRule="auto"/>
      </w:pPr>
      <w:r w:rsidRPr="000936D5">
        <w:rPr>
          <w:lang w:eastAsia="pl-PL"/>
        </w:rPr>
        <w:t>Koszty związane z wykorzystaniem informatycznych systemów wspomagających zarządzanie i monitorowanie</w:t>
      </w:r>
      <w:r w:rsidR="000A4845" w:rsidRPr="000936D5">
        <w:rPr>
          <w:lang w:eastAsia="pl-PL"/>
        </w:rPr>
        <w:t xml:space="preserve"> projektu</w:t>
      </w:r>
      <w:r w:rsidRPr="000936D5">
        <w:rPr>
          <w:lang w:eastAsia="pl-PL"/>
        </w:rPr>
        <w:t xml:space="preserve">; </w:t>
      </w:r>
    </w:p>
    <w:p w14:paraId="2EBEAC35" w14:textId="1EDBB84D" w:rsidR="004D6F40" w:rsidRPr="000936D5" w:rsidRDefault="004D6F40" w:rsidP="005104F4">
      <w:pPr>
        <w:pStyle w:val="ListParagraph"/>
        <w:numPr>
          <w:ilvl w:val="0"/>
          <w:numId w:val="19"/>
        </w:numPr>
        <w:spacing w:line="288" w:lineRule="auto"/>
      </w:pPr>
      <w:r w:rsidRPr="000936D5">
        <w:rPr>
          <w:lang w:eastAsia="pl-PL"/>
        </w:rPr>
        <w:t>Koszty związane z niezbędnymi ekspertyzami, poradami prawnymi, doradztwem finansowym lub technicznym;</w:t>
      </w:r>
    </w:p>
    <w:p w14:paraId="49D3D0C7" w14:textId="3D4046CB" w:rsidR="00831E8D" w:rsidRPr="000936D5" w:rsidRDefault="003E2BD3" w:rsidP="005104F4">
      <w:pPr>
        <w:pStyle w:val="ListParagraph"/>
        <w:numPr>
          <w:ilvl w:val="0"/>
          <w:numId w:val="19"/>
        </w:numPr>
        <w:spacing w:line="288" w:lineRule="auto"/>
        <w:rPr>
          <w:lang w:eastAsia="pl-PL"/>
        </w:rPr>
      </w:pPr>
      <w:r w:rsidRPr="000936D5">
        <w:rPr>
          <w:lang w:eastAsia="pl-PL"/>
        </w:rPr>
        <w:t>Koszty poniesione na szkolenia dla pracowników beneficjenta zaangażowanych w realizację przedmiotu projektu</w:t>
      </w:r>
      <w:r w:rsidR="000A4845" w:rsidRPr="000936D5">
        <w:rPr>
          <w:lang w:eastAsia="pl-PL"/>
        </w:rPr>
        <w:t>;</w:t>
      </w:r>
      <w:r w:rsidRPr="000936D5">
        <w:rPr>
          <w:lang w:eastAsia="pl-PL"/>
        </w:rPr>
        <w:t xml:space="preserve"> </w:t>
      </w:r>
    </w:p>
    <w:p w14:paraId="58CB7AB5" w14:textId="29708142" w:rsidR="00F968F7" w:rsidRPr="000936D5" w:rsidRDefault="00F968F7" w:rsidP="005104F4">
      <w:pPr>
        <w:pStyle w:val="ListParagraph"/>
        <w:numPr>
          <w:ilvl w:val="0"/>
          <w:numId w:val="19"/>
        </w:numPr>
        <w:spacing w:line="288" w:lineRule="auto"/>
        <w:rPr>
          <w:lang w:eastAsia="pl-PL"/>
        </w:rPr>
      </w:pPr>
      <w:r w:rsidRPr="000936D5">
        <w:rPr>
          <w:lang w:eastAsia="pl-PL"/>
        </w:rPr>
        <w:t>Koszty poniesione na audyty związane z realizacją projektu</w:t>
      </w:r>
      <w:r w:rsidRPr="004A4F9B">
        <w:rPr>
          <w:vertAlign w:val="superscript"/>
        </w:rPr>
        <w:footnoteReference w:id="2"/>
      </w:r>
      <w:r w:rsidR="004A4F9B">
        <w:rPr>
          <w:lang w:eastAsia="pl-PL"/>
        </w:rPr>
        <w:t>;</w:t>
      </w:r>
    </w:p>
    <w:p w14:paraId="45B50A20" w14:textId="1F26237A" w:rsidR="00831E8D" w:rsidRPr="000936D5" w:rsidRDefault="000A4845" w:rsidP="005104F4">
      <w:pPr>
        <w:pStyle w:val="ListParagraph"/>
        <w:numPr>
          <w:ilvl w:val="0"/>
          <w:numId w:val="19"/>
        </w:numPr>
        <w:spacing w:line="288" w:lineRule="auto"/>
        <w:rPr>
          <w:lang w:eastAsia="pl-PL"/>
        </w:rPr>
      </w:pPr>
      <w:r w:rsidRPr="000936D5">
        <w:rPr>
          <w:lang w:eastAsia="pl-PL"/>
        </w:rPr>
        <w:t xml:space="preserve">Koszty </w:t>
      </w:r>
      <w:r w:rsidR="003E2BD3" w:rsidRPr="000936D5">
        <w:rPr>
          <w:lang w:eastAsia="pl-PL"/>
        </w:rPr>
        <w:t>remont</w:t>
      </w:r>
      <w:r w:rsidRPr="000936D5">
        <w:rPr>
          <w:lang w:eastAsia="pl-PL"/>
        </w:rPr>
        <w:t>u</w:t>
      </w:r>
      <w:r w:rsidR="003E2BD3" w:rsidRPr="000936D5">
        <w:rPr>
          <w:lang w:eastAsia="pl-PL"/>
        </w:rPr>
        <w:t xml:space="preserve"> lub adaptacj</w:t>
      </w:r>
      <w:r w:rsidRPr="000936D5">
        <w:rPr>
          <w:lang w:eastAsia="pl-PL"/>
        </w:rPr>
        <w:t>i</w:t>
      </w:r>
      <w:r w:rsidR="003E2BD3" w:rsidRPr="000936D5">
        <w:rPr>
          <w:lang w:eastAsia="pl-PL"/>
        </w:rPr>
        <w:t xml:space="preserve"> powierzchni biurowej do potrzeb pracowników</w:t>
      </w:r>
      <w:r w:rsidRPr="000936D5">
        <w:rPr>
          <w:lang w:eastAsia="pl-PL"/>
        </w:rPr>
        <w:t xml:space="preserve"> beneficjenta;</w:t>
      </w:r>
    </w:p>
    <w:p w14:paraId="79188A28" w14:textId="49B769F3" w:rsidR="00831E8D" w:rsidRPr="000936D5" w:rsidRDefault="000A4845" w:rsidP="005104F4">
      <w:pPr>
        <w:pStyle w:val="ListParagraph"/>
        <w:numPr>
          <w:ilvl w:val="0"/>
          <w:numId w:val="19"/>
        </w:numPr>
        <w:spacing w:line="288" w:lineRule="auto"/>
        <w:rPr>
          <w:lang w:eastAsia="pl-PL"/>
        </w:rPr>
      </w:pPr>
      <w:r w:rsidRPr="000936D5">
        <w:rPr>
          <w:lang w:eastAsia="pl-PL"/>
        </w:rPr>
        <w:t xml:space="preserve">Koszty </w:t>
      </w:r>
      <w:r w:rsidR="003E2BD3" w:rsidRPr="000936D5">
        <w:rPr>
          <w:lang w:eastAsia="pl-PL"/>
        </w:rPr>
        <w:t>archiwizacj</w:t>
      </w:r>
      <w:r w:rsidRPr="000936D5">
        <w:rPr>
          <w:lang w:eastAsia="pl-PL"/>
        </w:rPr>
        <w:t>i</w:t>
      </w:r>
      <w:r w:rsidR="003E2BD3" w:rsidRPr="000936D5">
        <w:rPr>
          <w:lang w:eastAsia="pl-PL"/>
        </w:rPr>
        <w:t xml:space="preserve"> dokumentów związanych z realizacją projektu</w:t>
      </w:r>
      <w:r w:rsidRPr="000936D5">
        <w:rPr>
          <w:lang w:eastAsia="pl-PL"/>
        </w:rPr>
        <w:t>;</w:t>
      </w:r>
    </w:p>
    <w:p w14:paraId="06B67875" w14:textId="56B2FBE8" w:rsidR="000A4845" w:rsidRPr="000936D5" w:rsidRDefault="000A4845" w:rsidP="005104F4">
      <w:pPr>
        <w:pStyle w:val="ListParagraph"/>
        <w:numPr>
          <w:ilvl w:val="0"/>
          <w:numId w:val="19"/>
        </w:numPr>
        <w:spacing w:line="288" w:lineRule="auto"/>
      </w:pPr>
      <w:r w:rsidRPr="000936D5">
        <w:t>W</w:t>
      </w:r>
      <w:r w:rsidR="003E2BD3" w:rsidRPr="000936D5">
        <w:t>yda</w:t>
      </w:r>
      <w:r w:rsidRPr="000936D5">
        <w:t xml:space="preserve">tki </w:t>
      </w:r>
      <w:r w:rsidR="003E2BD3" w:rsidRPr="000936D5">
        <w:t xml:space="preserve">związane z otworzeniem lub prowadzeniem wyodrębnionego na rzecz </w:t>
      </w:r>
      <w:r w:rsidR="00831E8D" w:rsidRPr="000936D5">
        <w:t>p</w:t>
      </w:r>
      <w:r w:rsidR="003E2BD3" w:rsidRPr="000936D5">
        <w:t>rojektu subkonta na rachunku płatniczym lub odrębnego rachunku płatniczego</w:t>
      </w:r>
      <w:r w:rsidRPr="000936D5">
        <w:t>;</w:t>
      </w:r>
    </w:p>
    <w:p w14:paraId="17A1336E" w14:textId="5FB58A28" w:rsidR="000A4845" w:rsidRPr="000936D5" w:rsidRDefault="007454FC" w:rsidP="005104F4">
      <w:pPr>
        <w:pStyle w:val="ListParagraph"/>
        <w:numPr>
          <w:ilvl w:val="0"/>
          <w:numId w:val="19"/>
        </w:numPr>
        <w:spacing w:line="288" w:lineRule="auto"/>
      </w:pPr>
      <w:r w:rsidRPr="000936D5">
        <w:t>O</w:t>
      </w:r>
      <w:r w:rsidR="000A4845" w:rsidRPr="000936D5">
        <w:t>płaty pobierane od dokonywanych transakcji płatniczych (krajowych lub</w:t>
      </w:r>
      <w:r w:rsidR="00831E8D" w:rsidRPr="000936D5">
        <w:t xml:space="preserve"> </w:t>
      </w:r>
      <w:r w:rsidR="000A4845" w:rsidRPr="000936D5">
        <w:t>zagranicznych);</w:t>
      </w:r>
    </w:p>
    <w:p w14:paraId="0E89F986" w14:textId="5F46A1FE" w:rsidR="00412FC1" w:rsidRPr="000936D5" w:rsidRDefault="007454FC" w:rsidP="005104F4">
      <w:pPr>
        <w:pStyle w:val="ListParagraph"/>
        <w:numPr>
          <w:ilvl w:val="0"/>
          <w:numId w:val="19"/>
        </w:numPr>
        <w:spacing w:line="288" w:lineRule="auto"/>
      </w:pPr>
      <w:r w:rsidRPr="000936D5">
        <w:t>O</w:t>
      </w:r>
      <w:r w:rsidR="000A4845" w:rsidRPr="000936D5">
        <w:t>dpisy amortyzac</w:t>
      </w:r>
      <w:r w:rsidR="004B79CF" w:rsidRPr="000936D5">
        <w:t>y</w:t>
      </w:r>
      <w:r w:rsidR="000A4845" w:rsidRPr="000936D5">
        <w:t>j</w:t>
      </w:r>
      <w:r w:rsidR="004B79CF" w:rsidRPr="000936D5">
        <w:t>n</w:t>
      </w:r>
      <w:r w:rsidR="000A4845" w:rsidRPr="000936D5">
        <w:t xml:space="preserve">e, koszty najmu lub zakupu aktywów (środków trwałych i wartości niematerialnych i prawnych) używanych na potrzeby osób, o których mowa w lit. </w:t>
      </w:r>
      <w:r w:rsidR="005E56D8" w:rsidRPr="000936D5">
        <w:t>b</w:t>
      </w:r>
      <w:r w:rsidR="00831E8D" w:rsidRPr="000936D5">
        <w:t>)</w:t>
      </w:r>
      <w:r w:rsidR="00210860" w:rsidRPr="000936D5">
        <w:t>;</w:t>
      </w:r>
    </w:p>
    <w:p w14:paraId="76F5C1C6" w14:textId="17EBFDAE" w:rsidR="00065868" w:rsidRPr="000936D5" w:rsidRDefault="00412FC1" w:rsidP="005104F4">
      <w:pPr>
        <w:pStyle w:val="ListParagraph"/>
        <w:numPr>
          <w:ilvl w:val="0"/>
          <w:numId w:val="19"/>
        </w:numPr>
        <w:spacing w:line="288" w:lineRule="auto"/>
      </w:pPr>
      <w:r w:rsidRPr="000936D5">
        <w:t>Koszty eksploatacji służbowych samochodów osobowych.</w:t>
      </w:r>
    </w:p>
    <w:sectPr w:rsidR="00065868" w:rsidRPr="000936D5" w:rsidSect="00E6014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CB694" w14:textId="77777777" w:rsidR="0078238C" w:rsidRDefault="0078238C" w:rsidP="003E2BD3">
      <w:pPr>
        <w:spacing w:after="0" w:line="240" w:lineRule="auto"/>
      </w:pPr>
      <w:r>
        <w:separator/>
      </w:r>
    </w:p>
  </w:endnote>
  <w:endnote w:type="continuationSeparator" w:id="0">
    <w:p w14:paraId="5A85F041" w14:textId="77777777" w:rsidR="0078238C" w:rsidRDefault="0078238C" w:rsidP="003E2BD3">
      <w:pPr>
        <w:spacing w:after="0" w:line="240" w:lineRule="auto"/>
      </w:pPr>
      <w:r>
        <w:continuationSeparator/>
      </w:r>
    </w:p>
  </w:endnote>
  <w:endnote w:type="continuationNotice" w:id="1">
    <w:p w14:paraId="528699C5" w14:textId="77777777" w:rsidR="0078238C" w:rsidRDefault="007823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78397774"/>
      <w:docPartObj>
        <w:docPartGallery w:val="Page Numbers (Bottom of Page)"/>
        <w:docPartUnique/>
      </w:docPartObj>
    </w:sdtPr>
    <w:sdtContent>
      <w:sdt>
        <w:sdtPr>
          <w:id w:val="-1137558373"/>
          <w:docPartObj>
            <w:docPartGallery w:val="Page Numbers (Top of Page)"/>
            <w:docPartUnique/>
          </w:docPartObj>
        </w:sdtPr>
        <w:sdtContent>
          <w:p w14:paraId="28C7E98B" w14:textId="5B7BF84B" w:rsidR="00E60145" w:rsidRDefault="00E60145">
            <w:pPr>
              <w:pStyle w:val="Footer"/>
              <w:jc w:val="center"/>
            </w:pPr>
            <w:r w:rsidRPr="00E60145">
              <w:rPr>
                <w:sz w:val="20"/>
                <w:szCs w:val="20"/>
              </w:rPr>
              <w:t xml:space="preserve">Strona </w:t>
            </w:r>
            <w:r w:rsidRPr="00E60145">
              <w:rPr>
                <w:sz w:val="20"/>
                <w:szCs w:val="20"/>
              </w:rPr>
              <w:fldChar w:fldCharType="begin"/>
            </w:r>
            <w:r w:rsidRPr="00E60145">
              <w:rPr>
                <w:sz w:val="20"/>
                <w:szCs w:val="20"/>
              </w:rPr>
              <w:instrText>PAGE</w:instrText>
            </w:r>
            <w:r w:rsidRPr="00E60145">
              <w:rPr>
                <w:sz w:val="20"/>
                <w:szCs w:val="20"/>
              </w:rPr>
              <w:fldChar w:fldCharType="separate"/>
            </w:r>
            <w:r w:rsidRPr="00E60145">
              <w:rPr>
                <w:sz w:val="20"/>
                <w:szCs w:val="20"/>
              </w:rPr>
              <w:t>2</w:t>
            </w:r>
            <w:r w:rsidRPr="00E60145">
              <w:rPr>
                <w:sz w:val="20"/>
                <w:szCs w:val="20"/>
              </w:rPr>
              <w:fldChar w:fldCharType="end"/>
            </w:r>
            <w:r w:rsidRPr="00E60145">
              <w:rPr>
                <w:sz w:val="20"/>
                <w:szCs w:val="20"/>
              </w:rPr>
              <w:t xml:space="preserve"> z </w:t>
            </w:r>
            <w:r w:rsidRPr="00E60145">
              <w:rPr>
                <w:sz w:val="20"/>
                <w:szCs w:val="20"/>
              </w:rPr>
              <w:fldChar w:fldCharType="begin"/>
            </w:r>
            <w:r w:rsidRPr="00E60145">
              <w:rPr>
                <w:sz w:val="20"/>
                <w:szCs w:val="20"/>
              </w:rPr>
              <w:instrText>NUMPAGES</w:instrText>
            </w:r>
            <w:r w:rsidRPr="00E60145">
              <w:rPr>
                <w:sz w:val="20"/>
                <w:szCs w:val="20"/>
              </w:rPr>
              <w:fldChar w:fldCharType="separate"/>
            </w:r>
            <w:r w:rsidRPr="00E60145">
              <w:rPr>
                <w:sz w:val="20"/>
                <w:szCs w:val="20"/>
              </w:rPr>
              <w:t>2</w:t>
            </w:r>
            <w:r w:rsidRPr="00E60145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6BCFC365" w14:textId="77777777" w:rsidR="00031264" w:rsidRDefault="000312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5953084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DEA45B7" w14:textId="2422897F" w:rsidR="004A13D0" w:rsidRDefault="004A13D0">
            <w:pPr>
              <w:pStyle w:val="Footer"/>
              <w:jc w:val="center"/>
            </w:pPr>
            <w:r w:rsidRPr="00B12EEA">
              <w:rPr>
                <w:sz w:val="20"/>
                <w:szCs w:val="20"/>
              </w:rPr>
              <w:t xml:space="preserve">Strona </w:t>
            </w:r>
            <w:r w:rsidRPr="00B12EEA">
              <w:rPr>
                <w:sz w:val="20"/>
                <w:szCs w:val="20"/>
              </w:rPr>
              <w:fldChar w:fldCharType="begin"/>
            </w:r>
            <w:r w:rsidRPr="00B12EEA">
              <w:rPr>
                <w:sz w:val="20"/>
                <w:szCs w:val="20"/>
              </w:rPr>
              <w:instrText>PAGE</w:instrText>
            </w:r>
            <w:r w:rsidRPr="00B12EEA">
              <w:rPr>
                <w:sz w:val="20"/>
                <w:szCs w:val="20"/>
              </w:rPr>
              <w:fldChar w:fldCharType="separate"/>
            </w:r>
            <w:r w:rsidRPr="00B12EEA">
              <w:rPr>
                <w:sz w:val="20"/>
                <w:szCs w:val="20"/>
              </w:rPr>
              <w:t>2</w:t>
            </w:r>
            <w:r w:rsidRPr="00B12EEA">
              <w:rPr>
                <w:sz w:val="20"/>
                <w:szCs w:val="20"/>
              </w:rPr>
              <w:fldChar w:fldCharType="end"/>
            </w:r>
            <w:r w:rsidRPr="00B12EEA">
              <w:rPr>
                <w:sz w:val="20"/>
                <w:szCs w:val="20"/>
              </w:rPr>
              <w:t xml:space="preserve"> z </w:t>
            </w:r>
            <w:r w:rsidRPr="00B12EEA">
              <w:rPr>
                <w:sz w:val="20"/>
                <w:szCs w:val="20"/>
              </w:rPr>
              <w:fldChar w:fldCharType="begin"/>
            </w:r>
            <w:r w:rsidRPr="00B12EEA">
              <w:rPr>
                <w:sz w:val="20"/>
                <w:szCs w:val="20"/>
              </w:rPr>
              <w:instrText>NUMPAGES</w:instrText>
            </w:r>
            <w:r w:rsidRPr="00B12EEA">
              <w:rPr>
                <w:sz w:val="20"/>
                <w:szCs w:val="20"/>
              </w:rPr>
              <w:fldChar w:fldCharType="separate"/>
            </w:r>
            <w:r w:rsidRPr="00B12EEA">
              <w:rPr>
                <w:sz w:val="20"/>
                <w:szCs w:val="20"/>
              </w:rPr>
              <w:t>2</w:t>
            </w:r>
            <w:r w:rsidRPr="00B12EEA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2CE73BB4" w14:textId="77777777" w:rsidR="004A13D0" w:rsidRDefault="004A13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87E0A" w14:textId="77777777" w:rsidR="0078238C" w:rsidRDefault="0078238C" w:rsidP="003E2BD3">
      <w:pPr>
        <w:spacing w:after="0" w:line="240" w:lineRule="auto"/>
      </w:pPr>
      <w:r>
        <w:separator/>
      </w:r>
    </w:p>
  </w:footnote>
  <w:footnote w:type="continuationSeparator" w:id="0">
    <w:p w14:paraId="343A856E" w14:textId="77777777" w:rsidR="0078238C" w:rsidRDefault="0078238C" w:rsidP="003E2BD3">
      <w:pPr>
        <w:spacing w:after="0" w:line="240" w:lineRule="auto"/>
      </w:pPr>
      <w:r>
        <w:continuationSeparator/>
      </w:r>
    </w:p>
  </w:footnote>
  <w:footnote w:type="continuationNotice" w:id="1">
    <w:p w14:paraId="3EDD0BEF" w14:textId="77777777" w:rsidR="0078238C" w:rsidRDefault="0078238C">
      <w:pPr>
        <w:spacing w:after="0" w:line="240" w:lineRule="auto"/>
      </w:pPr>
    </w:p>
  </w:footnote>
  <w:footnote w:id="2">
    <w:p w14:paraId="5073FD7B" w14:textId="7A1504D7" w:rsidR="00F968F7" w:rsidRPr="00C822EB" w:rsidRDefault="00F968F7" w:rsidP="00F968F7">
      <w:pPr>
        <w:pStyle w:val="FootnoteText"/>
        <w:rPr>
          <w:rFonts w:asciiTheme="minorHAnsi" w:hAnsiTheme="minorHAnsi" w:cstheme="minorHAnsi"/>
        </w:rPr>
      </w:pPr>
      <w:r w:rsidRPr="00C822EB">
        <w:rPr>
          <w:rStyle w:val="FootnoteReference"/>
          <w:rFonts w:asciiTheme="minorHAnsi" w:hAnsiTheme="minorHAnsi" w:cstheme="minorHAnsi"/>
        </w:rPr>
        <w:footnoteRef/>
      </w:r>
      <w:r w:rsidRPr="00C822EB">
        <w:rPr>
          <w:rFonts w:asciiTheme="minorHAnsi" w:hAnsiTheme="minorHAnsi" w:cstheme="minorHAnsi"/>
        </w:rPr>
        <w:t xml:space="preserve"> Wszystkie audyty projektowe powinny być rozliczane w kosztach pośrednich, z wyjątkiem tych audytów, które stanowią przedmiot projektu w rozumieniu kwalifikowalności rzeczowej (wtedy stanowią koszty bezpośrednie projektu).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DF242" w14:textId="6493730A" w:rsidR="00194883" w:rsidRDefault="00194883">
    <w:pPr>
      <w:pStyle w:val="Header"/>
    </w:pPr>
    <w:r w:rsidRPr="007D38D8">
      <w:rPr>
        <w:noProof/>
        <w:lang w:eastAsia="pl-PL"/>
      </w:rPr>
      <w:drawing>
        <wp:inline distT="0" distB="0" distL="0" distR="0" wp14:anchorId="07B12BF1" wp14:editId="32EF5FD8">
          <wp:extent cx="5753100" cy="739140"/>
          <wp:effectExtent l="0" t="0" r="0" b="3810"/>
          <wp:docPr id="2" name="Picture 2" descr="Ciąg znaków, od lewej: logotyp Programu FEnIKS, logotyp Unii Europejskiej, logotyp Narodowego Funduszu Ochrony Środowiska i Gospodarki Wodn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iąg znaków, od lewej: logotyp Programu FEnIKS, logotyp Unii Europejskiej, logotyp Narodowego Funduszu Ochrony Środowiska i Gospodarki Wodnej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B71BF" w14:textId="21D415A5" w:rsidR="007848F0" w:rsidRDefault="007848F0">
    <w:pPr>
      <w:pStyle w:val="Header"/>
    </w:pPr>
    <w:r w:rsidRPr="007D38D8">
      <w:rPr>
        <w:noProof/>
        <w:lang w:eastAsia="pl-PL"/>
      </w:rPr>
      <w:drawing>
        <wp:inline distT="0" distB="0" distL="0" distR="0" wp14:anchorId="604F2891" wp14:editId="6219C2E0">
          <wp:extent cx="5753100" cy="739140"/>
          <wp:effectExtent l="0" t="0" r="0" b="3810"/>
          <wp:docPr id="1" name="Picture 1" descr="Ciąg znaków, od lewej: logotyp Programu FEnIKS, logotyp Unii Europejskiej, logotyp Narodowego Funduszu Ochrony Środowiska i Gospodarki Wodn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ąg znaków, od lewej: logotyp Programu FEnIKS, logotyp Unii Europejskiej, logotyp Narodowego Funduszu Ochrony Środowiska i Gospodarki Wodnej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1227D"/>
    <w:multiLevelType w:val="hybridMultilevel"/>
    <w:tmpl w:val="E04EBD6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101144"/>
    <w:multiLevelType w:val="hybridMultilevel"/>
    <w:tmpl w:val="AFB43E12"/>
    <w:lvl w:ilvl="0" w:tplc="FFFFFFFF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11F943E9"/>
    <w:multiLevelType w:val="hybridMultilevel"/>
    <w:tmpl w:val="22C8B57C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1388749B"/>
    <w:multiLevelType w:val="multilevel"/>
    <w:tmpl w:val="8BB2C82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531" w:hanging="510"/>
      </w:pPr>
      <w:rPr>
        <w:rFonts w:hint="default"/>
      </w:rPr>
    </w:lvl>
    <w:lvl w:ilvl="3">
      <w:start w:val="1"/>
      <w:numFmt w:val="none"/>
      <w:lvlText w:val="i)"/>
      <w:lvlJc w:val="left"/>
      <w:pPr>
        <w:tabs>
          <w:tab w:val="num" w:pos="1588"/>
        </w:tabs>
        <w:ind w:left="181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4024901"/>
    <w:multiLevelType w:val="hybridMultilevel"/>
    <w:tmpl w:val="E5185E32"/>
    <w:lvl w:ilvl="0" w:tplc="04150011">
      <w:start w:val="1"/>
      <w:numFmt w:val="decimal"/>
      <w:lvlText w:val="%1)"/>
      <w:lvlJc w:val="left"/>
      <w:pPr>
        <w:ind w:left="1381" w:hanging="360"/>
      </w:pPr>
    </w:lvl>
    <w:lvl w:ilvl="1" w:tplc="04150019" w:tentative="1">
      <w:start w:val="1"/>
      <w:numFmt w:val="lowerLetter"/>
      <w:lvlText w:val="%2."/>
      <w:lvlJc w:val="left"/>
      <w:pPr>
        <w:ind w:left="2101" w:hanging="360"/>
      </w:pPr>
    </w:lvl>
    <w:lvl w:ilvl="2" w:tplc="0415001B" w:tentative="1">
      <w:start w:val="1"/>
      <w:numFmt w:val="lowerRoman"/>
      <w:lvlText w:val="%3."/>
      <w:lvlJc w:val="right"/>
      <w:pPr>
        <w:ind w:left="2821" w:hanging="180"/>
      </w:pPr>
    </w:lvl>
    <w:lvl w:ilvl="3" w:tplc="0415000F" w:tentative="1">
      <w:start w:val="1"/>
      <w:numFmt w:val="decimal"/>
      <w:lvlText w:val="%4."/>
      <w:lvlJc w:val="left"/>
      <w:pPr>
        <w:ind w:left="3541" w:hanging="360"/>
      </w:pPr>
    </w:lvl>
    <w:lvl w:ilvl="4" w:tplc="04150019" w:tentative="1">
      <w:start w:val="1"/>
      <w:numFmt w:val="lowerLetter"/>
      <w:lvlText w:val="%5."/>
      <w:lvlJc w:val="left"/>
      <w:pPr>
        <w:ind w:left="4261" w:hanging="360"/>
      </w:pPr>
    </w:lvl>
    <w:lvl w:ilvl="5" w:tplc="0415001B" w:tentative="1">
      <w:start w:val="1"/>
      <w:numFmt w:val="lowerRoman"/>
      <w:lvlText w:val="%6."/>
      <w:lvlJc w:val="right"/>
      <w:pPr>
        <w:ind w:left="4981" w:hanging="180"/>
      </w:pPr>
    </w:lvl>
    <w:lvl w:ilvl="6" w:tplc="0415000F" w:tentative="1">
      <w:start w:val="1"/>
      <w:numFmt w:val="decimal"/>
      <w:lvlText w:val="%7."/>
      <w:lvlJc w:val="left"/>
      <w:pPr>
        <w:ind w:left="5701" w:hanging="360"/>
      </w:pPr>
    </w:lvl>
    <w:lvl w:ilvl="7" w:tplc="04150019" w:tentative="1">
      <w:start w:val="1"/>
      <w:numFmt w:val="lowerLetter"/>
      <w:lvlText w:val="%8."/>
      <w:lvlJc w:val="left"/>
      <w:pPr>
        <w:ind w:left="6421" w:hanging="360"/>
      </w:pPr>
    </w:lvl>
    <w:lvl w:ilvl="8" w:tplc="0415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5" w15:restartNumberingAfterBreak="0">
    <w:nsid w:val="18762641"/>
    <w:multiLevelType w:val="hybridMultilevel"/>
    <w:tmpl w:val="E0802CBE"/>
    <w:lvl w:ilvl="0" w:tplc="FFFFFFFF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E7B3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CD543C8"/>
    <w:multiLevelType w:val="multilevel"/>
    <w:tmpl w:val="F33CFD1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7" w:hanging="360"/>
      </w:pPr>
    </w:lvl>
    <w:lvl w:ilvl="2">
      <w:start w:val="1"/>
      <w:numFmt w:val="none"/>
      <w:lvlText w:val="a)"/>
      <w:lvlJc w:val="left"/>
      <w:pPr>
        <w:ind w:left="1531" w:hanging="510"/>
      </w:pPr>
      <w:rPr>
        <w:rFonts w:hint="default"/>
      </w:rPr>
    </w:lvl>
    <w:lvl w:ilvl="3">
      <w:start w:val="1"/>
      <w:numFmt w:val="none"/>
      <w:lvlText w:val="i)"/>
      <w:lvlJc w:val="left"/>
      <w:pPr>
        <w:tabs>
          <w:tab w:val="num" w:pos="1588"/>
        </w:tabs>
        <w:ind w:left="181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E2944CB"/>
    <w:multiLevelType w:val="multilevel"/>
    <w:tmpl w:val="281E803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7" w:hanging="360"/>
      </w:pPr>
    </w:lvl>
    <w:lvl w:ilvl="2">
      <w:start w:val="1"/>
      <w:numFmt w:val="none"/>
      <w:lvlText w:val="a)"/>
      <w:lvlJc w:val="left"/>
      <w:pPr>
        <w:ind w:left="1531" w:hanging="510"/>
      </w:pPr>
      <w:rPr>
        <w:rFonts w:hint="default"/>
      </w:rPr>
    </w:lvl>
    <w:lvl w:ilvl="3">
      <w:start w:val="1"/>
      <w:numFmt w:val="none"/>
      <w:lvlText w:val="i)"/>
      <w:lvlJc w:val="left"/>
      <w:pPr>
        <w:tabs>
          <w:tab w:val="num" w:pos="1588"/>
        </w:tabs>
        <w:ind w:left="181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EAF6564"/>
    <w:multiLevelType w:val="multilevel"/>
    <w:tmpl w:val="2E16736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none"/>
      <w:lvlText w:val="1)"/>
      <w:lvlJc w:val="left"/>
      <w:pPr>
        <w:ind w:left="1021" w:hanging="454"/>
      </w:pPr>
      <w:rPr>
        <w:rFonts w:hint="default"/>
      </w:rPr>
    </w:lvl>
    <w:lvl w:ilvl="2">
      <w:start w:val="1"/>
      <w:numFmt w:val="none"/>
      <w:lvlText w:val="a)"/>
      <w:lvlJc w:val="left"/>
      <w:pPr>
        <w:ind w:left="1531" w:hanging="510"/>
      </w:pPr>
      <w:rPr>
        <w:rFonts w:hint="default"/>
      </w:rPr>
    </w:lvl>
    <w:lvl w:ilvl="3">
      <w:start w:val="1"/>
      <w:numFmt w:val="none"/>
      <w:lvlText w:val="i)"/>
      <w:lvlJc w:val="left"/>
      <w:pPr>
        <w:tabs>
          <w:tab w:val="num" w:pos="1588"/>
        </w:tabs>
        <w:ind w:left="181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6A36CFE"/>
    <w:multiLevelType w:val="multilevel"/>
    <w:tmpl w:val="2E16736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none"/>
      <w:lvlText w:val="1)"/>
      <w:lvlJc w:val="left"/>
      <w:pPr>
        <w:ind w:left="1021" w:hanging="454"/>
      </w:pPr>
      <w:rPr>
        <w:rFonts w:hint="default"/>
      </w:rPr>
    </w:lvl>
    <w:lvl w:ilvl="2">
      <w:start w:val="1"/>
      <w:numFmt w:val="none"/>
      <w:lvlText w:val="a)"/>
      <w:lvlJc w:val="left"/>
      <w:pPr>
        <w:ind w:left="1531" w:hanging="510"/>
      </w:pPr>
      <w:rPr>
        <w:rFonts w:hint="default"/>
      </w:rPr>
    </w:lvl>
    <w:lvl w:ilvl="3">
      <w:start w:val="1"/>
      <w:numFmt w:val="none"/>
      <w:lvlText w:val="i)"/>
      <w:lvlJc w:val="left"/>
      <w:pPr>
        <w:tabs>
          <w:tab w:val="num" w:pos="1588"/>
        </w:tabs>
        <w:ind w:left="181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5536E5B"/>
    <w:multiLevelType w:val="hybridMultilevel"/>
    <w:tmpl w:val="6974F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024CA"/>
    <w:multiLevelType w:val="multilevel"/>
    <w:tmpl w:val="2E16736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none"/>
      <w:lvlText w:val="1)"/>
      <w:lvlJc w:val="left"/>
      <w:pPr>
        <w:ind w:left="1021" w:hanging="454"/>
      </w:pPr>
      <w:rPr>
        <w:rFonts w:hint="default"/>
      </w:rPr>
    </w:lvl>
    <w:lvl w:ilvl="2">
      <w:start w:val="1"/>
      <w:numFmt w:val="none"/>
      <w:lvlText w:val="a)"/>
      <w:lvlJc w:val="left"/>
      <w:pPr>
        <w:ind w:left="1531" w:hanging="510"/>
      </w:pPr>
      <w:rPr>
        <w:rFonts w:hint="default"/>
      </w:rPr>
    </w:lvl>
    <w:lvl w:ilvl="3">
      <w:start w:val="1"/>
      <w:numFmt w:val="none"/>
      <w:lvlText w:val="i)"/>
      <w:lvlJc w:val="left"/>
      <w:pPr>
        <w:tabs>
          <w:tab w:val="num" w:pos="1588"/>
        </w:tabs>
        <w:ind w:left="181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C9F5EFC"/>
    <w:multiLevelType w:val="hybridMultilevel"/>
    <w:tmpl w:val="536A8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F315F"/>
    <w:multiLevelType w:val="multilevel"/>
    <w:tmpl w:val="2E16736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none"/>
      <w:lvlText w:val="1)"/>
      <w:lvlJc w:val="left"/>
      <w:pPr>
        <w:ind w:left="1021" w:hanging="454"/>
      </w:pPr>
      <w:rPr>
        <w:rFonts w:hint="default"/>
      </w:rPr>
    </w:lvl>
    <w:lvl w:ilvl="2">
      <w:start w:val="1"/>
      <w:numFmt w:val="none"/>
      <w:lvlText w:val="a)"/>
      <w:lvlJc w:val="left"/>
      <w:pPr>
        <w:ind w:left="1531" w:hanging="510"/>
      </w:pPr>
      <w:rPr>
        <w:rFonts w:hint="default"/>
      </w:rPr>
    </w:lvl>
    <w:lvl w:ilvl="3">
      <w:start w:val="1"/>
      <w:numFmt w:val="none"/>
      <w:lvlText w:val="i)"/>
      <w:lvlJc w:val="left"/>
      <w:pPr>
        <w:tabs>
          <w:tab w:val="num" w:pos="1588"/>
        </w:tabs>
        <w:ind w:left="181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3FF5699"/>
    <w:multiLevelType w:val="hybridMultilevel"/>
    <w:tmpl w:val="EE8E6AB2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51CB2E9C"/>
    <w:multiLevelType w:val="hybridMultilevel"/>
    <w:tmpl w:val="8306E008"/>
    <w:lvl w:ilvl="0" w:tplc="4D7E67AA">
      <w:start w:val="1"/>
      <w:numFmt w:val="decimal"/>
      <w:lvlText w:val="%1)"/>
      <w:lvlJc w:val="left"/>
      <w:pPr>
        <w:ind w:left="502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A6242"/>
    <w:multiLevelType w:val="hybridMultilevel"/>
    <w:tmpl w:val="AFB43E12"/>
    <w:lvl w:ilvl="0" w:tplc="FFFFFFFF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635D451E"/>
    <w:multiLevelType w:val="hybridMultilevel"/>
    <w:tmpl w:val="F230DE3A"/>
    <w:lvl w:ilvl="0" w:tplc="03506D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417110B"/>
    <w:multiLevelType w:val="hybridMultilevel"/>
    <w:tmpl w:val="0326496C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10E7F99"/>
    <w:multiLevelType w:val="hybridMultilevel"/>
    <w:tmpl w:val="F230DE3A"/>
    <w:lvl w:ilvl="0" w:tplc="03506D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1326A26"/>
    <w:multiLevelType w:val="hybridMultilevel"/>
    <w:tmpl w:val="1B60A1A4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759A68B5"/>
    <w:multiLevelType w:val="multilevel"/>
    <w:tmpl w:val="2E16736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none"/>
      <w:lvlText w:val="1)"/>
      <w:lvlJc w:val="left"/>
      <w:pPr>
        <w:ind w:left="1021" w:hanging="454"/>
      </w:pPr>
      <w:rPr>
        <w:rFonts w:hint="default"/>
      </w:rPr>
    </w:lvl>
    <w:lvl w:ilvl="2">
      <w:start w:val="1"/>
      <w:numFmt w:val="none"/>
      <w:lvlText w:val="a)"/>
      <w:lvlJc w:val="left"/>
      <w:pPr>
        <w:ind w:left="1531" w:hanging="510"/>
      </w:pPr>
      <w:rPr>
        <w:rFonts w:hint="default"/>
      </w:rPr>
    </w:lvl>
    <w:lvl w:ilvl="3">
      <w:start w:val="1"/>
      <w:numFmt w:val="none"/>
      <w:lvlText w:val="i)"/>
      <w:lvlJc w:val="left"/>
      <w:pPr>
        <w:tabs>
          <w:tab w:val="num" w:pos="1588"/>
        </w:tabs>
        <w:ind w:left="181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9D23CB8"/>
    <w:multiLevelType w:val="multilevel"/>
    <w:tmpl w:val="447EE35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7" w:hanging="360"/>
      </w:pPr>
    </w:lvl>
    <w:lvl w:ilvl="2">
      <w:start w:val="1"/>
      <w:numFmt w:val="none"/>
      <w:lvlText w:val="a)"/>
      <w:lvlJc w:val="left"/>
      <w:pPr>
        <w:ind w:left="1531" w:hanging="510"/>
      </w:pPr>
      <w:rPr>
        <w:rFonts w:hint="default"/>
      </w:rPr>
    </w:lvl>
    <w:lvl w:ilvl="3">
      <w:start w:val="1"/>
      <w:numFmt w:val="none"/>
      <w:lvlText w:val="i)"/>
      <w:lvlJc w:val="left"/>
      <w:pPr>
        <w:tabs>
          <w:tab w:val="num" w:pos="1588"/>
        </w:tabs>
        <w:ind w:left="181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43914220">
    <w:abstractNumId w:val="13"/>
  </w:num>
  <w:num w:numId="2" w16cid:durableId="83191637">
    <w:abstractNumId w:val="11"/>
  </w:num>
  <w:num w:numId="3" w16cid:durableId="1218853888">
    <w:abstractNumId w:val="0"/>
  </w:num>
  <w:num w:numId="4" w16cid:durableId="144322354">
    <w:abstractNumId w:val="2"/>
  </w:num>
  <w:num w:numId="5" w16cid:durableId="1516378490">
    <w:abstractNumId w:val="15"/>
  </w:num>
  <w:num w:numId="6" w16cid:durableId="2095126572">
    <w:abstractNumId w:val="21"/>
  </w:num>
  <w:num w:numId="7" w16cid:durableId="1833447610">
    <w:abstractNumId w:val="19"/>
  </w:num>
  <w:num w:numId="8" w16cid:durableId="66612182">
    <w:abstractNumId w:val="16"/>
  </w:num>
  <w:num w:numId="9" w16cid:durableId="204294669">
    <w:abstractNumId w:val="5"/>
  </w:num>
  <w:num w:numId="10" w16cid:durableId="759718374">
    <w:abstractNumId w:val="18"/>
  </w:num>
  <w:num w:numId="11" w16cid:durableId="838347194">
    <w:abstractNumId w:val="20"/>
  </w:num>
  <w:num w:numId="12" w16cid:durableId="1143424639">
    <w:abstractNumId w:val="17"/>
  </w:num>
  <w:num w:numId="13" w16cid:durableId="255406339">
    <w:abstractNumId w:val="1"/>
  </w:num>
  <w:num w:numId="14" w16cid:durableId="1917858578">
    <w:abstractNumId w:val="22"/>
  </w:num>
  <w:num w:numId="15" w16cid:durableId="1630936280">
    <w:abstractNumId w:val="12"/>
  </w:num>
  <w:num w:numId="16" w16cid:durableId="650602089">
    <w:abstractNumId w:val="6"/>
  </w:num>
  <w:num w:numId="17" w16cid:durableId="727608884">
    <w:abstractNumId w:val="9"/>
  </w:num>
  <w:num w:numId="18" w16cid:durableId="1164122974">
    <w:abstractNumId w:val="4"/>
  </w:num>
  <w:num w:numId="19" w16cid:durableId="674646478">
    <w:abstractNumId w:val="10"/>
  </w:num>
  <w:num w:numId="20" w16cid:durableId="1437094495">
    <w:abstractNumId w:val="14"/>
  </w:num>
  <w:num w:numId="21" w16cid:durableId="1968512448">
    <w:abstractNumId w:val="8"/>
  </w:num>
  <w:num w:numId="22" w16cid:durableId="742145825">
    <w:abstractNumId w:val="23"/>
  </w:num>
  <w:num w:numId="23" w16cid:durableId="571739584">
    <w:abstractNumId w:val="3"/>
  </w:num>
  <w:num w:numId="24" w16cid:durableId="2318133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2C0"/>
    <w:rsid w:val="000022BF"/>
    <w:rsid w:val="00031264"/>
    <w:rsid w:val="0006104B"/>
    <w:rsid w:val="00065868"/>
    <w:rsid w:val="00072A68"/>
    <w:rsid w:val="000757C2"/>
    <w:rsid w:val="000936D5"/>
    <w:rsid w:val="000A24D5"/>
    <w:rsid w:val="000A4845"/>
    <w:rsid w:val="000C1254"/>
    <w:rsid w:val="000C3C4E"/>
    <w:rsid w:val="00143372"/>
    <w:rsid w:val="00175A26"/>
    <w:rsid w:val="00187FA8"/>
    <w:rsid w:val="00194883"/>
    <w:rsid w:val="001B1B8B"/>
    <w:rsid w:val="001D15FF"/>
    <w:rsid w:val="002003B0"/>
    <w:rsid w:val="00210860"/>
    <w:rsid w:val="002154CC"/>
    <w:rsid w:val="00223685"/>
    <w:rsid w:val="00225B33"/>
    <w:rsid w:val="00260877"/>
    <w:rsid w:val="002B2203"/>
    <w:rsid w:val="002B6C57"/>
    <w:rsid w:val="002C4050"/>
    <w:rsid w:val="002C6588"/>
    <w:rsid w:val="002D574E"/>
    <w:rsid w:val="002E1AAA"/>
    <w:rsid w:val="002F04A1"/>
    <w:rsid w:val="002F3280"/>
    <w:rsid w:val="0035214C"/>
    <w:rsid w:val="0039754A"/>
    <w:rsid w:val="003C73FF"/>
    <w:rsid w:val="003D453E"/>
    <w:rsid w:val="003D7FA4"/>
    <w:rsid w:val="003E2BD3"/>
    <w:rsid w:val="003E335E"/>
    <w:rsid w:val="003F0C8E"/>
    <w:rsid w:val="00412FC1"/>
    <w:rsid w:val="00413784"/>
    <w:rsid w:val="004241E7"/>
    <w:rsid w:val="00437DB5"/>
    <w:rsid w:val="00473F6E"/>
    <w:rsid w:val="00474642"/>
    <w:rsid w:val="00477578"/>
    <w:rsid w:val="004776EC"/>
    <w:rsid w:val="00491DB6"/>
    <w:rsid w:val="004A13D0"/>
    <w:rsid w:val="004A4F9B"/>
    <w:rsid w:val="004B79CF"/>
    <w:rsid w:val="004C3B79"/>
    <w:rsid w:val="004D6F40"/>
    <w:rsid w:val="004D7406"/>
    <w:rsid w:val="004F36C2"/>
    <w:rsid w:val="004F5D0D"/>
    <w:rsid w:val="00505CAB"/>
    <w:rsid w:val="005104F4"/>
    <w:rsid w:val="005133C4"/>
    <w:rsid w:val="005346ED"/>
    <w:rsid w:val="00536C78"/>
    <w:rsid w:val="00571CD2"/>
    <w:rsid w:val="0057273F"/>
    <w:rsid w:val="005D46D7"/>
    <w:rsid w:val="005D6C2E"/>
    <w:rsid w:val="005E56D8"/>
    <w:rsid w:val="00610959"/>
    <w:rsid w:val="0061713A"/>
    <w:rsid w:val="00621D2B"/>
    <w:rsid w:val="006347E0"/>
    <w:rsid w:val="006675B4"/>
    <w:rsid w:val="0067758C"/>
    <w:rsid w:val="006A103C"/>
    <w:rsid w:val="006A57A4"/>
    <w:rsid w:val="006D2BCF"/>
    <w:rsid w:val="006D2E1D"/>
    <w:rsid w:val="006F3793"/>
    <w:rsid w:val="00715D1C"/>
    <w:rsid w:val="007378F6"/>
    <w:rsid w:val="007454FC"/>
    <w:rsid w:val="00756DE2"/>
    <w:rsid w:val="0078238C"/>
    <w:rsid w:val="007848F0"/>
    <w:rsid w:val="00790F45"/>
    <w:rsid w:val="007A66EB"/>
    <w:rsid w:val="007D4488"/>
    <w:rsid w:val="007F5870"/>
    <w:rsid w:val="00807694"/>
    <w:rsid w:val="00817A56"/>
    <w:rsid w:val="00831E8D"/>
    <w:rsid w:val="00866506"/>
    <w:rsid w:val="00876134"/>
    <w:rsid w:val="00897DA5"/>
    <w:rsid w:val="00897FD7"/>
    <w:rsid w:val="008F5C98"/>
    <w:rsid w:val="00906624"/>
    <w:rsid w:val="00906BF6"/>
    <w:rsid w:val="009222C0"/>
    <w:rsid w:val="00936082"/>
    <w:rsid w:val="009407D8"/>
    <w:rsid w:val="009443E5"/>
    <w:rsid w:val="00956D5C"/>
    <w:rsid w:val="00967C69"/>
    <w:rsid w:val="00976FC2"/>
    <w:rsid w:val="009A10FD"/>
    <w:rsid w:val="009C7AC6"/>
    <w:rsid w:val="009E1FBA"/>
    <w:rsid w:val="009F3CBF"/>
    <w:rsid w:val="00A274E7"/>
    <w:rsid w:val="00A61611"/>
    <w:rsid w:val="00A85C6D"/>
    <w:rsid w:val="00AA27BD"/>
    <w:rsid w:val="00AD2416"/>
    <w:rsid w:val="00AE5241"/>
    <w:rsid w:val="00B10ACA"/>
    <w:rsid w:val="00B12EEA"/>
    <w:rsid w:val="00B47E1C"/>
    <w:rsid w:val="00B5433B"/>
    <w:rsid w:val="00B93027"/>
    <w:rsid w:val="00BB6FB2"/>
    <w:rsid w:val="00C10988"/>
    <w:rsid w:val="00C1227D"/>
    <w:rsid w:val="00C1287C"/>
    <w:rsid w:val="00C16F08"/>
    <w:rsid w:val="00C250E1"/>
    <w:rsid w:val="00C56114"/>
    <w:rsid w:val="00C74D66"/>
    <w:rsid w:val="00C80D82"/>
    <w:rsid w:val="00C822EB"/>
    <w:rsid w:val="00CE05D0"/>
    <w:rsid w:val="00CE3FB5"/>
    <w:rsid w:val="00D152DD"/>
    <w:rsid w:val="00D20082"/>
    <w:rsid w:val="00D33F56"/>
    <w:rsid w:val="00D5075B"/>
    <w:rsid w:val="00D82077"/>
    <w:rsid w:val="00D86F3A"/>
    <w:rsid w:val="00DC2F83"/>
    <w:rsid w:val="00E17614"/>
    <w:rsid w:val="00E2573A"/>
    <w:rsid w:val="00E34EC8"/>
    <w:rsid w:val="00E60145"/>
    <w:rsid w:val="00E70CEC"/>
    <w:rsid w:val="00E8225A"/>
    <w:rsid w:val="00EC34E9"/>
    <w:rsid w:val="00EC4297"/>
    <w:rsid w:val="00EC4A7F"/>
    <w:rsid w:val="00EE7C86"/>
    <w:rsid w:val="00F173DD"/>
    <w:rsid w:val="00F34F05"/>
    <w:rsid w:val="00F45785"/>
    <w:rsid w:val="00F6150D"/>
    <w:rsid w:val="00F743ED"/>
    <w:rsid w:val="00F9104B"/>
    <w:rsid w:val="00F968F7"/>
    <w:rsid w:val="00FB442E"/>
    <w:rsid w:val="00FD32FD"/>
    <w:rsid w:val="00FD5890"/>
    <w:rsid w:val="1FC3AD9A"/>
    <w:rsid w:val="410E57C3"/>
    <w:rsid w:val="5BA5F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60D0"/>
  <w15:chartTrackingRefBased/>
  <w15:docId w15:val="{DA4D2D34-25E4-437B-AB52-1C3DE1F8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3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C6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E2BD3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2BD3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aliases w:val="Footnote Reference Number"/>
    <w:uiPriority w:val="99"/>
    <w:semiHidden/>
    <w:rsid w:val="003E2BD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31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264"/>
  </w:style>
  <w:style w:type="paragraph" w:styleId="Footer">
    <w:name w:val="footer"/>
    <w:basedOn w:val="Normal"/>
    <w:link w:val="FooterChar"/>
    <w:uiPriority w:val="99"/>
    <w:unhideWhenUsed/>
    <w:rsid w:val="00031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264"/>
  </w:style>
  <w:style w:type="character" w:styleId="CommentReference">
    <w:name w:val="annotation reference"/>
    <w:basedOn w:val="DefaultParagraphFont"/>
    <w:uiPriority w:val="99"/>
    <w:semiHidden/>
    <w:unhideWhenUsed/>
    <w:rsid w:val="001433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33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33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3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372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F379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F379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F3793"/>
    <w:rPr>
      <w:vertAlign w:val="superscript"/>
    </w:rPr>
  </w:style>
  <w:style w:type="paragraph" w:styleId="Revision">
    <w:name w:val="Revision"/>
    <w:hidden/>
    <w:uiPriority w:val="99"/>
    <w:semiHidden/>
    <w:rsid w:val="009443E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9C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173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DD7B35833E4742B71CA5E6FA998621" ma:contentTypeVersion="7" ma:contentTypeDescription="Utwórz nowy dokument." ma:contentTypeScope="" ma:versionID="2ca0eb69fce9da5e3d0a613e91664f55">
  <xsd:schema xmlns:xsd="http://www.w3.org/2001/XMLSchema" xmlns:xs="http://www.w3.org/2001/XMLSchema" xmlns:p="http://schemas.microsoft.com/office/2006/metadata/properties" xmlns:ns2="a52f6753-9926-4fd2-ba81-95ff98473633" xmlns:ns3="5215c7fe-aca5-4dac-9dfe-e6640b90bd40" targetNamespace="http://schemas.microsoft.com/office/2006/metadata/properties" ma:root="true" ma:fieldsID="ca6ddd60ac8bc0f48375224b51dc4d24" ns2:_="" ns3:_="">
    <xsd:import namespace="a52f6753-9926-4fd2-ba81-95ff98473633"/>
    <xsd:import namespace="5215c7fe-aca5-4dac-9dfe-e6640b90bd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f6753-9926-4fd2-ba81-95ff984736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5c7fe-aca5-4dac-9dfe-e6640b90bd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7BD106-F45C-4079-9992-67E8CFBADE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8B864A-F40D-48AD-986B-ED239A5744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9DB791-5DAC-485E-85BC-4923914812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B0CDD1-E636-4F4F-A6CC-23A5F06A8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2f6753-9926-4fd2-ba81-95ff98473633"/>
    <ds:schemaRef ds:uri="5215c7fe-aca5-4dac-9dfe-e6640b90bd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506</Words>
  <Characters>2888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MPA_RWP_zał 9 katalog kosztów pośrednich</dc:title>
  <dc:subject/>
  <dc:creator>Kowalska Dorota</dc:creator>
  <cp:keywords/>
  <dc:description/>
  <cp:lastModifiedBy>Piasecka Hanna</cp:lastModifiedBy>
  <cp:revision>60</cp:revision>
  <dcterms:created xsi:type="dcterms:W3CDTF">2023-09-02T07:06:00Z</dcterms:created>
  <dcterms:modified xsi:type="dcterms:W3CDTF">2023-09-13T18:17:00Z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0x010100A3DD7B35833E4742B71CA5E6FA998621</vt:lpwstr>
  </property>
</Properties>
</file>