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05" w:rsidRPr="00A02543" w:rsidRDefault="00201005" w:rsidP="0020100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2543">
        <w:rPr>
          <w:rFonts w:ascii="Times New Roman" w:hAnsi="Times New Roman"/>
          <w:sz w:val="24"/>
          <w:szCs w:val="24"/>
        </w:rPr>
        <w:t>Zał</w:t>
      </w:r>
      <w:r w:rsidR="00A02543" w:rsidRPr="00A02543">
        <w:rPr>
          <w:rFonts w:ascii="Times New Roman" w:hAnsi="Times New Roman"/>
          <w:sz w:val="24"/>
          <w:szCs w:val="24"/>
        </w:rPr>
        <w:t>ącznik nr 2</w:t>
      </w:r>
    </w:p>
    <w:p w:rsidR="00201005" w:rsidRDefault="00A02543" w:rsidP="00A02543">
      <w:pPr>
        <w:tabs>
          <w:tab w:val="left" w:pos="5593"/>
        </w:tabs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01005" w:rsidRPr="00941AB0" w:rsidRDefault="00201005" w:rsidP="0020100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41AB0">
        <w:rPr>
          <w:rFonts w:ascii="Times New Roman" w:hAnsi="Times New Roman"/>
          <w:sz w:val="24"/>
          <w:szCs w:val="24"/>
        </w:rPr>
        <w:t>rzepis art. 275a Kodeksu postępowania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AB0">
        <w:rPr>
          <w:rFonts w:ascii="Times New Roman" w:hAnsi="Times New Roman"/>
          <w:sz w:val="24"/>
          <w:szCs w:val="24"/>
        </w:rPr>
        <w:t>przewiduj</w:t>
      </w:r>
      <w:r>
        <w:rPr>
          <w:rFonts w:ascii="Times New Roman" w:hAnsi="Times New Roman"/>
          <w:sz w:val="24"/>
          <w:szCs w:val="24"/>
        </w:rPr>
        <w:t xml:space="preserve">e </w:t>
      </w:r>
      <w:r w:rsidRPr="00941AB0">
        <w:rPr>
          <w:rFonts w:ascii="Times New Roman" w:hAnsi="Times New Roman"/>
          <w:sz w:val="24"/>
          <w:szCs w:val="24"/>
        </w:rPr>
        <w:t>środek zapobiegawczy w postaci nakazania oskarżonemu o przestępstwo popełnione z użyciem przemocy na szkodę osoby wspólnie zamieszkującej opuszczenie lokalu mieszkalnego zajmowanego wspólnie z pokrzywdzonym, jeżeli zachodzi uzasadniona obawa, że oskarżony ponownie popełni przestępstwo z użyciem przemocy wobec tej osoby, zwłaszcza gdy popełnieniem takiego przestępstwa groził.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AB0">
        <w:rPr>
          <w:rFonts w:ascii="Times New Roman" w:hAnsi="Times New Roman"/>
          <w:sz w:val="24"/>
          <w:szCs w:val="24"/>
        </w:rPr>
        <w:t>Powyższy środek jest stosowany na okres nie dłuższy niż 3 miesiące. Sąd pierwszej instancji właściwy do rozpoznania sprawy, jeżeli nie ustały przesłanki jego stosowania może na wniosek prokuratora,  przedłużyć jego stosowanie na dalsze okresy, nie dłu</w:t>
      </w:r>
      <w:r>
        <w:rPr>
          <w:rFonts w:ascii="Times New Roman" w:hAnsi="Times New Roman"/>
          <w:sz w:val="24"/>
          <w:szCs w:val="24"/>
        </w:rPr>
        <w:t xml:space="preserve">ższe niż 3 miesiące (art. 275a </w:t>
      </w:r>
      <w:r w:rsidRPr="00941AB0">
        <w:rPr>
          <w:rFonts w:ascii="Times New Roman" w:hAnsi="Times New Roman"/>
          <w:sz w:val="24"/>
          <w:szCs w:val="24"/>
        </w:rPr>
        <w:t xml:space="preserve">§ 4 </w:t>
      </w:r>
      <w:proofErr w:type="spellStart"/>
      <w:r w:rsidRPr="00941AB0">
        <w:rPr>
          <w:rFonts w:ascii="Times New Roman" w:hAnsi="Times New Roman"/>
          <w:sz w:val="24"/>
          <w:szCs w:val="24"/>
        </w:rPr>
        <w:t>kpk</w:t>
      </w:r>
      <w:proofErr w:type="spellEnd"/>
      <w:r w:rsidRPr="00941AB0">
        <w:rPr>
          <w:rFonts w:ascii="Times New Roman" w:hAnsi="Times New Roman"/>
          <w:sz w:val="24"/>
          <w:szCs w:val="24"/>
        </w:rPr>
        <w:t xml:space="preserve">). </w:t>
      </w:r>
    </w:p>
    <w:p w:rsidR="00201005" w:rsidRPr="00941AB0" w:rsidRDefault="00201005" w:rsidP="0020100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1AB0">
        <w:rPr>
          <w:rFonts w:ascii="Times New Roman" w:hAnsi="Times New Roman"/>
          <w:sz w:val="24"/>
          <w:szCs w:val="24"/>
        </w:rPr>
        <w:t xml:space="preserve">W 2016 roku liczba podejrzanych, wobec których zastosowano w/w środek zapobiegawczy w postaci nakazu opuszczenia lokalu mieszkalnego zajmowanego wspólnie z pokrzywdzonym (art. 275a § 1 </w:t>
      </w:r>
      <w:proofErr w:type="spellStart"/>
      <w:r w:rsidRPr="00941AB0">
        <w:rPr>
          <w:rFonts w:ascii="Times New Roman" w:hAnsi="Times New Roman"/>
          <w:sz w:val="24"/>
          <w:szCs w:val="24"/>
        </w:rPr>
        <w:t>kpk</w:t>
      </w:r>
      <w:proofErr w:type="spellEnd"/>
      <w:r w:rsidRPr="00941AB0">
        <w:rPr>
          <w:rFonts w:ascii="Times New Roman" w:hAnsi="Times New Roman"/>
          <w:sz w:val="24"/>
          <w:szCs w:val="24"/>
        </w:rPr>
        <w:t xml:space="preserve">), wyniosła 2.965. </w:t>
      </w:r>
    </w:p>
    <w:p w:rsidR="00201005" w:rsidRPr="00941AB0" w:rsidRDefault="00201005" w:rsidP="0020100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201005" w:rsidRPr="00941AB0" w:rsidRDefault="00201005" w:rsidP="00201005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 w:rsidRPr="00941AB0">
        <w:rPr>
          <w:rFonts w:ascii="Times New Roman" w:hAnsi="Times New Roman"/>
          <w:sz w:val="16"/>
          <w:szCs w:val="24"/>
        </w:rPr>
        <w:t>Liczba podejrzanych, wobec których zastosowano w/w środek zapobiegawczy w postaci nakazu opuszczenia lokalu mieszkalnego zajmowanego wspólnie z pokrzywdzonym w latach 2010-2016</w:t>
      </w:r>
    </w:p>
    <w:p w:rsidR="00201005" w:rsidRPr="00941AB0" w:rsidRDefault="00201005" w:rsidP="0020100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62475" cy="25050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005" w:rsidRPr="00941AB0" w:rsidRDefault="00201005" w:rsidP="0020100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41AB0">
        <w:rPr>
          <w:rFonts w:ascii="Times New Roman" w:hAnsi="Times New Roman"/>
          <w:sz w:val="24"/>
          <w:szCs w:val="24"/>
          <w:shd w:val="clear" w:color="auto" w:fill="FFFFFF"/>
        </w:rPr>
        <w:t xml:space="preserve">Podane powyżej dane statystyczne wskazują, iż powyższy środek zapobiegawczy jest stosowany w praktyce prokuratorskiej. Na uwagę zasługuje także znaczący w skali roku przyrost liczbowy wydawanych postanowień. </w:t>
      </w:r>
    </w:p>
    <w:p w:rsidR="00201005" w:rsidRPr="00941AB0" w:rsidRDefault="00201005" w:rsidP="0020100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1AB0">
        <w:rPr>
          <w:rFonts w:ascii="Times New Roman" w:hAnsi="Times New Roman"/>
          <w:sz w:val="24"/>
          <w:szCs w:val="24"/>
        </w:rPr>
        <w:t>Prokuratura składała także do sądu wnioski o przedłużenie nakazu opuszczenia lokalu mieszkalnego zajmowanego wspólnie z pokrzywdzonym na dalsze okresy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41AB0">
        <w:rPr>
          <w:rFonts w:ascii="Times New Roman" w:hAnsi="Times New Roman"/>
          <w:sz w:val="24"/>
          <w:szCs w:val="24"/>
        </w:rPr>
        <w:t xml:space="preserve"> </w:t>
      </w:r>
      <w:r w:rsidRPr="00941AB0">
        <w:rPr>
          <w:rFonts w:ascii="Times New Roman" w:hAnsi="Times New Roman"/>
          <w:spacing w:val="-8"/>
          <w:sz w:val="24"/>
          <w:szCs w:val="24"/>
        </w:rPr>
        <w:t xml:space="preserve">(art. 275a § 1 i 4 </w:t>
      </w:r>
      <w:proofErr w:type="spellStart"/>
      <w:r w:rsidRPr="00941AB0">
        <w:rPr>
          <w:rFonts w:ascii="Times New Roman" w:hAnsi="Times New Roman"/>
          <w:sz w:val="24"/>
          <w:szCs w:val="24"/>
        </w:rPr>
        <w:t>kpk</w:t>
      </w:r>
      <w:proofErr w:type="spellEnd"/>
      <w:r w:rsidRPr="00941AB0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W</w:t>
      </w:r>
      <w:r w:rsidRPr="00941AB0">
        <w:rPr>
          <w:rFonts w:ascii="Times New Roman" w:hAnsi="Times New Roman"/>
          <w:sz w:val="24"/>
          <w:szCs w:val="24"/>
        </w:rPr>
        <w:t xml:space="preserve"> 2016 roku zostało złożonych 103 (2015-72, 2014 - 64) tego rodzaju wniosków. </w:t>
      </w:r>
    </w:p>
    <w:p w:rsidR="00201005" w:rsidRPr="00941AB0" w:rsidRDefault="00201005" w:rsidP="0020100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1AB0">
        <w:rPr>
          <w:rFonts w:ascii="Times New Roman" w:hAnsi="Times New Roman"/>
          <w:sz w:val="24"/>
          <w:szCs w:val="24"/>
        </w:rPr>
        <w:lastRenderedPageBreak/>
        <w:t>Z dostępnych danych statystycznych wynika, iż w całym 2016 roku sądy rejonowe</w:t>
      </w:r>
      <w:r w:rsidRPr="00941AB0">
        <w:rPr>
          <w:rFonts w:ascii="Times New Roman" w:hAnsi="Times New Roman"/>
          <w:sz w:val="24"/>
          <w:szCs w:val="24"/>
        </w:rPr>
        <w:br/>
        <w:t>w postępowaniu sądowym wydały ogólnie 1</w:t>
      </w:r>
      <w:r>
        <w:rPr>
          <w:rFonts w:ascii="Times New Roman" w:hAnsi="Times New Roman"/>
          <w:sz w:val="24"/>
          <w:szCs w:val="24"/>
        </w:rPr>
        <w:t>.</w:t>
      </w:r>
      <w:r w:rsidRPr="00941AB0">
        <w:rPr>
          <w:rFonts w:ascii="Times New Roman" w:hAnsi="Times New Roman"/>
          <w:sz w:val="24"/>
          <w:szCs w:val="24"/>
        </w:rPr>
        <w:t xml:space="preserve">868 decyzji w przedmiocie zastosowania środka zapobiegawczego w postaci nakazu opuszczenia lokalu mieszkalnego, nadto wydano 199 postanowień w zakresie przedłużenia nakazu zastosowanego przez prokuratora lub sąd nakazu opuszczenia na dalszy czas okres. Powyższe dane uwzględniają również liczbę środków zapobiegawczych, które wpłynęły do sądu wraz z aktem oskarżenia. </w:t>
      </w:r>
    </w:p>
    <w:p w:rsidR="00201005" w:rsidRPr="00941AB0" w:rsidRDefault="00201005" w:rsidP="0020100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41AB0">
        <w:rPr>
          <w:rFonts w:ascii="Times New Roman" w:hAnsi="Times New Roman"/>
          <w:sz w:val="24"/>
          <w:szCs w:val="24"/>
        </w:rPr>
        <w:t xml:space="preserve">rokurator, już po złożeniu aktu oskarżenia </w:t>
      </w:r>
      <w:r>
        <w:rPr>
          <w:rFonts w:ascii="Times New Roman" w:hAnsi="Times New Roman"/>
          <w:sz w:val="24"/>
          <w:szCs w:val="24"/>
        </w:rPr>
        <w:t xml:space="preserve">może </w:t>
      </w:r>
      <w:r w:rsidRPr="00941AB0">
        <w:rPr>
          <w:rFonts w:ascii="Times New Roman" w:hAnsi="Times New Roman"/>
          <w:sz w:val="24"/>
          <w:szCs w:val="24"/>
        </w:rPr>
        <w:t xml:space="preserve">wnioskować do sądu o zastosowanie tego rodzaju środków zapobiegawczych w czasie trwania postępowania </w:t>
      </w:r>
      <w:r>
        <w:rPr>
          <w:rFonts w:ascii="Times New Roman" w:hAnsi="Times New Roman"/>
          <w:sz w:val="24"/>
          <w:szCs w:val="24"/>
        </w:rPr>
        <w:t>przed sądem</w:t>
      </w:r>
      <w:r w:rsidRPr="00941AB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941AB0">
        <w:rPr>
          <w:rFonts w:ascii="Times New Roman" w:hAnsi="Times New Roman"/>
          <w:sz w:val="24"/>
          <w:szCs w:val="24"/>
        </w:rPr>
        <w:t xml:space="preserve">2016 roku złożono 792 (2015 -583, 2014 - 444) wnioski o zastosowanie nakazania opuszczenia lokalu zajmowanego wspólnie z pokrzywdzonym. </w:t>
      </w:r>
    </w:p>
    <w:p w:rsidR="00201005" w:rsidRPr="00941AB0" w:rsidRDefault="00201005" w:rsidP="0020100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41AB0">
        <w:rPr>
          <w:rFonts w:ascii="Times New Roman" w:hAnsi="Times New Roman"/>
          <w:sz w:val="24"/>
          <w:szCs w:val="24"/>
        </w:rPr>
        <w:t xml:space="preserve">onadto, w roku 2016: </w:t>
      </w:r>
    </w:p>
    <w:p w:rsidR="00201005" w:rsidRPr="00941AB0" w:rsidRDefault="00201005" w:rsidP="002010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AB0">
        <w:rPr>
          <w:rFonts w:ascii="Times New Roman" w:hAnsi="Times New Roman"/>
          <w:sz w:val="24"/>
          <w:szCs w:val="24"/>
        </w:rPr>
        <w:t xml:space="preserve">liczba podejrzanych o przestępstwa z użyciem przemocy lub groźby bezprawnej wobec członka rodziny, wobec których zastosowano dozór Policji pod warunkiem opuszczenia lokalu zajmowanego wspólnie z pokrzywdzonym (art. 275 § 3 </w:t>
      </w:r>
      <w:proofErr w:type="spellStart"/>
      <w:r w:rsidRPr="00941AB0">
        <w:rPr>
          <w:rFonts w:ascii="Times New Roman" w:hAnsi="Times New Roman"/>
          <w:sz w:val="24"/>
          <w:szCs w:val="24"/>
        </w:rPr>
        <w:t>kpk</w:t>
      </w:r>
      <w:proofErr w:type="spellEnd"/>
      <w:r w:rsidRPr="00941AB0">
        <w:rPr>
          <w:rFonts w:ascii="Times New Roman" w:hAnsi="Times New Roman"/>
          <w:sz w:val="24"/>
          <w:szCs w:val="24"/>
        </w:rPr>
        <w:t>) – wyniosła 760</w:t>
      </w:r>
      <w:r w:rsidRPr="00941AB0">
        <w:rPr>
          <w:rFonts w:ascii="Times New Roman" w:hAnsi="Times New Roman"/>
          <w:b/>
          <w:sz w:val="24"/>
          <w:szCs w:val="24"/>
        </w:rPr>
        <w:t xml:space="preserve"> </w:t>
      </w:r>
      <w:r w:rsidRPr="00941AB0">
        <w:rPr>
          <w:rFonts w:ascii="Times New Roman" w:hAnsi="Times New Roman"/>
          <w:sz w:val="24"/>
          <w:szCs w:val="24"/>
        </w:rPr>
        <w:t>(2015-761, 2014 - 695, 2013 - 588, 2012 - 627, 2011 - 505, 2010 - 337),</w:t>
      </w:r>
    </w:p>
    <w:p w:rsidR="00201005" w:rsidRPr="00941AB0" w:rsidRDefault="00201005" w:rsidP="002010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AB0">
        <w:rPr>
          <w:rFonts w:ascii="Times New Roman" w:hAnsi="Times New Roman"/>
          <w:sz w:val="24"/>
          <w:szCs w:val="24"/>
        </w:rPr>
        <w:t xml:space="preserve">liczba podejrzanych o wymienione wyżej przestępstwa, wobec których zastosowano dozór Policji z jednoczesnym zobowiązaniem do powstrzymania się od kontaktu </w:t>
      </w:r>
      <w:r>
        <w:rPr>
          <w:rFonts w:ascii="Times New Roman" w:hAnsi="Times New Roman"/>
          <w:sz w:val="24"/>
          <w:szCs w:val="24"/>
        </w:rPr>
        <w:t xml:space="preserve">        z pokrzywdzonym </w:t>
      </w:r>
      <w:r w:rsidRPr="00941AB0">
        <w:rPr>
          <w:rFonts w:ascii="Times New Roman" w:hAnsi="Times New Roman"/>
          <w:sz w:val="24"/>
          <w:szCs w:val="24"/>
        </w:rPr>
        <w:t xml:space="preserve">(art. 275 § 2 </w:t>
      </w:r>
      <w:proofErr w:type="spellStart"/>
      <w:r w:rsidRPr="00941AB0">
        <w:rPr>
          <w:rFonts w:ascii="Times New Roman" w:hAnsi="Times New Roman"/>
          <w:sz w:val="24"/>
          <w:szCs w:val="24"/>
        </w:rPr>
        <w:t>kpk</w:t>
      </w:r>
      <w:proofErr w:type="spellEnd"/>
      <w:r w:rsidRPr="00941AB0">
        <w:rPr>
          <w:rFonts w:ascii="Times New Roman" w:hAnsi="Times New Roman"/>
          <w:sz w:val="24"/>
          <w:szCs w:val="24"/>
        </w:rPr>
        <w:t>) - wyniosła 3427</w:t>
      </w:r>
      <w:r w:rsidRPr="00941AB0">
        <w:rPr>
          <w:rFonts w:ascii="Times New Roman" w:hAnsi="Times New Roman"/>
          <w:b/>
          <w:sz w:val="24"/>
          <w:szCs w:val="24"/>
        </w:rPr>
        <w:t xml:space="preserve"> </w:t>
      </w:r>
      <w:r w:rsidRPr="00941AB0">
        <w:rPr>
          <w:rFonts w:ascii="Times New Roman" w:hAnsi="Times New Roman"/>
          <w:sz w:val="24"/>
          <w:szCs w:val="24"/>
        </w:rPr>
        <w:t>(2015- 2844, 2014 - 2.633, 2013 - 1.593, 2012 - 1.412, 2011- 1.280, 2010 - 891),</w:t>
      </w:r>
    </w:p>
    <w:p w:rsidR="00201005" w:rsidRPr="00941AB0" w:rsidRDefault="00201005" w:rsidP="00201005">
      <w:pPr>
        <w:spacing w:after="0" w:line="360" w:lineRule="auto"/>
        <w:ind w:firstLine="709"/>
        <w:jc w:val="center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69815" cy="2924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005" w:rsidRPr="00941AB0" w:rsidRDefault="00201005" w:rsidP="002010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AB0">
        <w:rPr>
          <w:rFonts w:ascii="Times New Roman" w:hAnsi="Times New Roman"/>
          <w:sz w:val="24"/>
          <w:szCs w:val="24"/>
        </w:rPr>
        <w:t>liczba podejrzanych o wymienione wyżej przestępstwa, wobec których prokurator skierował wniosek do sądu o zastosowanie tymczasowego aresztowania – 1862 (2015- 1.479, 2014 - 2.285, 2013 - 1.753, 2012 - 1.745, 2011 - 2.002, 2010 - 1.800),</w:t>
      </w:r>
    </w:p>
    <w:p w:rsidR="00201005" w:rsidRPr="00941AB0" w:rsidRDefault="00201005" w:rsidP="002010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AB0">
        <w:rPr>
          <w:rFonts w:ascii="Times New Roman" w:hAnsi="Times New Roman"/>
          <w:sz w:val="24"/>
          <w:szCs w:val="24"/>
        </w:rPr>
        <w:lastRenderedPageBreak/>
        <w:t xml:space="preserve">liczba osób tymczasowo aresztowanych w wyniku złożenia w/w wniosków </w:t>
      </w:r>
      <w:r w:rsidRPr="00941AB0">
        <w:rPr>
          <w:rFonts w:ascii="Times New Roman" w:hAnsi="Times New Roman"/>
          <w:b/>
          <w:sz w:val="24"/>
          <w:szCs w:val="24"/>
        </w:rPr>
        <w:t xml:space="preserve">– </w:t>
      </w:r>
      <w:r w:rsidRPr="00941AB0">
        <w:rPr>
          <w:rFonts w:ascii="Times New Roman" w:hAnsi="Times New Roman"/>
          <w:sz w:val="24"/>
          <w:szCs w:val="24"/>
        </w:rPr>
        <w:t xml:space="preserve">1759 (2015- 1.398, 2014 - 2174, 2013 - 1.635, 2012 - 1.679, 2011 - 1.895, 2010 - 1.699), </w:t>
      </w:r>
    </w:p>
    <w:p w:rsidR="00201005" w:rsidRPr="00941AB0" w:rsidRDefault="00201005" w:rsidP="002010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AB0">
        <w:rPr>
          <w:rFonts w:ascii="Times New Roman" w:hAnsi="Times New Roman"/>
          <w:sz w:val="24"/>
          <w:szCs w:val="24"/>
        </w:rPr>
        <w:t>liczba osób tymczasowo aresztowanych wobec których prokurator skierował do sądu wniosek o przedłużenie trwania tymczasowego aresztowania - 464 (2015 - 350, 2014 - 459),</w:t>
      </w:r>
    </w:p>
    <w:p w:rsidR="00201005" w:rsidRPr="00941AB0" w:rsidRDefault="00201005" w:rsidP="0020100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AB0">
        <w:rPr>
          <w:rFonts w:ascii="Times New Roman" w:hAnsi="Times New Roman"/>
          <w:sz w:val="24"/>
          <w:szCs w:val="24"/>
        </w:rPr>
        <w:t>w 2016 prokuratorzy wnieśli przeciwko osobom o zarzucane im przestępstwa przemocy</w:t>
      </w:r>
      <w:r w:rsidRPr="00941AB0">
        <w:rPr>
          <w:rFonts w:ascii="Times New Roman" w:hAnsi="Times New Roman"/>
          <w:sz w:val="24"/>
          <w:szCs w:val="24"/>
        </w:rPr>
        <w:br/>
        <w:t xml:space="preserve">w rodzinie : 12 759  aktów oskarżenia, 3226 wniosków wskazanych w art. 335 § 1 k.p.k., 1565 wniosków w trybie art. 335 § 1 k.p.k. oraz 475 wniosków o warunkowe umorzenie postępowanie </w:t>
      </w:r>
    </w:p>
    <w:p w:rsidR="00201005" w:rsidRPr="00941AB0" w:rsidRDefault="00201005" w:rsidP="0020100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1AB0">
        <w:rPr>
          <w:rFonts w:ascii="Times New Roman" w:hAnsi="Times New Roman"/>
          <w:sz w:val="24"/>
          <w:szCs w:val="24"/>
        </w:rPr>
        <w:t>W stosunku do sprawców przestępstw zakwalifikowanych j</w:t>
      </w:r>
      <w:r>
        <w:rPr>
          <w:rFonts w:ascii="Times New Roman" w:hAnsi="Times New Roman"/>
          <w:sz w:val="24"/>
          <w:szCs w:val="24"/>
        </w:rPr>
        <w:t xml:space="preserve">ako przemoc w rodzinie </w:t>
      </w:r>
      <w:r w:rsidRPr="00941AB0">
        <w:rPr>
          <w:rFonts w:ascii="Times New Roman" w:hAnsi="Times New Roman"/>
          <w:sz w:val="24"/>
          <w:szCs w:val="24"/>
        </w:rPr>
        <w:t>w 2016 roku, sąd uwzględnił 784 wniosków prokuratura w zakres</w:t>
      </w:r>
      <w:r>
        <w:rPr>
          <w:rFonts w:ascii="Times New Roman" w:hAnsi="Times New Roman"/>
          <w:sz w:val="24"/>
          <w:szCs w:val="24"/>
        </w:rPr>
        <w:t xml:space="preserve">ie  tymczasowego aresztowania. </w:t>
      </w:r>
    </w:p>
    <w:p w:rsidR="00201005" w:rsidRPr="00941AB0" w:rsidRDefault="00201005" w:rsidP="0020100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1AB0">
        <w:rPr>
          <w:rFonts w:ascii="Times New Roman" w:hAnsi="Times New Roman"/>
          <w:sz w:val="24"/>
          <w:szCs w:val="24"/>
        </w:rPr>
        <w:t xml:space="preserve">Jak już wspomniano uprzednio, nakaz opuszczenia lokalu mieszkalnego, jako środek zapobiegawczy, sąd zastosował ogółem w 1674 przypadkach, a nadto 200 postanowień dotyczyło przedłużenia nakazu zastosowanego przez prokuratora lub sąd na dalsze okresy (art. 275a § 4 </w:t>
      </w:r>
      <w:proofErr w:type="spellStart"/>
      <w:r w:rsidRPr="00941AB0">
        <w:rPr>
          <w:rFonts w:ascii="Times New Roman" w:hAnsi="Times New Roman"/>
          <w:sz w:val="24"/>
          <w:szCs w:val="24"/>
        </w:rPr>
        <w:t>kpk</w:t>
      </w:r>
      <w:proofErr w:type="spellEnd"/>
      <w:r w:rsidRPr="00941AB0">
        <w:rPr>
          <w:rFonts w:ascii="Times New Roman" w:hAnsi="Times New Roman"/>
          <w:sz w:val="24"/>
          <w:szCs w:val="24"/>
        </w:rPr>
        <w:t>) - łącznie sądy wydały 1874 postanowień w tym zakresie.</w:t>
      </w:r>
    </w:p>
    <w:tbl>
      <w:tblPr>
        <w:tblW w:w="4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608"/>
        <w:gridCol w:w="1965"/>
        <w:gridCol w:w="2948"/>
      </w:tblGrid>
      <w:tr w:rsidR="00201005" w:rsidRPr="00941AB0" w:rsidTr="00CB20BB">
        <w:trPr>
          <w:cantSplit/>
          <w:trHeight w:val="567"/>
          <w:jc w:val="center"/>
        </w:trPr>
        <w:tc>
          <w:tcPr>
            <w:tcW w:w="1439" w:type="pct"/>
            <w:shd w:val="clear" w:color="auto" w:fill="FFFF99"/>
            <w:vAlign w:val="center"/>
          </w:tcPr>
          <w:p w:rsidR="00201005" w:rsidRPr="00941AB0" w:rsidRDefault="00201005" w:rsidP="00CB2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41AB0">
              <w:rPr>
                <w:rFonts w:ascii="Times New Roman" w:hAnsi="Times New Roman"/>
                <w:b/>
                <w:bCs/>
                <w:sz w:val="20"/>
                <w:szCs w:val="24"/>
              </w:rPr>
              <w:t>Rodzaj działania</w:t>
            </w:r>
          </w:p>
        </w:tc>
        <w:tc>
          <w:tcPr>
            <w:tcW w:w="1951" w:type="pct"/>
            <w:gridSpan w:val="2"/>
            <w:shd w:val="clear" w:color="auto" w:fill="FFFF99"/>
            <w:vAlign w:val="center"/>
          </w:tcPr>
          <w:p w:rsidR="00201005" w:rsidRPr="00941AB0" w:rsidRDefault="00201005" w:rsidP="00CB2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41AB0">
              <w:rPr>
                <w:rFonts w:ascii="Times New Roman" w:hAnsi="Times New Roman"/>
                <w:b/>
                <w:bCs/>
                <w:sz w:val="20"/>
                <w:szCs w:val="24"/>
              </w:rPr>
              <w:t>Wskaźnik</w:t>
            </w:r>
          </w:p>
        </w:tc>
        <w:tc>
          <w:tcPr>
            <w:tcW w:w="1610" w:type="pct"/>
            <w:shd w:val="clear" w:color="auto" w:fill="FFFF99"/>
            <w:vAlign w:val="center"/>
          </w:tcPr>
          <w:p w:rsidR="00201005" w:rsidRPr="00941AB0" w:rsidRDefault="00201005" w:rsidP="00CB2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41AB0">
              <w:rPr>
                <w:rFonts w:ascii="Times New Roman" w:hAnsi="Times New Roman"/>
                <w:b/>
                <w:bCs/>
                <w:sz w:val="20"/>
                <w:szCs w:val="24"/>
              </w:rPr>
              <w:t>Wartość wskaźnika wskazana przez</w:t>
            </w:r>
          </w:p>
          <w:p w:rsidR="00201005" w:rsidRPr="00941AB0" w:rsidRDefault="00201005" w:rsidP="00CB2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41AB0">
              <w:rPr>
                <w:rFonts w:ascii="Times New Roman" w:hAnsi="Times New Roman"/>
                <w:b/>
                <w:bCs/>
                <w:sz w:val="20"/>
                <w:szCs w:val="24"/>
              </w:rPr>
              <w:t>sądy powszechne</w:t>
            </w:r>
          </w:p>
        </w:tc>
      </w:tr>
      <w:tr w:rsidR="00201005" w:rsidRPr="00941AB0" w:rsidTr="00CB20BB">
        <w:trPr>
          <w:cantSplit/>
          <w:trHeight w:val="1098"/>
          <w:jc w:val="center"/>
        </w:trPr>
        <w:tc>
          <w:tcPr>
            <w:tcW w:w="1439" w:type="pct"/>
            <w:vMerge w:val="restart"/>
            <w:vAlign w:val="center"/>
          </w:tcPr>
          <w:p w:rsidR="00201005" w:rsidRPr="00941AB0" w:rsidRDefault="00201005" w:rsidP="00CB2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AB0">
              <w:rPr>
                <w:rFonts w:ascii="Times New Roman" w:hAnsi="Times New Roman"/>
                <w:bCs/>
                <w:sz w:val="20"/>
                <w:szCs w:val="24"/>
              </w:rPr>
              <w:t>3.2.2 Zapobieganie kontaktowania się osób stosujących przemoc w rodzinie z osobami dotkniętymi przemocą poprzez występowanie do sądu o zastosowanie lub przedłużenie stosowania wobec osoby stosującej przemoc w rodzinie środków zapobiegawczych w przedmiocie nakazania opuszczenia lokalu zajmowanego wspólnie z osobą najbliższą, ewentualnie tymczasowego aresztowania</w:t>
            </w:r>
          </w:p>
        </w:tc>
        <w:tc>
          <w:tcPr>
            <w:tcW w:w="878" w:type="pct"/>
            <w:vMerge w:val="restart"/>
            <w:vAlign w:val="center"/>
          </w:tcPr>
          <w:p w:rsidR="00201005" w:rsidRPr="00941AB0" w:rsidRDefault="00201005" w:rsidP="00CB2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AB0">
              <w:rPr>
                <w:rFonts w:ascii="Times New Roman" w:hAnsi="Times New Roman"/>
                <w:bCs/>
                <w:sz w:val="20"/>
                <w:szCs w:val="24"/>
              </w:rPr>
              <w:t>liczba podjętych przez sąd decyzji o uwzględnieniu wniosków prokuratora o:</w:t>
            </w:r>
          </w:p>
        </w:tc>
        <w:tc>
          <w:tcPr>
            <w:tcW w:w="1073" w:type="pct"/>
            <w:vAlign w:val="center"/>
          </w:tcPr>
          <w:p w:rsidR="00201005" w:rsidRPr="00941AB0" w:rsidRDefault="00201005" w:rsidP="00CB2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AB0">
              <w:rPr>
                <w:rFonts w:ascii="Times New Roman" w:hAnsi="Times New Roman"/>
                <w:bCs/>
                <w:sz w:val="20"/>
                <w:szCs w:val="24"/>
              </w:rPr>
              <w:t>zastosowanie nakazania opuszczenia lokalu zajmowanego wspólnie z pokrzywdzonym</w:t>
            </w:r>
          </w:p>
        </w:tc>
        <w:tc>
          <w:tcPr>
            <w:tcW w:w="1610" w:type="pct"/>
            <w:noWrap/>
            <w:vAlign w:val="center"/>
          </w:tcPr>
          <w:p w:rsidR="00201005" w:rsidRPr="00941AB0" w:rsidRDefault="00201005" w:rsidP="00CB2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AB0">
              <w:rPr>
                <w:rFonts w:ascii="Times New Roman" w:hAnsi="Times New Roman"/>
                <w:sz w:val="20"/>
                <w:szCs w:val="24"/>
              </w:rPr>
              <w:t>1674</w:t>
            </w:r>
          </w:p>
        </w:tc>
      </w:tr>
      <w:tr w:rsidR="00201005" w:rsidRPr="00941AB0" w:rsidTr="00CB20BB">
        <w:trPr>
          <w:cantSplit/>
          <w:trHeight w:val="1196"/>
          <w:jc w:val="center"/>
        </w:trPr>
        <w:tc>
          <w:tcPr>
            <w:tcW w:w="1439" w:type="pct"/>
            <w:vMerge/>
            <w:vAlign w:val="center"/>
          </w:tcPr>
          <w:p w:rsidR="00201005" w:rsidRPr="00941AB0" w:rsidRDefault="00201005" w:rsidP="00CB20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78" w:type="pct"/>
            <w:vMerge/>
            <w:vAlign w:val="center"/>
          </w:tcPr>
          <w:p w:rsidR="00201005" w:rsidRPr="00941AB0" w:rsidRDefault="00201005" w:rsidP="00CB20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073" w:type="pct"/>
            <w:vAlign w:val="center"/>
          </w:tcPr>
          <w:p w:rsidR="00201005" w:rsidRPr="00941AB0" w:rsidRDefault="00201005" w:rsidP="00CB2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AB0">
              <w:rPr>
                <w:rFonts w:ascii="Times New Roman" w:hAnsi="Times New Roman"/>
                <w:bCs/>
                <w:sz w:val="20"/>
                <w:szCs w:val="24"/>
              </w:rPr>
              <w:t>przedłużenie nakazu opuszczania lokalu mieszkalnego zajmowanego wspólnie z pokrzywdzonym na dalsze okresy</w:t>
            </w:r>
          </w:p>
        </w:tc>
        <w:tc>
          <w:tcPr>
            <w:tcW w:w="1610" w:type="pct"/>
            <w:noWrap/>
            <w:vAlign w:val="center"/>
          </w:tcPr>
          <w:p w:rsidR="00201005" w:rsidRPr="00941AB0" w:rsidRDefault="00201005" w:rsidP="00CB2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AB0">
              <w:rPr>
                <w:rFonts w:ascii="Times New Roman" w:hAnsi="Times New Roman"/>
                <w:sz w:val="20"/>
                <w:szCs w:val="24"/>
              </w:rPr>
              <w:t>200</w:t>
            </w:r>
          </w:p>
        </w:tc>
      </w:tr>
      <w:tr w:rsidR="00201005" w:rsidRPr="00941AB0" w:rsidTr="00CB20BB">
        <w:trPr>
          <w:cantSplit/>
          <w:trHeight w:val="567"/>
          <w:jc w:val="center"/>
        </w:trPr>
        <w:tc>
          <w:tcPr>
            <w:tcW w:w="1439" w:type="pct"/>
            <w:vMerge/>
            <w:vAlign w:val="center"/>
          </w:tcPr>
          <w:p w:rsidR="00201005" w:rsidRPr="00941AB0" w:rsidRDefault="00201005" w:rsidP="00CB20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78" w:type="pct"/>
            <w:vMerge/>
            <w:vAlign w:val="center"/>
          </w:tcPr>
          <w:p w:rsidR="00201005" w:rsidRPr="00941AB0" w:rsidRDefault="00201005" w:rsidP="00CB20B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073" w:type="pct"/>
            <w:vAlign w:val="center"/>
          </w:tcPr>
          <w:p w:rsidR="00201005" w:rsidRPr="00941AB0" w:rsidRDefault="00201005" w:rsidP="00CB2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AB0">
              <w:rPr>
                <w:rFonts w:ascii="Times New Roman" w:hAnsi="Times New Roman"/>
                <w:bCs/>
                <w:sz w:val="20"/>
                <w:szCs w:val="24"/>
              </w:rPr>
              <w:t>zastosowanie tymczasowego aresztowania</w:t>
            </w:r>
          </w:p>
        </w:tc>
        <w:tc>
          <w:tcPr>
            <w:tcW w:w="1610" w:type="pct"/>
            <w:noWrap/>
            <w:vAlign w:val="center"/>
          </w:tcPr>
          <w:p w:rsidR="00201005" w:rsidRPr="00941AB0" w:rsidRDefault="00201005" w:rsidP="00CB2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41AB0">
              <w:rPr>
                <w:rFonts w:ascii="Times New Roman" w:hAnsi="Times New Roman"/>
                <w:sz w:val="20"/>
                <w:szCs w:val="24"/>
              </w:rPr>
              <w:t>784</w:t>
            </w:r>
          </w:p>
        </w:tc>
      </w:tr>
    </w:tbl>
    <w:p w:rsidR="004D7759" w:rsidRDefault="004D7759">
      <w:bookmarkStart w:id="0" w:name="_GoBack"/>
      <w:bookmarkEnd w:id="0"/>
    </w:p>
    <w:sectPr w:rsidR="004D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48" w:rsidRDefault="00C62248" w:rsidP="00201005">
      <w:pPr>
        <w:spacing w:after="0" w:line="240" w:lineRule="auto"/>
      </w:pPr>
      <w:r>
        <w:separator/>
      </w:r>
    </w:p>
  </w:endnote>
  <w:endnote w:type="continuationSeparator" w:id="0">
    <w:p w:rsidR="00C62248" w:rsidRDefault="00C62248" w:rsidP="0020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48" w:rsidRDefault="00C62248" w:rsidP="00201005">
      <w:pPr>
        <w:spacing w:after="0" w:line="240" w:lineRule="auto"/>
      </w:pPr>
      <w:r>
        <w:separator/>
      </w:r>
    </w:p>
  </w:footnote>
  <w:footnote w:type="continuationSeparator" w:id="0">
    <w:p w:rsidR="00C62248" w:rsidRDefault="00C62248" w:rsidP="00201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2258"/>
    <w:multiLevelType w:val="hybridMultilevel"/>
    <w:tmpl w:val="6BE6E550"/>
    <w:lvl w:ilvl="0" w:tplc="D334F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05"/>
    <w:rsid w:val="00201005"/>
    <w:rsid w:val="004D7759"/>
    <w:rsid w:val="006A0067"/>
    <w:rsid w:val="00894E76"/>
    <w:rsid w:val="00A02543"/>
    <w:rsid w:val="00C6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00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0100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10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010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00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00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0100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10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010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00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4396</Characters>
  <Application>Microsoft Office Word</Application>
  <DocSecurity>0</DocSecurity>
  <Lines>36</Lines>
  <Paragraphs>10</Paragraphs>
  <ScaleCrop>false</ScaleCrop>
  <Company>MS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Paweł  (DWMPC)</dc:creator>
  <cp:lastModifiedBy>Mariola Grochulska</cp:lastModifiedBy>
  <cp:revision>2</cp:revision>
  <dcterms:created xsi:type="dcterms:W3CDTF">2017-09-11T11:51:00Z</dcterms:created>
  <dcterms:modified xsi:type="dcterms:W3CDTF">2017-09-11T11:51:00Z</dcterms:modified>
</cp:coreProperties>
</file>