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A6" w:rsidRDefault="00D47A6E" w:rsidP="00BE59D1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AB9">
        <w:rPr>
          <w:rFonts w:asciiTheme="minorHAnsi" w:hAnsiTheme="minorHAnsi"/>
        </w:rPr>
        <w:t>Warszawa, 1</w:t>
      </w:r>
      <w:r w:rsidR="00735016">
        <w:rPr>
          <w:rFonts w:asciiTheme="minorHAnsi" w:hAnsiTheme="minorHAnsi"/>
        </w:rPr>
        <w:t xml:space="preserve"> </w:t>
      </w:r>
      <w:r w:rsidR="00683FDF">
        <w:rPr>
          <w:rFonts w:asciiTheme="minorHAnsi" w:hAnsiTheme="minorHAnsi"/>
        </w:rPr>
        <w:t>lutego</w:t>
      </w:r>
      <w:r w:rsidR="00735016">
        <w:rPr>
          <w:rFonts w:asciiTheme="minorHAnsi" w:hAnsiTheme="minorHAnsi"/>
        </w:rPr>
        <w:t xml:space="preserve"> 2019</w:t>
      </w:r>
      <w:r w:rsidRPr="006E20EA">
        <w:rPr>
          <w:rFonts w:asciiTheme="minorHAnsi" w:hAnsiTheme="minorHAnsi"/>
        </w:rPr>
        <w:t xml:space="preserve"> r.</w:t>
      </w:r>
      <w:r>
        <w:rPr>
          <w:noProof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15240</wp:posOffset>
            </wp:positionV>
            <wp:extent cx="2517775" cy="8229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0A6" w:rsidRPr="006E20EA" w:rsidRDefault="000510A6" w:rsidP="000510A6">
      <w:pPr>
        <w:spacing w:line="360" w:lineRule="auto"/>
        <w:rPr>
          <w:rFonts w:asciiTheme="minorHAnsi" w:hAnsiTheme="minorHAnsi"/>
        </w:rPr>
      </w:pPr>
    </w:p>
    <w:p w:rsidR="008C6CE4" w:rsidRDefault="008C6CE4" w:rsidP="008C6CE4">
      <w:pPr>
        <w:spacing w:line="360" w:lineRule="auto"/>
        <w:rPr>
          <w:rFonts w:asciiTheme="minorHAnsi" w:hAnsiTheme="minorHAnsi"/>
        </w:rPr>
      </w:pPr>
    </w:p>
    <w:p w:rsidR="00683FDF" w:rsidRDefault="00683FDF" w:rsidP="00C97D09">
      <w:pPr>
        <w:spacing w:line="360" w:lineRule="auto"/>
        <w:ind w:left="708" w:firstLine="708"/>
        <w:rPr>
          <w:rFonts w:asciiTheme="minorHAnsi" w:hAnsiTheme="minorHAnsi"/>
        </w:rPr>
      </w:pPr>
    </w:p>
    <w:p w:rsidR="000510A6" w:rsidRDefault="00C000D7" w:rsidP="00683FDF">
      <w:pPr>
        <w:spacing w:line="360" w:lineRule="auto"/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>WNP-R.4131.</w:t>
      </w:r>
      <w:r w:rsidR="002B76F5">
        <w:rPr>
          <w:rFonts w:asciiTheme="minorHAnsi" w:hAnsiTheme="minorHAnsi"/>
        </w:rPr>
        <w:t>6</w:t>
      </w:r>
      <w:r w:rsidR="00735016">
        <w:rPr>
          <w:rFonts w:asciiTheme="minorHAnsi" w:hAnsiTheme="minorHAnsi"/>
        </w:rPr>
        <w:t>.2019</w:t>
      </w:r>
      <w:r w:rsidR="001E45C5">
        <w:rPr>
          <w:rFonts w:asciiTheme="minorHAnsi" w:hAnsiTheme="minorHAnsi"/>
        </w:rPr>
        <w:t xml:space="preserve">.AW </w:t>
      </w:r>
    </w:p>
    <w:p w:rsidR="00683FDF" w:rsidRDefault="00683FDF" w:rsidP="00683FDF">
      <w:pPr>
        <w:spacing w:line="360" w:lineRule="auto"/>
        <w:ind w:left="708" w:firstLine="708"/>
        <w:rPr>
          <w:rFonts w:asciiTheme="minorHAnsi" w:hAnsiTheme="minorHAnsi"/>
        </w:rPr>
      </w:pPr>
    </w:p>
    <w:p w:rsidR="00F15E54" w:rsidRDefault="00C000D7" w:rsidP="00F15E54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Rada Gminy Pionki</w:t>
      </w:r>
    </w:p>
    <w:p w:rsidR="00D47A6E" w:rsidRDefault="00666464" w:rsidP="00F15E54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u</w:t>
      </w:r>
      <w:r w:rsidR="00E30C73">
        <w:rPr>
          <w:rFonts w:asciiTheme="minorHAnsi" w:hAnsiTheme="minorHAnsi"/>
          <w:b/>
          <w:sz w:val="28"/>
        </w:rPr>
        <w:t xml:space="preserve">l. </w:t>
      </w:r>
      <w:r w:rsidR="00C000D7">
        <w:rPr>
          <w:rFonts w:asciiTheme="minorHAnsi" w:hAnsiTheme="minorHAnsi"/>
          <w:b/>
          <w:sz w:val="28"/>
        </w:rPr>
        <w:t>Zwycięstwa 6 a</w:t>
      </w:r>
    </w:p>
    <w:p w:rsidR="00D47A6E" w:rsidRDefault="00C000D7" w:rsidP="00F15E54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26-670 Pionki</w:t>
      </w:r>
    </w:p>
    <w:p w:rsidR="00D47A6E" w:rsidRDefault="00D47A6E" w:rsidP="00F15E54">
      <w:pPr>
        <w:ind w:left="4250" w:right="-468" w:firstLine="706"/>
        <w:jc w:val="both"/>
        <w:rPr>
          <w:rFonts w:asciiTheme="minorHAnsi" w:hAnsiTheme="minorHAnsi"/>
          <w:b/>
          <w:sz w:val="28"/>
        </w:rPr>
      </w:pPr>
    </w:p>
    <w:p w:rsidR="00BE59D1" w:rsidRPr="0053198D" w:rsidRDefault="00BE59D1" w:rsidP="004C2202">
      <w:pPr>
        <w:ind w:right="-468"/>
        <w:jc w:val="both"/>
        <w:rPr>
          <w:rFonts w:asciiTheme="minorHAnsi" w:hAnsiTheme="minorHAnsi"/>
          <w:b/>
          <w:sz w:val="28"/>
        </w:rPr>
      </w:pPr>
    </w:p>
    <w:p w:rsidR="000510A6" w:rsidRDefault="00481124" w:rsidP="00365295">
      <w:pPr>
        <w:jc w:val="center"/>
        <w:rPr>
          <w:rFonts w:asciiTheme="minorHAnsi" w:hAnsiTheme="minorHAnsi"/>
          <w:b/>
          <w:bCs/>
        </w:rPr>
      </w:pPr>
      <w:r w:rsidRPr="007463C3">
        <w:rPr>
          <w:rFonts w:asciiTheme="minorHAnsi" w:hAnsiTheme="minorHAnsi"/>
          <w:b/>
          <w:bCs/>
        </w:rPr>
        <w:t xml:space="preserve">Rozstrzygnięcie </w:t>
      </w:r>
      <w:r w:rsidR="000510A6" w:rsidRPr="007463C3">
        <w:rPr>
          <w:rFonts w:asciiTheme="minorHAnsi" w:hAnsiTheme="minorHAnsi"/>
          <w:b/>
          <w:bCs/>
        </w:rPr>
        <w:t>nadzorcze</w:t>
      </w:r>
    </w:p>
    <w:p w:rsidR="00D47A6E" w:rsidRPr="007463C3" w:rsidRDefault="00D47A6E" w:rsidP="00365295">
      <w:pPr>
        <w:jc w:val="center"/>
        <w:rPr>
          <w:rFonts w:asciiTheme="minorHAnsi" w:hAnsiTheme="minorHAnsi"/>
          <w:b/>
          <w:bCs/>
        </w:rPr>
      </w:pPr>
    </w:p>
    <w:p w:rsidR="00D47A6E" w:rsidRDefault="00D47A6E" w:rsidP="00A13AB9">
      <w:pPr>
        <w:ind w:firstLine="284"/>
        <w:jc w:val="both"/>
        <w:rPr>
          <w:rFonts w:asciiTheme="minorHAnsi" w:hAnsiTheme="minorHAnsi"/>
        </w:rPr>
      </w:pPr>
      <w:r w:rsidRPr="00481124">
        <w:rPr>
          <w:rFonts w:asciiTheme="minorHAnsi" w:hAnsiTheme="minorHAnsi"/>
        </w:rPr>
        <w:t>Działając na podstawie art. 91 ust.1 ustawy z dnia 8 marca 1990 r. o samorządzie gminnym</w:t>
      </w:r>
      <w:r w:rsidR="00A13AB9">
        <w:rPr>
          <w:rFonts w:asciiTheme="minorHAnsi" w:hAnsiTheme="minorHAnsi"/>
        </w:rPr>
        <w:t xml:space="preserve"> </w:t>
      </w:r>
      <w:r w:rsidRPr="00481124">
        <w:rPr>
          <w:rFonts w:asciiTheme="minorHAnsi" w:hAnsiTheme="minorHAnsi"/>
        </w:rPr>
        <w:t>(Dz.</w:t>
      </w:r>
      <w:r w:rsidR="003E58D2">
        <w:rPr>
          <w:rFonts w:asciiTheme="minorHAnsi" w:hAnsiTheme="minorHAnsi"/>
        </w:rPr>
        <w:t xml:space="preserve"> </w:t>
      </w:r>
      <w:r w:rsidRPr="00481124">
        <w:rPr>
          <w:rFonts w:asciiTheme="minorHAnsi" w:hAnsiTheme="minorHAnsi"/>
        </w:rPr>
        <w:t>U. z 2018 r. poz. 994</w:t>
      </w:r>
      <w:r w:rsidR="00BE59D1">
        <w:rPr>
          <w:rFonts w:asciiTheme="minorHAnsi" w:hAnsiTheme="minorHAnsi"/>
        </w:rPr>
        <w:t>,</w:t>
      </w:r>
      <w:r w:rsidRPr="00481124">
        <w:rPr>
          <w:rFonts w:asciiTheme="minorHAnsi" w:hAnsiTheme="minorHAnsi"/>
        </w:rPr>
        <w:t xml:space="preserve"> z</w:t>
      </w:r>
      <w:r w:rsidR="003E58D2">
        <w:rPr>
          <w:rFonts w:asciiTheme="minorHAnsi" w:hAnsiTheme="minorHAnsi"/>
        </w:rPr>
        <w:t xml:space="preserve"> </w:t>
      </w:r>
      <w:proofErr w:type="spellStart"/>
      <w:r w:rsidR="00BE59D1">
        <w:rPr>
          <w:rFonts w:asciiTheme="minorHAnsi" w:hAnsiTheme="minorHAnsi"/>
        </w:rPr>
        <w:t>późn</w:t>
      </w:r>
      <w:proofErr w:type="spellEnd"/>
      <w:r w:rsidR="00BE59D1">
        <w:rPr>
          <w:rFonts w:asciiTheme="minorHAnsi" w:hAnsiTheme="minorHAnsi"/>
        </w:rPr>
        <w:t xml:space="preserve">. </w:t>
      </w:r>
      <w:r w:rsidRPr="00481124">
        <w:rPr>
          <w:rFonts w:asciiTheme="minorHAnsi" w:hAnsiTheme="minorHAnsi"/>
        </w:rPr>
        <w:t>zm.)</w:t>
      </w:r>
    </w:p>
    <w:p w:rsidR="00A10F58" w:rsidRPr="00481124" w:rsidRDefault="00A10F58" w:rsidP="00A13AB9">
      <w:pPr>
        <w:ind w:firstLine="284"/>
        <w:jc w:val="both"/>
        <w:rPr>
          <w:rFonts w:asciiTheme="minorHAnsi" w:hAnsiTheme="minorHAnsi"/>
        </w:rPr>
      </w:pPr>
    </w:p>
    <w:p w:rsidR="000510A6" w:rsidRPr="007463C3" w:rsidRDefault="000510A6" w:rsidP="00A13AB9">
      <w:pPr>
        <w:pStyle w:val="Tekstpodstawowy"/>
        <w:spacing w:before="120" w:after="120" w:line="240" w:lineRule="auto"/>
        <w:jc w:val="center"/>
        <w:rPr>
          <w:rFonts w:asciiTheme="minorHAnsi" w:hAnsiTheme="minorHAnsi"/>
          <w:b/>
          <w:bCs/>
          <w:sz w:val="24"/>
        </w:rPr>
      </w:pPr>
      <w:r w:rsidRPr="007463C3">
        <w:rPr>
          <w:rFonts w:asciiTheme="minorHAnsi" w:hAnsiTheme="minorHAnsi"/>
          <w:b/>
          <w:bCs/>
          <w:sz w:val="24"/>
        </w:rPr>
        <w:t>stwierdzam nieważność</w:t>
      </w:r>
    </w:p>
    <w:p w:rsidR="000510A6" w:rsidRPr="007463C3" w:rsidRDefault="005617FB" w:rsidP="00A13AB9">
      <w:pPr>
        <w:pStyle w:val="Tekstpodstawowy"/>
        <w:spacing w:before="120" w:after="120" w:line="240" w:lineRule="auto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7,</w:t>
      </w:r>
      <w:r w:rsidR="00B560BA">
        <w:rPr>
          <w:rFonts w:asciiTheme="minorHAnsi" w:hAnsiTheme="minorHAnsi"/>
          <w:bCs/>
          <w:sz w:val="24"/>
        </w:rPr>
        <w:t xml:space="preserve"> 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B560BA">
        <w:rPr>
          <w:rFonts w:asciiTheme="minorHAnsi" w:hAnsiTheme="minorHAnsi"/>
          <w:bCs/>
          <w:sz w:val="24"/>
        </w:rPr>
        <w:t>8 ust. 3 pkt 5,</w:t>
      </w:r>
      <w:r w:rsidR="00DC0D10">
        <w:rPr>
          <w:rFonts w:asciiTheme="minorHAnsi" w:hAnsiTheme="minorHAnsi"/>
          <w:bCs/>
          <w:sz w:val="24"/>
        </w:rPr>
        <w:t xml:space="preserve"> </w:t>
      </w:r>
      <w:r w:rsidR="00EB786A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EB786A">
        <w:rPr>
          <w:rFonts w:asciiTheme="minorHAnsi" w:hAnsiTheme="minorHAnsi"/>
          <w:bCs/>
          <w:sz w:val="24"/>
        </w:rPr>
        <w:t>19 ust.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EB786A">
        <w:rPr>
          <w:rFonts w:asciiTheme="minorHAnsi" w:hAnsiTheme="minorHAnsi"/>
          <w:bCs/>
          <w:sz w:val="24"/>
        </w:rPr>
        <w:t>2 i 3,</w:t>
      </w:r>
      <w:r w:rsidR="00B560BA" w:rsidRPr="00B560BA">
        <w:rPr>
          <w:rFonts w:asciiTheme="minorHAnsi" w:hAnsiTheme="minorHAnsi"/>
          <w:bCs/>
          <w:sz w:val="24"/>
        </w:rPr>
        <w:t xml:space="preserve"> </w:t>
      </w:r>
      <w:r w:rsidR="00C74412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B560BA">
        <w:rPr>
          <w:rFonts w:asciiTheme="minorHAnsi" w:hAnsiTheme="minorHAnsi"/>
          <w:bCs/>
          <w:sz w:val="24"/>
        </w:rPr>
        <w:t>23 ust. 1,</w:t>
      </w:r>
      <w:r w:rsidR="00C000D7">
        <w:rPr>
          <w:rFonts w:asciiTheme="minorHAnsi" w:hAnsiTheme="minorHAnsi"/>
          <w:bCs/>
          <w:sz w:val="24"/>
        </w:rPr>
        <w:t xml:space="preserve"> </w:t>
      </w:r>
      <w:r w:rsidR="00C74412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B560BA">
        <w:rPr>
          <w:rFonts w:asciiTheme="minorHAnsi" w:hAnsiTheme="minorHAnsi"/>
          <w:bCs/>
          <w:sz w:val="24"/>
        </w:rPr>
        <w:t xml:space="preserve">24, </w:t>
      </w:r>
      <w:r w:rsidR="00C74412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B560BA">
        <w:rPr>
          <w:rFonts w:asciiTheme="minorHAnsi" w:hAnsiTheme="minorHAnsi"/>
          <w:bCs/>
          <w:sz w:val="24"/>
        </w:rPr>
        <w:t xml:space="preserve">25, </w:t>
      </w:r>
      <w:r w:rsidR="00C74412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C000D7">
        <w:rPr>
          <w:rFonts w:asciiTheme="minorHAnsi" w:hAnsiTheme="minorHAnsi"/>
          <w:bCs/>
          <w:sz w:val="24"/>
        </w:rPr>
        <w:t xml:space="preserve">29 ust. 1 pkt 3, </w:t>
      </w:r>
      <w:r w:rsidR="00C74412"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C74412">
        <w:rPr>
          <w:rFonts w:asciiTheme="minorHAnsi" w:hAnsiTheme="minorHAnsi"/>
          <w:bCs/>
          <w:sz w:val="24"/>
        </w:rPr>
        <w:t xml:space="preserve">38, </w:t>
      </w:r>
      <w:r w:rsidR="00C97D09">
        <w:rPr>
          <w:rFonts w:asciiTheme="minorHAnsi" w:hAnsiTheme="minorHAnsi"/>
          <w:bCs/>
          <w:sz w:val="24"/>
        </w:rPr>
        <w:t>§ 40 ust. 2 zdanie drugie, § 48 ust. 4,</w:t>
      </w:r>
      <w:r w:rsidR="00C000D7">
        <w:rPr>
          <w:rFonts w:asciiTheme="minorHAnsi" w:hAnsiTheme="minorHAnsi"/>
          <w:bCs/>
          <w:sz w:val="24"/>
        </w:rPr>
        <w:t xml:space="preserve"> </w:t>
      </w:r>
      <w:r w:rsidR="00260F1B">
        <w:rPr>
          <w:rFonts w:asciiTheme="minorHAnsi" w:hAnsiTheme="minorHAnsi"/>
          <w:bCs/>
          <w:sz w:val="24"/>
        </w:rPr>
        <w:t xml:space="preserve">§ 49 ust. 5, § 52 ust. 3, </w:t>
      </w:r>
      <w:r w:rsidR="00C000D7">
        <w:rPr>
          <w:rFonts w:asciiTheme="minorHAnsi" w:hAnsiTheme="minorHAnsi"/>
          <w:bCs/>
          <w:sz w:val="24"/>
        </w:rPr>
        <w:t>§ 57</w:t>
      </w:r>
      <w:r w:rsidR="00C97D09">
        <w:rPr>
          <w:rFonts w:asciiTheme="minorHAnsi" w:hAnsiTheme="minorHAnsi"/>
          <w:bCs/>
          <w:sz w:val="24"/>
        </w:rPr>
        <w:t xml:space="preserve"> </w:t>
      </w:r>
      <w:r w:rsidR="008E0ABF">
        <w:rPr>
          <w:rFonts w:asciiTheme="minorHAnsi" w:hAnsiTheme="minorHAnsi"/>
          <w:bCs/>
          <w:sz w:val="24"/>
        </w:rPr>
        <w:t xml:space="preserve">i § 60 ust. 2 </w:t>
      </w:r>
      <w:r w:rsidR="003E58D2">
        <w:rPr>
          <w:rFonts w:asciiTheme="minorHAnsi" w:hAnsiTheme="minorHAnsi"/>
          <w:bCs/>
          <w:sz w:val="24"/>
        </w:rPr>
        <w:t xml:space="preserve">załącznika do </w:t>
      </w:r>
      <w:r w:rsidR="00C56D2D" w:rsidRPr="007463C3">
        <w:rPr>
          <w:rFonts w:asciiTheme="minorHAnsi" w:hAnsiTheme="minorHAnsi"/>
          <w:bCs/>
          <w:sz w:val="24"/>
        </w:rPr>
        <w:t>uchwały</w:t>
      </w:r>
      <w:r w:rsidR="00A13AB9">
        <w:rPr>
          <w:rFonts w:asciiTheme="minorHAnsi" w:hAnsiTheme="minorHAnsi"/>
          <w:bCs/>
          <w:sz w:val="24"/>
        </w:rPr>
        <w:t xml:space="preserve"> </w:t>
      </w:r>
      <w:r w:rsidR="00BE59D1">
        <w:rPr>
          <w:rFonts w:asciiTheme="minorHAnsi" w:hAnsiTheme="minorHAnsi"/>
          <w:bCs/>
          <w:sz w:val="24"/>
        </w:rPr>
        <w:t>N</w:t>
      </w:r>
      <w:r w:rsidR="00C56D2D" w:rsidRPr="007463C3">
        <w:rPr>
          <w:rFonts w:asciiTheme="minorHAnsi" w:hAnsiTheme="minorHAnsi"/>
          <w:bCs/>
          <w:sz w:val="24"/>
        </w:rPr>
        <w:t xml:space="preserve">r </w:t>
      </w:r>
      <w:r w:rsidR="00C000D7">
        <w:rPr>
          <w:rFonts w:asciiTheme="minorHAnsi" w:hAnsiTheme="minorHAnsi"/>
          <w:bCs/>
          <w:sz w:val="24"/>
        </w:rPr>
        <w:t>III/13/2018 Rady Gminy Pionki z dnia 2</w:t>
      </w:r>
      <w:r w:rsidR="00735016">
        <w:rPr>
          <w:rFonts w:asciiTheme="minorHAnsi" w:hAnsiTheme="minorHAnsi"/>
          <w:bCs/>
          <w:sz w:val="24"/>
        </w:rPr>
        <w:t xml:space="preserve">0 grudnia 2018 r. w sprawie </w:t>
      </w:r>
      <w:r w:rsidR="00C000D7">
        <w:rPr>
          <w:rFonts w:asciiTheme="minorHAnsi" w:hAnsiTheme="minorHAnsi"/>
          <w:bCs/>
          <w:sz w:val="24"/>
        </w:rPr>
        <w:t xml:space="preserve">uchwalenia </w:t>
      </w:r>
      <w:r w:rsidR="00735016">
        <w:rPr>
          <w:rFonts w:asciiTheme="minorHAnsi" w:hAnsiTheme="minorHAnsi"/>
          <w:bCs/>
          <w:sz w:val="24"/>
        </w:rPr>
        <w:t>S</w:t>
      </w:r>
      <w:r w:rsidR="00D47A6E">
        <w:rPr>
          <w:rFonts w:asciiTheme="minorHAnsi" w:hAnsiTheme="minorHAnsi"/>
          <w:bCs/>
          <w:sz w:val="24"/>
        </w:rPr>
        <w:t>tatutu Gmi</w:t>
      </w:r>
      <w:r w:rsidR="00C000D7">
        <w:rPr>
          <w:rFonts w:asciiTheme="minorHAnsi" w:hAnsiTheme="minorHAnsi"/>
          <w:bCs/>
          <w:sz w:val="24"/>
        </w:rPr>
        <w:t>ny Pionki</w:t>
      </w:r>
      <w:r w:rsidR="00D47A6E">
        <w:rPr>
          <w:rFonts w:asciiTheme="minorHAnsi" w:hAnsiTheme="minorHAnsi"/>
          <w:bCs/>
          <w:sz w:val="24"/>
        </w:rPr>
        <w:t>.</w:t>
      </w:r>
    </w:p>
    <w:p w:rsidR="000510A6" w:rsidRPr="007463C3" w:rsidRDefault="000510A6" w:rsidP="00A13AB9">
      <w:pPr>
        <w:pStyle w:val="Tekstpodstawowy"/>
        <w:spacing w:before="120" w:after="120" w:line="240" w:lineRule="auto"/>
        <w:ind w:right="-1"/>
        <w:jc w:val="center"/>
        <w:rPr>
          <w:rFonts w:asciiTheme="minorHAnsi" w:hAnsiTheme="minorHAnsi"/>
          <w:b/>
          <w:sz w:val="24"/>
        </w:rPr>
      </w:pPr>
      <w:r w:rsidRPr="007463C3">
        <w:rPr>
          <w:rFonts w:asciiTheme="minorHAnsi" w:hAnsiTheme="minorHAnsi"/>
          <w:b/>
          <w:sz w:val="24"/>
        </w:rPr>
        <w:t>Uzasadnienie</w:t>
      </w:r>
    </w:p>
    <w:p w:rsidR="006B61F1" w:rsidRPr="007463C3" w:rsidRDefault="00C000D7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Rada Gminy Pionki</w:t>
      </w:r>
      <w:r w:rsidR="00AD6672">
        <w:rPr>
          <w:rFonts w:asciiTheme="minorHAnsi" w:hAnsiTheme="minorHAnsi"/>
          <w:sz w:val="24"/>
        </w:rPr>
        <w:t>,</w:t>
      </w:r>
      <w:r w:rsidR="00D47A6E">
        <w:rPr>
          <w:rFonts w:asciiTheme="minorHAnsi" w:hAnsiTheme="minorHAnsi"/>
          <w:sz w:val="24"/>
        </w:rPr>
        <w:t xml:space="preserve"> na podstawie art. 18 ust. 2 pkt 1</w:t>
      </w:r>
      <w:r w:rsidR="003C3C8D" w:rsidRPr="007463C3">
        <w:rPr>
          <w:rFonts w:asciiTheme="minorHAnsi" w:hAnsiTheme="minorHAnsi"/>
          <w:sz w:val="24"/>
        </w:rPr>
        <w:t xml:space="preserve"> ustawy o samorządzie</w:t>
      </w:r>
      <w:r w:rsidR="00D47A6E">
        <w:rPr>
          <w:rFonts w:asciiTheme="minorHAnsi" w:hAnsiTheme="minorHAnsi"/>
          <w:sz w:val="24"/>
        </w:rPr>
        <w:t xml:space="preserve"> gminnym</w:t>
      </w:r>
      <w:r w:rsidR="00CC4F3C" w:rsidRPr="007463C3">
        <w:rPr>
          <w:rFonts w:asciiTheme="minorHAnsi" w:hAnsiTheme="minorHAnsi"/>
          <w:sz w:val="24"/>
        </w:rPr>
        <w:t>, przedmiotową uchwał</w:t>
      </w:r>
      <w:r w:rsidR="00AD6672">
        <w:rPr>
          <w:rFonts w:asciiTheme="minorHAnsi" w:hAnsiTheme="minorHAnsi"/>
          <w:sz w:val="24"/>
        </w:rPr>
        <w:t>ą</w:t>
      </w:r>
      <w:r>
        <w:rPr>
          <w:rFonts w:asciiTheme="minorHAnsi" w:hAnsiTheme="minorHAnsi"/>
          <w:sz w:val="24"/>
        </w:rPr>
        <w:t xml:space="preserve"> uchwaliła Statut Gminy Pionki</w:t>
      </w:r>
      <w:r w:rsidR="004A00E9">
        <w:rPr>
          <w:rFonts w:asciiTheme="minorHAnsi" w:hAnsiTheme="minorHAnsi"/>
          <w:sz w:val="24"/>
        </w:rPr>
        <w:t>.</w:t>
      </w:r>
    </w:p>
    <w:p w:rsidR="003C3C8D" w:rsidRDefault="003C3C8D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 w:rsidRPr="007463C3">
        <w:rPr>
          <w:rFonts w:asciiTheme="minorHAnsi" w:hAnsiTheme="minorHAnsi"/>
          <w:sz w:val="24"/>
        </w:rPr>
        <w:t>Uchwała wpłynęła do o</w:t>
      </w:r>
      <w:r w:rsidR="00D47A6E">
        <w:rPr>
          <w:rFonts w:asciiTheme="minorHAnsi" w:hAnsiTheme="minorHAnsi"/>
          <w:sz w:val="24"/>
        </w:rPr>
        <w:t xml:space="preserve">rganu nadzoru </w:t>
      </w:r>
      <w:r w:rsidR="00C000D7">
        <w:rPr>
          <w:rFonts w:asciiTheme="minorHAnsi" w:hAnsiTheme="minorHAnsi"/>
          <w:sz w:val="24"/>
        </w:rPr>
        <w:t>w dniu 2 stycznia 2019</w:t>
      </w:r>
      <w:r w:rsidRPr="007463C3">
        <w:rPr>
          <w:rFonts w:asciiTheme="minorHAnsi" w:hAnsiTheme="minorHAnsi"/>
          <w:sz w:val="24"/>
        </w:rPr>
        <w:t xml:space="preserve"> r.</w:t>
      </w:r>
    </w:p>
    <w:p w:rsidR="004A00E9" w:rsidRDefault="004A00E9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 w:rsidRPr="00512A2B">
        <w:rPr>
          <w:rFonts w:asciiTheme="minorHAnsi" w:hAnsiTheme="minorHAnsi"/>
          <w:sz w:val="24"/>
        </w:rPr>
        <w:t xml:space="preserve">Uchwała w sprawie zmiany statutu jest aktem prawa miejscowego regulującym istotne, </w:t>
      </w:r>
      <w:r>
        <w:rPr>
          <w:rFonts w:asciiTheme="minorHAnsi" w:hAnsiTheme="minorHAnsi"/>
          <w:sz w:val="24"/>
        </w:rPr>
        <w:t xml:space="preserve">podstawowe </w:t>
      </w:r>
      <w:r w:rsidRPr="00512A2B">
        <w:rPr>
          <w:rFonts w:asciiTheme="minorHAnsi" w:hAnsiTheme="minorHAnsi"/>
          <w:sz w:val="24"/>
        </w:rPr>
        <w:t xml:space="preserve">kwestie dotyczące </w:t>
      </w:r>
      <w:r>
        <w:rPr>
          <w:rFonts w:asciiTheme="minorHAnsi" w:hAnsiTheme="minorHAnsi"/>
          <w:sz w:val="24"/>
        </w:rPr>
        <w:t xml:space="preserve">funkcjonowania </w:t>
      </w:r>
      <w:r w:rsidRPr="00512A2B">
        <w:rPr>
          <w:rFonts w:asciiTheme="minorHAnsi" w:hAnsiTheme="minorHAnsi"/>
          <w:sz w:val="24"/>
        </w:rPr>
        <w:t>jednostki samorządu terytorial</w:t>
      </w:r>
      <w:r w:rsidR="00D77B5F">
        <w:rPr>
          <w:rFonts w:asciiTheme="minorHAnsi" w:hAnsiTheme="minorHAnsi"/>
          <w:sz w:val="24"/>
        </w:rPr>
        <w:t>nego. Dlatego przy projektowaniu</w:t>
      </w:r>
      <w:r w:rsidRPr="00512A2B">
        <w:rPr>
          <w:rFonts w:asciiTheme="minorHAnsi" w:hAnsiTheme="minorHAnsi"/>
          <w:sz w:val="24"/>
        </w:rPr>
        <w:t xml:space="preserve"> statutu istotna jest szczególna staranności przy jego opracowywaniu, </w:t>
      </w:r>
      <w:r>
        <w:rPr>
          <w:rFonts w:asciiTheme="minorHAnsi" w:hAnsiTheme="minorHAnsi"/>
          <w:sz w:val="24"/>
        </w:rPr>
        <w:t xml:space="preserve">a </w:t>
      </w:r>
      <w:r w:rsidRPr="00512A2B">
        <w:rPr>
          <w:rFonts w:asciiTheme="minorHAnsi" w:hAnsiTheme="minorHAnsi"/>
          <w:sz w:val="24"/>
        </w:rPr>
        <w:t>uchwała nie może budzić wątpliwości co do zawartych w nim regulacji.</w:t>
      </w:r>
    </w:p>
    <w:p w:rsidR="00CC5C0F" w:rsidRDefault="00CC5C0F" w:rsidP="00A13AB9">
      <w:pPr>
        <w:pStyle w:val="Tekstpodstawowy"/>
        <w:spacing w:before="120" w:after="120" w:line="240" w:lineRule="auto"/>
        <w:ind w:right="-1"/>
        <w:rPr>
          <w:rFonts w:asciiTheme="minorHAnsi" w:hAnsiTheme="minorHAnsi"/>
          <w:sz w:val="24"/>
        </w:rPr>
      </w:pPr>
      <w:r w:rsidRPr="00512A2B">
        <w:rPr>
          <w:rFonts w:asciiTheme="minorHAnsi" w:hAnsiTheme="minorHAnsi"/>
          <w:sz w:val="24"/>
        </w:rPr>
        <w:t>W ocenie organu nadzoru, nie</w:t>
      </w:r>
      <w:r>
        <w:rPr>
          <w:rFonts w:asciiTheme="minorHAnsi" w:hAnsiTheme="minorHAnsi"/>
          <w:sz w:val="24"/>
        </w:rPr>
        <w:t>które</w:t>
      </w:r>
      <w:r w:rsidRPr="00512A2B">
        <w:rPr>
          <w:rFonts w:asciiTheme="minorHAnsi" w:hAnsiTheme="minorHAnsi"/>
          <w:sz w:val="24"/>
        </w:rPr>
        <w:t xml:space="preserve"> zapisy </w:t>
      </w:r>
      <w:r>
        <w:rPr>
          <w:rFonts w:asciiTheme="minorHAnsi" w:hAnsiTheme="minorHAnsi"/>
          <w:sz w:val="24"/>
        </w:rPr>
        <w:t>badanego S</w:t>
      </w:r>
      <w:r w:rsidRPr="00512A2B">
        <w:rPr>
          <w:rFonts w:asciiTheme="minorHAnsi" w:hAnsiTheme="minorHAnsi"/>
          <w:sz w:val="24"/>
        </w:rPr>
        <w:t xml:space="preserve">tatutu są </w:t>
      </w:r>
      <w:r>
        <w:rPr>
          <w:rFonts w:asciiTheme="minorHAnsi" w:hAnsiTheme="minorHAnsi"/>
          <w:sz w:val="24"/>
        </w:rPr>
        <w:t>sprzeczne z prawem</w:t>
      </w:r>
      <w:r w:rsidRPr="00512A2B">
        <w:rPr>
          <w:rFonts w:asciiTheme="minorHAnsi" w:hAnsiTheme="minorHAnsi"/>
          <w:sz w:val="24"/>
        </w:rPr>
        <w:t>.</w:t>
      </w:r>
    </w:p>
    <w:p w:rsidR="002B76F5" w:rsidRDefault="005617FB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 </w:t>
      </w:r>
      <w:r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7 Statutu Rada Gminy wymieniła katalog zadań własnych gminy, wprost przepisując go z ustawy o samorządzie gminnym</w:t>
      </w:r>
      <w:r w:rsidR="00C97D09">
        <w:rPr>
          <w:rFonts w:asciiTheme="minorHAnsi" w:hAnsiTheme="minorHAnsi"/>
          <w:bCs/>
          <w:sz w:val="24"/>
        </w:rPr>
        <w:t>,</w:t>
      </w:r>
      <w:r>
        <w:rPr>
          <w:rFonts w:asciiTheme="minorHAnsi" w:hAnsiTheme="minorHAnsi"/>
          <w:bCs/>
          <w:sz w:val="24"/>
        </w:rPr>
        <w:t xml:space="preserve"> z art. 7. Takie powtórzenie jest, co do zasady niedopuszczalne i jest rażącym naruszeniem prawa – wyrok WSA z 30.06.2011 r. IV SA/Po 431/11. Powtórzenie regu</w:t>
      </w:r>
      <w:r w:rsidR="00C97D09">
        <w:rPr>
          <w:rFonts w:asciiTheme="minorHAnsi" w:hAnsiTheme="minorHAnsi"/>
          <w:bCs/>
          <w:sz w:val="24"/>
        </w:rPr>
        <w:t>lacji ustawowej</w:t>
      </w:r>
      <w:r>
        <w:rPr>
          <w:rFonts w:asciiTheme="minorHAnsi" w:hAnsiTheme="minorHAnsi"/>
          <w:bCs/>
          <w:sz w:val="24"/>
        </w:rPr>
        <w:t xml:space="preserve"> narusza przepisy § 118 w zw. z §</w:t>
      </w:r>
      <w:r w:rsidR="00D77B5F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143 Zasad Techniki Prawodawczej, jak i art. 7 i art. 94 Konstytucji, stanowiąc w istocie uregulowanie danej materii bez wymaganego upoważnienia.</w:t>
      </w:r>
    </w:p>
    <w:p w:rsidR="002B76F5" w:rsidRDefault="002B76F5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</w:t>
      </w:r>
      <w:r>
        <w:rPr>
          <w:rFonts w:asciiTheme="minorHAnsi" w:hAnsiTheme="minorHAnsi"/>
          <w:bCs/>
          <w:sz w:val="24"/>
        </w:rPr>
        <w:t>§</w:t>
      </w:r>
      <w:r w:rsidR="00D77B5F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8 ust. 3 pkt 5 Statutu zapisała, że jednostki pomocnicze prowadzą gospodarkę finansową </w:t>
      </w:r>
      <w:r w:rsidR="00A13AB9">
        <w:rPr>
          <w:rFonts w:asciiTheme="minorHAnsi" w:hAnsiTheme="minorHAnsi"/>
          <w:bCs/>
          <w:sz w:val="24"/>
        </w:rPr>
        <w:br/>
      </w:r>
      <w:r>
        <w:rPr>
          <w:rFonts w:asciiTheme="minorHAnsi" w:hAnsiTheme="minorHAnsi"/>
          <w:bCs/>
          <w:sz w:val="24"/>
        </w:rPr>
        <w:t>w ramach budżetu Gminy w przypad</w:t>
      </w:r>
      <w:r w:rsidR="00C97D09">
        <w:rPr>
          <w:rFonts w:asciiTheme="minorHAnsi" w:hAnsiTheme="minorHAnsi"/>
          <w:bCs/>
          <w:sz w:val="24"/>
        </w:rPr>
        <w:t>ku podjęcia decyzji przez Radę G</w:t>
      </w:r>
      <w:r>
        <w:rPr>
          <w:rFonts w:asciiTheme="minorHAnsi" w:hAnsiTheme="minorHAnsi"/>
          <w:bCs/>
          <w:sz w:val="24"/>
        </w:rPr>
        <w:t xml:space="preserve">miny o otworzeniu funduszu sołeckiego. Zapis ten jest niedopuszczalny, gdyż stanowi modyfikację art. 51 ust. 3 ustawy </w:t>
      </w:r>
      <w:r w:rsidR="00A10F58">
        <w:rPr>
          <w:rFonts w:asciiTheme="minorHAnsi" w:hAnsiTheme="minorHAnsi"/>
          <w:bCs/>
          <w:sz w:val="24"/>
        </w:rPr>
        <w:br/>
      </w:r>
      <w:r>
        <w:rPr>
          <w:rFonts w:asciiTheme="minorHAnsi" w:hAnsiTheme="minorHAnsi"/>
          <w:bCs/>
          <w:sz w:val="24"/>
        </w:rPr>
        <w:t>o samorządzie gminnym, albowiem zgodnie z w/w przepisem, jednostki pomocnicze prowadzą gospodarkę finansową w ramach budżetu, niezależnie od funduszu soleckiego.</w:t>
      </w:r>
    </w:p>
    <w:p w:rsidR="00EB786A" w:rsidRDefault="00EB786A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 §</w:t>
      </w:r>
      <w:r w:rsidR="00D77B5F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19 ust.</w:t>
      </w:r>
      <w:r w:rsidR="00DC0D10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2 i 3 Statutu R</w:t>
      </w:r>
      <w:r w:rsidR="00C97D09">
        <w:rPr>
          <w:rFonts w:asciiTheme="minorHAnsi" w:hAnsiTheme="minorHAnsi"/>
          <w:bCs/>
          <w:sz w:val="24"/>
        </w:rPr>
        <w:t xml:space="preserve">ada </w:t>
      </w:r>
      <w:r>
        <w:rPr>
          <w:rFonts w:asciiTheme="minorHAnsi" w:hAnsiTheme="minorHAnsi"/>
          <w:bCs/>
          <w:sz w:val="24"/>
        </w:rPr>
        <w:t xml:space="preserve">uchwaliła, że członek komisji rewizyjnej podlega wyłączeniu z kontroli, której wynik może mieć wpływ na jego interesy, prawa i obowiązki. O przyczynach powodujących </w:t>
      </w:r>
      <w:r>
        <w:rPr>
          <w:rFonts w:asciiTheme="minorHAnsi" w:hAnsiTheme="minorHAnsi"/>
          <w:bCs/>
          <w:sz w:val="24"/>
        </w:rPr>
        <w:lastRenderedPageBreak/>
        <w:t>wyłączenie, członek Komisji rewizyjnej obowiązany jest zawiadomić Komisję.</w:t>
      </w:r>
      <w:r w:rsidR="0012382A">
        <w:rPr>
          <w:rFonts w:asciiTheme="minorHAnsi" w:hAnsiTheme="minorHAnsi"/>
          <w:bCs/>
          <w:sz w:val="24"/>
        </w:rPr>
        <w:t xml:space="preserve"> W ocenie organu nad</w:t>
      </w:r>
      <w:r w:rsidR="00DC0D10">
        <w:rPr>
          <w:rFonts w:asciiTheme="minorHAnsi" w:hAnsiTheme="minorHAnsi"/>
          <w:bCs/>
          <w:sz w:val="24"/>
        </w:rPr>
        <w:t>zoru, dokonana regulacja jest sprzeczna</w:t>
      </w:r>
      <w:r w:rsidR="0012382A">
        <w:rPr>
          <w:rFonts w:asciiTheme="minorHAnsi" w:hAnsiTheme="minorHAnsi"/>
          <w:bCs/>
          <w:sz w:val="24"/>
        </w:rPr>
        <w:t xml:space="preserve"> z art. 25 a ustawy o samorządzie gminnym, zgodnie </w:t>
      </w:r>
      <w:r w:rsidR="00A13AB9">
        <w:rPr>
          <w:rFonts w:asciiTheme="minorHAnsi" w:hAnsiTheme="minorHAnsi"/>
          <w:bCs/>
          <w:sz w:val="24"/>
        </w:rPr>
        <w:br/>
      </w:r>
      <w:r w:rsidR="0012382A">
        <w:rPr>
          <w:rFonts w:asciiTheme="minorHAnsi" w:hAnsiTheme="minorHAnsi"/>
          <w:bCs/>
          <w:sz w:val="24"/>
        </w:rPr>
        <w:t xml:space="preserve">z którym radny nie może brać udziału w głosowaniu w radzie ani komisji, jeżeli dotyczy ono jego interesu prawnego. Nie jest możliwe jakiekolwiek nawet czasowe wyłączenie od </w:t>
      </w:r>
      <w:r w:rsidR="00A13AB9">
        <w:rPr>
          <w:rFonts w:asciiTheme="minorHAnsi" w:hAnsiTheme="minorHAnsi"/>
          <w:bCs/>
          <w:sz w:val="24"/>
        </w:rPr>
        <w:t xml:space="preserve">udziału w jej pracach. Zgodnie </w:t>
      </w:r>
      <w:r w:rsidR="0012382A">
        <w:rPr>
          <w:rFonts w:asciiTheme="minorHAnsi" w:hAnsiTheme="minorHAnsi"/>
          <w:bCs/>
          <w:sz w:val="24"/>
        </w:rPr>
        <w:t>z</w:t>
      </w:r>
      <w:r w:rsidR="00DC0D10">
        <w:rPr>
          <w:rFonts w:asciiTheme="minorHAnsi" w:hAnsiTheme="minorHAnsi"/>
          <w:bCs/>
          <w:sz w:val="24"/>
        </w:rPr>
        <w:t xml:space="preserve"> </w:t>
      </w:r>
      <w:r w:rsidR="0012382A">
        <w:rPr>
          <w:rFonts w:asciiTheme="minorHAnsi" w:hAnsiTheme="minorHAnsi"/>
          <w:bCs/>
          <w:sz w:val="24"/>
        </w:rPr>
        <w:t>powołanym art. 25a ustawy wyłąc</w:t>
      </w:r>
      <w:r w:rsidR="00D77B5F">
        <w:rPr>
          <w:rFonts w:asciiTheme="minorHAnsi" w:hAnsiTheme="minorHAnsi"/>
          <w:bCs/>
          <w:sz w:val="24"/>
        </w:rPr>
        <w:t>zenie dotyczy samego głosowania</w:t>
      </w:r>
      <w:r w:rsidR="0012382A">
        <w:rPr>
          <w:rFonts w:asciiTheme="minorHAnsi" w:hAnsiTheme="minorHAnsi"/>
          <w:bCs/>
          <w:sz w:val="24"/>
        </w:rPr>
        <w:t xml:space="preserve"> w</w:t>
      </w:r>
      <w:r w:rsidR="00DC0D10">
        <w:rPr>
          <w:rFonts w:asciiTheme="minorHAnsi" w:hAnsiTheme="minorHAnsi"/>
          <w:bCs/>
          <w:sz w:val="24"/>
        </w:rPr>
        <w:t xml:space="preserve"> </w:t>
      </w:r>
      <w:r w:rsidR="0012382A">
        <w:rPr>
          <w:rFonts w:asciiTheme="minorHAnsi" w:hAnsiTheme="minorHAnsi"/>
          <w:bCs/>
          <w:sz w:val="24"/>
        </w:rPr>
        <w:t xml:space="preserve">radzie czy komisji </w:t>
      </w:r>
      <w:r w:rsidR="00A10F58">
        <w:rPr>
          <w:rFonts w:asciiTheme="minorHAnsi" w:hAnsiTheme="minorHAnsi"/>
          <w:bCs/>
          <w:sz w:val="24"/>
        </w:rPr>
        <w:br/>
      </w:r>
      <w:r w:rsidR="0012382A">
        <w:rPr>
          <w:rFonts w:asciiTheme="minorHAnsi" w:hAnsiTheme="minorHAnsi"/>
          <w:bCs/>
          <w:sz w:val="24"/>
        </w:rPr>
        <w:t>a</w:t>
      </w:r>
      <w:r w:rsidR="00DC0D10">
        <w:rPr>
          <w:rFonts w:asciiTheme="minorHAnsi" w:hAnsiTheme="minorHAnsi"/>
          <w:bCs/>
          <w:sz w:val="24"/>
        </w:rPr>
        <w:t xml:space="preserve"> </w:t>
      </w:r>
      <w:r w:rsidR="0012382A">
        <w:rPr>
          <w:rFonts w:asciiTheme="minorHAnsi" w:hAnsiTheme="minorHAnsi"/>
          <w:bCs/>
          <w:sz w:val="24"/>
        </w:rPr>
        <w:t>nie pracy w radzie czy komisji.</w:t>
      </w:r>
    </w:p>
    <w:p w:rsidR="00DC0D10" w:rsidRDefault="00DC0D10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W § 23 ust. 1 Statutu Rada uchwaliła, że każdy pracownik jednostki kontrolowanej jest obowiązany na żądanie członka Komisji rewizyjnej udzielić wyjaśnień ustnych i pisemnych w sprawach dotyczących przedmiotu kontroli w terminie ustalonym przez Komisję. Zapis powyższy jest nieprawidłowy, brak jest delegacji ustawowej dla podejmowania działań przez członka komisji. Tylko Komisja Rewizyjna, ewentualnie Zespól kontrolny jest władny do żądania informacji w jednostce kontrolowanej.</w:t>
      </w:r>
    </w:p>
    <w:p w:rsidR="002B28C3" w:rsidRDefault="0092464D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>W § 24</w:t>
      </w:r>
      <w:r w:rsidR="002B28C3">
        <w:rPr>
          <w:rFonts w:asciiTheme="minorHAnsi" w:hAnsiTheme="minorHAnsi"/>
          <w:bCs/>
          <w:sz w:val="24"/>
        </w:rPr>
        <w:t xml:space="preserve"> Statutu Rada </w:t>
      </w:r>
      <w:r>
        <w:rPr>
          <w:rFonts w:asciiTheme="minorHAnsi" w:hAnsiTheme="minorHAnsi"/>
          <w:bCs/>
          <w:sz w:val="24"/>
        </w:rPr>
        <w:t xml:space="preserve">w Rozdziale „Komisja rewizyjna” </w:t>
      </w:r>
      <w:r w:rsidR="002B28C3">
        <w:rPr>
          <w:rFonts w:asciiTheme="minorHAnsi" w:hAnsiTheme="minorHAnsi"/>
          <w:bCs/>
          <w:sz w:val="24"/>
        </w:rPr>
        <w:t>uchwaliła,</w:t>
      </w:r>
      <w:r>
        <w:rPr>
          <w:rFonts w:asciiTheme="minorHAnsi" w:hAnsiTheme="minorHAnsi"/>
          <w:bCs/>
          <w:sz w:val="24"/>
        </w:rPr>
        <w:t xml:space="preserve"> że organ kontroli może powołać biegłego, jeżeli kontrola określonych zagadnień wymaga specjalnych wiadomości.</w:t>
      </w:r>
    </w:p>
    <w:p w:rsidR="00743D8C" w:rsidRDefault="00D77B5F" w:rsidP="00A13AB9">
      <w:pPr>
        <w:spacing w:before="120" w:after="120"/>
        <w:ind w:firstLine="284"/>
        <w:jc w:val="both"/>
        <w:rPr>
          <w:rFonts w:ascii="Calibri" w:hAnsi="Calibri" w:cs="Calibri"/>
          <w:color w:val="000000" w:themeColor="text1"/>
          <w:lang w:eastAsia="pl-PL"/>
        </w:rPr>
      </w:pPr>
      <w:r>
        <w:rPr>
          <w:rFonts w:ascii="Calibri" w:hAnsi="Calibri" w:cs="Calibri"/>
          <w:color w:val="000000" w:themeColor="text1"/>
          <w:lang w:eastAsia="pl-PL"/>
        </w:rPr>
        <w:t>Zgodnie z art. 15</w:t>
      </w:r>
      <w:r w:rsidR="0092464D">
        <w:rPr>
          <w:rFonts w:ascii="Calibri" w:hAnsi="Calibri" w:cs="Calibri"/>
          <w:color w:val="000000" w:themeColor="text1"/>
          <w:lang w:eastAsia="pl-PL"/>
        </w:rPr>
        <w:t xml:space="preserve"> ustawy o samorządzie gminnym,</w:t>
      </w:r>
      <w:r w:rsidR="002B28C3" w:rsidRPr="00EB67B7">
        <w:rPr>
          <w:rFonts w:ascii="Calibri" w:hAnsi="Calibri" w:cs="Calibri"/>
          <w:color w:val="000000" w:themeColor="text1"/>
          <w:lang w:eastAsia="pl-PL"/>
        </w:rPr>
        <w:t xml:space="preserve"> organem kontrolnym w gminie jest rada gminy. W celu wykonywania swoich kompetencji kontrolnych, rada gminy powołuje różne komisje, w tym komisję rewizyjną. Zgodnie z zapisem </w:t>
      </w:r>
      <w:hyperlink r:id="rId5" w:anchor="/document/16793509?unitId=art(18(a))ust(1)&amp;cm=DOCUMENT" w:history="1">
        <w:r w:rsidR="002B28C3" w:rsidRPr="0092464D">
          <w:rPr>
            <w:rStyle w:val="Hipercze"/>
            <w:rFonts w:ascii="Calibri" w:hAnsi="Calibri" w:cs="Calibri"/>
            <w:color w:val="000000" w:themeColor="text1"/>
            <w:u w:val="none"/>
            <w:lang w:eastAsia="pl-PL"/>
          </w:rPr>
          <w:t>art. 18a ust. 1</w:t>
        </w:r>
      </w:hyperlink>
      <w:r w:rsidR="002B28C3" w:rsidRPr="00EB67B7">
        <w:rPr>
          <w:rFonts w:ascii="Calibri" w:hAnsi="Calibri" w:cs="Calibri"/>
          <w:color w:val="000000" w:themeColor="text1"/>
          <w:lang w:eastAsia="pl-PL"/>
        </w:rPr>
        <w:t xml:space="preserve"> ustawy o samorządzie gminnym, rada gminy kontroluje działalność wójta, gminnych jednostek organizacyjnych oraz jednostek pomocniczych gminy, w tym celu powołuje komisję rewizyjną. W skład komisji rewizyjnej wchodzą radni, w tym przedstawiciele wszystkich klub</w:t>
      </w:r>
      <w:r w:rsidR="0092464D">
        <w:rPr>
          <w:rFonts w:ascii="Calibri" w:hAnsi="Calibri" w:cs="Calibri"/>
          <w:color w:val="000000" w:themeColor="text1"/>
          <w:lang w:eastAsia="pl-PL"/>
        </w:rPr>
        <w:t>ów z wyjątkiem przewodniczącego</w:t>
      </w:r>
      <w:r w:rsidR="00C40227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2B28C3" w:rsidRPr="00EB67B7">
        <w:rPr>
          <w:rFonts w:ascii="Calibri" w:hAnsi="Calibri" w:cs="Calibri"/>
          <w:color w:val="000000" w:themeColor="text1"/>
          <w:lang w:eastAsia="pl-PL"/>
        </w:rPr>
        <w:t xml:space="preserve">i wiceprzewodniczących rady gminy. Komisja rewizyjna nie jest </w:t>
      </w:r>
      <w:r w:rsidR="0051160B">
        <w:rPr>
          <w:rFonts w:ascii="Calibri" w:hAnsi="Calibri" w:cs="Calibri"/>
          <w:color w:val="000000" w:themeColor="text1"/>
          <w:lang w:eastAsia="pl-PL"/>
        </w:rPr>
        <w:t xml:space="preserve">jednak </w:t>
      </w:r>
      <w:r w:rsidR="002B28C3" w:rsidRPr="00EB67B7">
        <w:rPr>
          <w:rFonts w:ascii="Calibri" w:hAnsi="Calibri" w:cs="Calibri"/>
          <w:color w:val="000000" w:themeColor="text1"/>
          <w:lang w:eastAsia="pl-PL"/>
        </w:rPr>
        <w:t xml:space="preserve">organem kontrolnym gminy, a jedynie aparatem pomocniczym rady, za którego pomocą rada gminy wykonuje swoją funkcję kontrolną. Oznacza to, </w:t>
      </w:r>
      <w:r w:rsidR="00542B58">
        <w:rPr>
          <w:rFonts w:ascii="Calibri" w:hAnsi="Calibri" w:cs="Calibri"/>
          <w:color w:val="000000" w:themeColor="text1"/>
          <w:lang w:eastAsia="pl-PL"/>
        </w:rPr>
        <w:br/>
      </w:r>
      <w:r w:rsidR="002B28C3" w:rsidRPr="00EB67B7">
        <w:rPr>
          <w:rFonts w:ascii="Calibri" w:hAnsi="Calibri" w:cs="Calibri"/>
          <w:color w:val="000000" w:themeColor="text1"/>
          <w:lang w:eastAsia="pl-PL"/>
        </w:rPr>
        <w:t>że komisja rewizyjna, podobnie jak każda inna komisja rady, dokonując czynności kontrolnych, nie działa samodzielnie, może bowiem wykonywać te czynności wyłącznie w zakresie i trybie ustalonym przez radę</w:t>
      </w:r>
      <w:r w:rsidR="0092464D">
        <w:rPr>
          <w:rFonts w:ascii="Calibri" w:hAnsi="Calibri" w:cs="Calibri"/>
          <w:color w:val="000000" w:themeColor="text1"/>
          <w:lang w:eastAsia="pl-PL"/>
        </w:rPr>
        <w:t xml:space="preserve">. </w:t>
      </w:r>
    </w:p>
    <w:p w:rsidR="00743D8C" w:rsidRPr="0051160B" w:rsidRDefault="009D0DD7" w:rsidP="00A13AB9">
      <w:pPr>
        <w:spacing w:before="120" w:after="120"/>
        <w:ind w:firstLine="284"/>
        <w:jc w:val="both"/>
        <w:rPr>
          <w:rFonts w:asciiTheme="minorHAnsi" w:hAnsiTheme="minorHAnsi" w:cs="Calibri"/>
          <w:color w:val="000000" w:themeColor="text1"/>
          <w:lang w:eastAsia="pl-PL"/>
        </w:rPr>
      </w:pPr>
      <w:r>
        <w:rPr>
          <w:rStyle w:val="info-list-value-uzasadnienie"/>
          <w:rFonts w:asciiTheme="minorHAnsi" w:hAnsiTheme="minorHAnsi"/>
        </w:rPr>
        <w:t>Ponadto z</w:t>
      </w:r>
      <w:r w:rsidR="0051160B">
        <w:rPr>
          <w:rStyle w:val="info-list-value-uzasadnienie"/>
          <w:rFonts w:asciiTheme="minorHAnsi" w:hAnsiTheme="minorHAnsi"/>
        </w:rPr>
        <w:t>akwestionowany przepis</w:t>
      </w:r>
      <w:r w:rsidR="0051160B" w:rsidRPr="0051160B">
        <w:rPr>
          <w:rStyle w:val="info-list-value-uzasadnienie"/>
          <w:rFonts w:asciiTheme="minorHAnsi" w:hAnsiTheme="minorHAnsi"/>
        </w:rPr>
        <w:t xml:space="preserve"> wykracza</w:t>
      </w:r>
      <w:r w:rsidR="00743D8C" w:rsidRPr="0051160B">
        <w:rPr>
          <w:rStyle w:val="info-list-value-uzasadnienie"/>
          <w:rFonts w:asciiTheme="minorHAnsi" w:hAnsiTheme="minorHAnsi"/>
        </w:rPr>
        <w:t xml:space="preserve"> poza zakres spraw mogących podlegać regulacji </w:t>
      </w:r>
      <w:r w:rsidR="00A10F58">
        <w:rPr>
          <w:rStyle w:val="info-list-value-uzasadnienie"/>
          <w:rFonts w:asciiTheme="minorHAnsi" w:hAnsiTheme="minorHAnsi"/>
        </w:rPr>
        <w:br/>
      </w:r>
      <w:r w:rsidR="00743D8C" w:rsidRPr="0051160B">
        <w:rPr>
          <w:rStyle w:val="info-list-value-uzasadnienie"/>
          <w:rFonts w:asciiTheme="minorHAnsi" w:hAnsiTheme="minorHAnsi"/>
        </w:rPr>
        <w:t>w statucie.</w:t>
      </w:r>
      <w:r w:rsidR="0051160B">
        <w:rPr>
          <w:rStyle w:val="info-list-value-uzasadnienie"/>
          <w:rFonts w:asciiTheme="minorHAnsi" w:hAnsiTheme="minorHAnsi"/>
        </w:rPr>
        <w:t xml:space="preserve"> Zgodnie z art. 60 ust. 1 ustawy o samorządzie gminnym</w:t>
      </w:r>
      <w:r w:rsidR="00743D8C" w:rsidRPr="0051160B">
        <w:rPr>
          <w:rStyle w:val="info-list-value-uzasadnienie"/>
          <w:rFonts w:asciiTheme="minorHAnsi" w:hAnsiTheme="minorHAnsi"/>
        </w:rPr>
        <w:t>, za prawidłową gospodarkę finansową gminy odpowiada wójt, któremu przysługuje wyłączne prawo zaciągania zobowiązań mających pokrycie w ustalonych w uchwale budżetowej kwotach wydatków, w ramach upoważnień udzielonych przez radę gm</w:t>
      </w:r>
      <w:r w:rsidR="0051160B">
        <w:rPr>
          <w:rStyle w:val="info-list-value-uzasadnienie"/>
          <w:rFonts w:asciiTheme="minorHAnsi" w:hAnsiTheme="minorHAnsi"/>
        </w:rPr>
        <w:t>iny</w:t>
      </w:r>
      <w:r w:rsidR="00743D8C" w:rsidRPr="0051160B">
        <w:rPr>
          <w:rStyle w:val="info-list-value-uzasadnienie"/>
          <w:rFonts w:asciiTheme="minorHAnsi" w:hAnsiTheme="minorHAnsi"/>
        </w:rPr>
        <w:t>, a także dokonywania wydatków budżetowy</w:t>
      </w:r>
      <w:r w:rsidR="0051160B">
        <w:rPr>
          <w:rStyle w:val="info-list-value-uzasadnienie"/>
          <w:rFonts w:asciiTheme="minorHAnsi" w:hAnsiTheme="minorHAnsi"/>
        </w:rPr>
        <w:t>ch.</w:t>
      </w:r>
    </w:p>
    <w:p w:rsidR="002B28C3" w:rsidRPr="0051160B" w:rsidRDefault="0092464D" w:rsidP="00A13AB9">
      <w:pPr>
        <w:spacing w:before="120" w:after="120"/>
        <w:ind w:firstLine="284"/>
        <w:jc w:val="both"/>
        <w:rPr>
          <w:rFonts w:asciiTheme="minorHAnsi" w:hAnsiTheme="minorHAnsi" w:cs="Calibri"/>
          <w:color w:val="000000" w:themeColor="text1"/>
          <w:lang w:eastAsia="pl-PL"/>
        </w:rPr>
      </w:pPr>
      <w:r w:rsidRPr="0051160B">
        <w:rPr>
          <w:rFonts w:asciiTheme="minorHAnsi" w:hAnsiTheme="minorHAnsi" w:cs="Calibri"/>
          <w:color w:val="000000" w:themeColor="text1"/>
          <w:lang w:eastAsia="pl-PL"/>
        </w:rPr>
        <w:t>Regulacja Statutu wprowadzona</w:t>
      </w:r>
      <w:r w:rsidR="002B28C3" w:rsidRPr="0051160B">
        <w:rPr>
          <w:rFonts w:asciiTheme="minorHAnsi" w:hAnsiTheme="minorHAnsi" w:cs="Calibri"/>
          <w:color w:val="000000" w:themeColor="text1"/>
          <w:lang w:eastAsia="pl-PL"/>
        </w:rPr>
        <w:t xml:space="preserve"> w sposób odmienny, aniżeli wynikający z art. 15 i 18a ustawy </w:t>
      </w:r>
      <w:r w:rsidR="00A10F58">
        <w:rPr>
          <w:rFonts w:asciiTheme="minorHAnsi" w:hAnsiTheme="minorHAnsi" w:cs="Calibri"/>
          <w:color w:val="000000" w:themeColor="text1"/>
          <w:lang w:eastAsia="pl-PL"/>
        </w:rPr>
        <w:br/>
      </w:r>
      <w:r w:rsidR="002B28C3" w:rsidRPr="0051160B">
        <w:rPr>
          <w:rFonts w:asciiTheme="minorHAnsi" w:hAnsiTheme="minorHAnsi" w:cs="Calibri"/>
          <w:color w:val="000000" w:themeColor="text1"/>
          <w:lang w:eastAsia="pl-PL"/>
        </w:rPr>
        <w:t>o samorządzie gminnym</w:t>
      </w:r>
      <w:r w:rsidRPr="0051160B">
        <w:rPr>
          <w:rFonts w:asciiTheme="minorHAnsi" w:hAnsiTheme="minorHAnsi" w:cs="Calibri"/>
          <w:color w:val="000000" w:themeColor="text1"/>
          <w:lang w:eastAsia="pl-PL"/>
        </w:rPr>
        <w:t>, nie może zostać uznana za zgodną</w:t>
      </w:r>
      <w:r w:rsidR="002B28C3" w:rsidRPr="0051160B">
        <w:rPr>
          <w:rFonts w:asciiTheme="minorHAnsi" w:hAnsiTheme="minorHAnsi" w:cs="Calibri"/>
          <w:color w:val="000000" w:themeColor="text1"/>
          <w:lang w:eastAsia="pl-PL"/>
        </w:rPr>
        <w:t xml:space="preserve"> z prawem. </w:t>
      </w:r>
    </w:p>
    <w:p w:rsidR="00FB2B38" w:rsidRPr="003E58D2" w:rsidRDefault="00C40227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  <w:lang w:eastAsia="pl-PL"/>
        </w:rPr>
      </w:pPr>
      <w:r>
        <w:rPr>
          <w:rFonts w:asciiTheme="minorHAnsi" w:hAnsiTheme="minorHAnsi"/>
          <w:bCs/>
          <w:sz w:val="24"/>
        </w:rPr>
        <w:t>W § </w:t>
      </w:r>
      <w:r w:rsidR="00003F17" w:rsidRPr="00003F17">
        <w:rPr>
          <w:rFonts w:asciiTheme="minorHAnsi" w:hAnsiTheme="minorHAnsi"/>
          <w:bCs/>
          <w:sz w:val="24"/>
        </w:rPr>
        <w:t>25</w:t>
      </w:r>
      <w:r w:rsidR="00B560BA" w:rsidRPr="00003F17">
        <w:rPr>
          <w:rFonts w:asciiTheme="minorHAnsi" w:hAnsiTheme="minorHAnsi"/>
          <w:bCs/>
          <w:sz w:val="24"/>
        </w:rPr>
        <w:t xml:space="preserve"> Statutu Rada</w:t>
      </w:r>
      <w:r w:rsidR="00003F17" w:rsidRPr="00003F17">
        <w:rPr>
          <w:rFonts w:asciiTheme="minorHAnsi" w:hAnsiTheme="minorHAnsi"/>
          <w:bCs/>
          <w:sz w:val="24"/>
        </w:rPr>
        <w:t xml:space="preserve"> uchwaliła, że w razie stwierdzenia w toku kontroli okoliczności uzasadniających podejrzenie popełnienia przestępstwa, Komisja Rewizyjna niezwłocznie powiadamia Wójta i Radę Gminy. Z zawiadomieniem o popełnieniu przestępstwa występują do organów ścigania odpowiednio Wójt lub Rada Gminy. Jest to niedopuszczalna modyfikacja art. 304 Ko</w:t>
      </w:r>
      <w:r w:rsidR="003E58D2">
        <w:rPr>
          <w:rFonts w:asciiTheme="minorHAnsi" w:hAnsiTheme="minorHAnsi"/>
          <w:bCs/>
          <w:sz w:val="24"/>
        </w:rPr>
        <w:t>deksu postępowania karnego (</w:t>
      </w:r>
      <w:r w:rsidR="00003F17" w:rsidRPr="00003F17">
        <w:rPr>
          <w:rFonts w:asciiTheme="minorHAnsi" w:hAnsiTheme="minorHAnsi"/>
          <w:bCs/>
          <w:sz w:val="24"/>
        </w:rPr>
        <w:t>Dz. U. z 2018</w:t>
      </w:r>
      <w:r w:rsidR="003E58D2">
        <w:rPr>
          <w:rFonts w:asciiTheme="minorHAnsi" w:hAnsiTheme="minorHAnsi"/>
          <w:bCs/>
          <w:sz w:val="24"/>
        </w:rPr>
        <w:t xml:space="preserve"> r.</w:t>
      </w:r>
      <w:r w:rsidR="00003F17" w:rsidRPr="00003F17">
        <w:rPr>
          <w:rFonts w:asciiTheme="minorHAnsi" w:hAnsiTheme="minorHAnsi"/>
          <w:bCs/>
          <w:sz w:val="24"/>
        </w:rPr>
        <w:t xml:space="preserve"> poz. 1987), który w </w:t>
      </w:r>
      <w:r w:rsidR="00003F17" w:rsidRPr="00003F17">
        <w:rPr>
          <w:rFonts w:asciiTheme="minorHAnsi" w:hAnsiTheme="minorHAnsi"/>
          <w:sz w:val="24"/>
          <w:lang w:eastAsia="pl-PL"/>
        </w:rPr>
        <w:t xml:space="preserve">§ 1 stanowi </w:t>
      </w:r>
      <w:proofErr w:type="spellStart"/>
      <w:r w:rsidR="00003F17" w:rsidRPr="00003F17">
        <w:rPr>
          <w:rFonts w:asciiTheme="minorHAnsi" w:hAnsiTheme="minorHAnsi"/>
          <w:sz w:val="24"/>
          <w:lang w:eastAsia="pl-PL"/>
        </w:rPr>
        <w:t>cyt</w:t>
      </w:r>
      <w:proofErr w:type="spellEnd"/>
      <w:r w:rsidR="00003F17" w:rsidRPr="00003F17">
        <w:rPr>
          <w:rFonts w:asciiTheme="minorHAnsi" w:hAnsiTheme="minorHAnsi"/>
          <w:sz w:val="24"/>
          <w:lang w:eastAsia="pl-PL"/>
        </w:rPr>
        <w:t>: : „każdy, dowiedziawszy się o popełnieniu przestępstwa ściganego z urzędu, ma społeczny obowiązek zawiadomić o tym prokuratora lub policję”.</w:t>
      </w:r>
    </w:p>
    <w:p w:rsidR="00C000D7" w:rsidRDefault="00C40227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 § </w:t>
      </w:r>
      <w:r w:rsidR="00FB2B38">
        <w:rPr>
          <w:rFonts w:asciiTheme="minorHAnsi" w:hAnsiTheme="minorHAnsi"/>
          <w:bCs/>
          <w:sz w:val="24"/>
        </w:rPr>
        <w:t>29</w:t>
      </w:r>
      <w:r w:rsidR="00C000D7" w:rsidRPr="008164BB">
        <w:rPr>
          <w:rFonts w:asciiTheme="minorHAnsi" w:hAnsiTheme="minorHAnsi"/>
          <w:bCs/>
          <w:sz w:val="24"/>
        </w:rPr>
        <w:t xml:space="preserve"> u</w:t>
      </w:r>
      <w:r w:rsidR="00FB2B38">
        <w:rPr>
          <w:rFonts w:asciiTheme="minorHAnsi" w:hAnsiTheme="minorHAnsi"/>
          <w:bCs/>
          <w:sz w:val="24"/>
        </w:rPr>
        <w:t>st. 1 pkt 3 Statutu</w:t>
      </w:r>
      <w:r w:rsidR="00C000D7">
        <w:rPr>
          <w:rFonts w:asciiTheme="minorHAnsi" w:hAnsiTheme="minorHAnsi"/>
          <w:bCs/>
          <w:sz w:val="24"/>
        </w:rPr>
        <w:t xml:space="preserve"> Rada uchwaliła, że do zadań Komisji Skarg, Wniosków i petycji należy analiza i opiniowanie skierowanych do rady m.in. petycji składanych przez obywateli. Zapis ten jest niezgodny z art. 2 ust. 1  ustawy </w:t>
      </w:r>
      <w:r w:rsidR="00D77B5F">
        <w:rPr>
          <w:rFonts w:asciiTheme="minorHAnsi" w:hAnsiTheme="minorHAnsi"/>
          <w:bCs/>
          <w:sz w:val="24"/>
        </w:rPr>
        <w:t xml:space="preserve">z dnia 11 lipca 20114 r. </w:t>
      </w:r>
      <w:r w:rsidR="00C000D7">
        <w:rPr>
          <w:rFonts w:asciiTheme="minorHAnsi" w:hAnsiTheme="minorHAnsi"/>
          <w:bCs/>
          <w:sz w:val="24"/>
        </w:rPr>
        <w:t xml:space="preserve">o petycjach (Dz. U. z 2018 r. poz. 870), który stanowi, że </w:t>
      </w:r>
      <w:proofErr w:type="spellStart"/>
      <w:r w:rsidR="00C000D7">
        <w:rPr>
          <w:rFonts w:asciiTheme="minorHAnsi" w:hAnsiTheme="minorHAnsi"/>
          <w:bCs/>
          <w:sz w:val="24"/>
        </w:rPr>
        <w:t>cyt</w:t>
      </w:r>
      <w:proofErr w:type="spellEnd"/>
      <w:r w:rsidR="00C000D7">
        <w:rPr>
          <w:rFonts w:asciiTheme="minorHAnsi" w:hAnsiTheme="minorHAnsi"/>
          <w:bCs/>
          <w:sz w:val="24"/>
        </w:rPr>
        <w:t xml:space="preserve">: „Petycja może być złożona przez osobę fizyczną, osobę prawną, jednostkę organizacyjną niebędącą osobą prawną lub grupę tych podmiotów, zwaną dalej „podmiotem wnoszącym petycję” do organu władzy publiczne, a także do organizacji lub instytucji społecznej w związku z wykonywanymi przez nią zadaniami zleconymi z zakresu administracji publicznej”. Tak więc petycja może być złożona nie tylko przez obywateli, ale także inne osoby i podmioty wskazane </w:t>
      </w:r>
      <w:r>
        <w:rPr>
          <w:rFonts w:asciiTheme="minorHAnsi" w:hAnsiTheme="minorHAnsi"/>
          <w:bCs/>
          <w:sz w:val="24"/>
        </w:rPr>
        <w:br/>
      </w:r>
      <w:r w:rsidR="00C000D7">
        <w:rPr>
          <w:rFonts w:asciiTheme="minorHAnsi" w:hAnsiTheme="minorHAnsi"/>
          <w:bCs/>
          <w:sz w:val="24"/>
        </w:rPr>
        <w:t>w ustawie o petycjach.</w:t>
      </w:r>
    </w:p>
    <w:p w:rsidR="00C74412" w:rsidRDefault="00C74412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lastRenderedPageBreak/>
        <w:t>W § 38</w:t>
      </w:r>
      <w:r w:rsidRPr="008164BB">
        <w:rPr>
          <w:rFonts w:asciiTheme="minorHAnsi" w:hAnsiTheme="minorHAnsi"/>
          <w:bCs/>
          <w:sz w:val="24"/>
        </w:rPr>
        <w:t xml:space="preserve"> u</w:t>
      </w:r>
      <w:r>
        <w:rPr>
          <w:rFonts w:asciiTheme="minorHAnsi" w:hAnsiTheme="minorHAnsi"/>
          <w:bCs/>
          <w:sz w:val="24"/>
        </w:rPr>
        <w:t>st. 1 Statutu Rada</w:t>
      </w:r>
      <w:r w:rsidRPr="00C74412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 xml:space="preserve">wymieniła kompetencje Rady Gminy, wprost przepisując art. 18 ust. 1 </w:t>
      </w:r>
      <w:r w:rsidR="00A10F58">
        <w:rPr>
          <w:rFonts w:asciiTheme="minorHAnsi" w:hAnsiTheme="minorHAnsi"/>
          <w:bCs/>
          <w:sz w:val="24"/>
        </w:rPr>
        <w:br/>
      </w:r>
      <w:r>
        <w:rPr>
          <w:rFonts w:asciiTheme="minorHAnsi" w:hAnsiTheme="minorHAnsi"/>
          <w:bCs/>
          <w:sz w:val="24"/>
        </w:rPr>
        <w:t>z ustawy o samorządzie gminnym. Takie powtórzenie jest, co do zasady niedopuszczalne i jest rażącym naruszeniem prawa – wyrok WSA z 30.06.2011 r. IV SA/Po 431/11. Powtórzenie regulacji ustawowej  narusza przepisy § 118 w zw. z §143 Zasad Techniki Prawodawczej, jak i art. 7 i art. 94 Konstytucji, stanowiąc w istocie uregulowanie danej materii bez wymaganego upoważnienia.</w:t>
      </w:r>
    </w:p>
    <w:p w:rsidR="00CC5C0F" w:rsidRPr="00512A2B" w:rsidRDefault="00C74412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 xml:space="preserve">W § 40 </w:t>
      </w:r>
      <w:r w:rsidRPr="008164BB">
        <w:rPr>
          <w:rFonts w:asciiTheme="minorHAnsi" w:hAnsiTheme="minorHAnsi"/>
          <w:bCs/>
          <w:sz w:val="24"/>
        </w:rPr>
        <w:t>u</w:t>
      </w:r>
      <w:r>
        <w:rPr>
          <w:rFonts w:asciiTheme="minorHAnsi" w:hAnsiTheme="minorHAnsi"/>
          <w:bCs/>
          <w:sz w:val="24"/>
        </w:rPr>
        <w:t>st. 2 Statutu Rada uchwaliła, że posiedzenia Rady są jawne. W zdaniu drugim zapisała, że ograniczenie jawności może nastąpić tylko w przypadkach określonych w przepisach powszechnie obowiązujących</w:t>
      </w:r>
      <w:r w:rsidR="00260F1B">
        <w:rPr>
          <w:rFonts w:asciiTheme="minorHAnsi" w:hAnsiTheme="minorHAnsi"/>
          <w:bCs/>
          <w:sz w:val="24"/>
        </w:rPr>
        <w:t xml:space="preserve">. Zapis ten jest niedopuszczalny. Ograniczenia jawności mogą wynikać wyłącznie </w:t>
      </w:r>
      <w:r w:rsidR="00A10F58">
        <w:rPr>
          <w:rFonts w:asciiTheme="minorHAnsi" w:hAnsiTheme="minorHAnsi"/>
          <w:bCs/>
          <w:sz w:val="24"/>
        </w:rPr>
        <w:br/>
      </w:r>
      <w:r w:rsidR="00260F1B">
        <w:rPr>
          <w:rFonts w:asciiTheme="minorHAnsi" w:hAnsiTheme="minorHAnsi"/>
          <w:bCs/>
          <w:sz w:val="24"/>
        </w:rPr>
        <w:t>z ustaw – poza takimi przypadkami, wyraźnie określonymi prawem, obowiązuje zasada jawności. Zasadą jest, że jawność jest wymagana zawsze.</w:t>
      </w:r>
    </w:p>
    <w:p w:rsidR="00C97D09" w:rsidRDefault="00C97D09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W § 48 ust. 4 Statutu, Rada uchwalając procedurę zmiany lub uzupełnienia pr</w:t>
      </w:r>
      <w:r w:rsidR="00D77B5F">
        <w:rPr>
          <w:rFonts w:asciiTheme="minorHAnsi" w:hAnsiTheme="minorHAnsi"/>
          <w:bCs/>
          <w:sz w:val="24"/>
        </w:rPr>
        <w:t xml:space="preserve">otokołu z sesji, </w:t>
      </w:r>
      <w:r w:rsidR="00542B58">
        <w:rPr>
          <w:rFonts w:asciiTheme="minorHAnsi" w:hAnsiTheme="minorHAnsi"/>
          <w:bCs/>
          <w:sz w:val="24"/>
        </w:rPr>
        <w:br/>
      </w:r>
      <w:r w:rsidR="00942CAB">
        <w:rPr>
          <w:rFonts w:asciiTheme="minorHAnsi" w:hAnsiTheme="minorHAnsi"/>
          <w:bCs/>
          <w:sz w:val="24"/>
        </w:rPr>
        <w:t>w ust.</w:t>
      </w:r>
      <w:r w:rsidR="00D77B5F">
        <w:rPr>
          <w:rFonts w:asciiTheme="minorHAnsi" w:hAnsiTheme="minorHAnsi"/>
          <w:bCs/>
          <w:sz w:val="24"/>
        </w:rPr>
        <w:t xml:space="preserve"> </w:t>
      </w:r>
      <w:r w:rsidR="00942CAB">
        <w:rPr>
          <w:rFonts w:asciiTheme="minorHAnsi" w:hAnsiTheme="minorHAnsi"/>
          <w:bCs/>
          <w:sz w:val="24"/>
        </w:rPr>
        <w:t xml:space="preserve">4 </w:t>
      </w:r>
      <w:r>
        <w:rPr>
          <w:rFonts w:asciiTheme="minorHAnsi" w:hAnsiTheme="minorHAnsi"/>
          <w:bCs/>
          <w:sz w:val="24"/>
        </w:rPr>
        <w:t>odwoł</w:t>
      </w:r>
      <w:r w:rsidR="00942CAB">
        <w:rPr>
          <w:rFonts w:asciiTheme="minorHAnsi" w:hAnsiTheme="minorHAnsi"/>
          <w:bCs/>
          <w:sz w:val="24"/>
        </w:rPr>
        <w:t>ała</w:t>
      </w:r>
      <w:r>
        <w:rPr>
          <w:rFonts w:asciiTheme="minorHAnsi" w:hAnsiTheme="minorHAnsi"/>
          <w:bCs/>
          <w:sz w:val="24"/>
        </w:rPr>
        <w:t xml:space="preserve"> do ust. 4 zamiast do ust. 3 , co czyni ust. 4 nieczytelnym i należało zapis ust. 4 wyelimino</w:t>
      </w:r>
      <w:r w:rsidR="00942CAB">
        <w:rPr>
          <w:rFonts w:asciiTheme="minorHAnsi" w:hAnsiTheme="minorHAnsi"/>
          <w:bCs/>
          <w:sz w:val="24"/>
        </w:rPr>
        <w:t>wać z obrotu prawnego</w:t>
      </w:r>
    </w:p>
    <w:p w:rsidR="007C6762" w:rsidRPr="002832D6" w:rsidRDefault="00260F1B" w:rsidP="00A13AB9">
      <w:pPr>
        <w:spacing w:before="120" w:after="120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/>
          <w:bCs/>
        </w:rPr>
        <w:t>W § 49 ust. 5 Statutu, Rada uchwaliła ,że uchwały podjęte na sesji Przewodniczący rady przekazuje niezwłocznie najpóźniej w ciągu 7 dni od daty zakończ</w:t>
      </w:r>
      <w:r w:rsidR="007C6762">
        <w:rPr>
          <w:rFonts w:asciiTheme="minorHAnsi" w:hAnsiTheme="minorHAnsi"/>
          <w:bCs/>
        </w:rPr>
        <w:t xml:space="preserve">enia sesji Wójtowi Gminy. </w:t>
      </w:r>
      <w:r w:rsidR="007C6762" w:rsidRPr="002832D6">
        <w:rPr>
          <w:rFonts w:asciiTheme="minorHAnsi" w:hAnsiTheme="minorHAnsi" w:cstheme="minorHAnsi"/>
          <w:lang w:eastAsia="pl-PL"/>
        </w:rPr>
        <w:t xml:space="preserve">Zapis taki może prowadzić do naruszenia przepisu art. 90 ust. 1 ustawy o samorządzie gminnym. Ze wskazanego przepisu ustawy wynika, że wójt obowiązany jest do przedłożenia wojewodzie uchwał rady gminy </w:t>
      </w:r>
      <w:r w:rsidR="00A10F58">
        <w:rPr>
          <w:rFonts w:asciiTheme="minorHAnsi" w:hAnsiTheme="minorHAnsi" w:cstheme="minorHAnsi"/>
          <w:lang w:eastAsia="pl-PL"/>
        </w:rPr>
        <w:br/>
      </w:r>
      <w:r w:rsidR="007C6762" w:rsidRPr="002832D6">
        <w:rPr>
          <w:rFonts w:asciiTheme="minorHAnsi" w:hAnsiTheme="minorHAnsi" w:cstheme="minorHAnsi"/>
          <w:lang w:eastAsia="pl-PL"/>
        </w:rPr>
        <w:t xml:space="preserve">w ciągu 7 dni od dnia ich podjęcia. Akty ustanawiające przepisy porządkowe wójt przekazuje w ciągu 2 dni od ich ustanowienia. Tak więc wprowadzenie terminu do przekazania uchwały wójtowi, wynoszącego 7 dni, może doprowadzić do niemożności wypełnienia obowiązku ustawowego przekazania uchwały w tym terminie </w:t>
      </w:r>
      <w:r w:rsidR="007C6762">
        <w:rPr>
          <w:rFonts w:asciiTheme="minorHAnsi" w:hAnsiTheme="minorHAnsi" w:cstheme="minorHAnsi"/>
          <w:lang w:eastAsia="pl-PL"/>
        </w:rPr>
        <w:t xml:space="preserve">przez wójta </w:t>
      </w:r>
      <w:r w:rsidR="007C6762" w:rsidRPr="002832D6">
        <w:rPr>
          <w:rFonts w:asciiTheme="minorHAnsi" w:hAnsiTheme="minorHAnsi" w:cstheme="minorHAnsi"/>
          <w:lang w:eastAsia="pl-PL"/>
        </w:rPr>
        <w:t xml:space="preserve">organowi nadzoru. </w:t>
      </w:r>
    </w:p>
    <w:p w:rsidR="007C6762" w:rsidRPr="007C6762" w:rsidRDefault="00260F1B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 w:rsidRPr="007C6762">
        <w:rPr>
          <w:rFonts w:asciiTheme="minorHAnsi" w:hAnsiTheme="minorHAnsi"/>
          <w:bCs/>
          <w:sz w:val="24"/>
        </w:rPr>
        <w:t>W § 52 ust. 3</w:t>
      </w:r>
      <w:r w:rsidR="000068C8">
        <w:rPr>
          <w:rFonts w:asciiTheme="minorHAnsi" w:hAnsiTheme="minorHAnsi"/>
          <w:bCs/>
          <w:sz w:val="24"/>
        </w:rPr>
        <w:t xml:space="preserve"> (pierwszym z dwóch oznaczonych w ten sposób)</w:t>
      </w:r>
      <w:r w:rsidRPr="007C6762">
        <w:rPr>
          <w:rFonts w:asciiTheme="minorHAnsi" w:hAnsiTheme="minorHAnsi"/>
          <w:bCs/>
          <w:sz w:val="24"/>
        </w:rPr>
        <w:t xml:space="preserve"> Statutu, Rada uchwaliła,</w:t>
      </w:r>
      <w:r w:rsidR="00942CAB" w:rsidRPr="007C6762">
        <w:rPr>
          <w:rFonts w:asciiTheme="minorHAnsi" w:hAnsiTheme="minorHAnsi"/>
          <w:bCs/>
          <w:sz w:val="24"/>
        </w:rPr>
        <w:t xml:space="preserve"> </w:t>
      </w:r>
      <w:r w:rsidRPr="007C6762">
        <w:rPr>
          <w:rFonts w:asciiTheme="minorHAnsi" w:hAnsiTheme="minorHAnsi"/>
          <w:bCs/>
          <w:sz w:val="24"/>
        </w:rPr>
        <w:t>że imienne wykazy głosowań radnych podaje się niezwłocznie do publicznej wiadomości w Biuletynie Informacji Publicznej. Jest to niedopuszczalna modyfikacja art. 14 ust. 4 ustawy o samorządzie gminnym, który stanowi,</w:t>
      </w:r>
      <w:r w:rsidR="00942CAB" w:rsidRPr="007C6762">
        <w:rPr>
          <w:rFonts w:asciiTheme="minorHAnsi" w:hAnsiTheme="minorHAnsi"/>
          <w:bCs/>
          <w:sz w:val="24"/>
        </w:rPr>
        <w:t xml:space="preserve"> </w:t>
      </w:r>
      <w:r w:rsidR="007C6762" w:rsidRPr="007C6762">
        <w:rPr>
          <w:rFonts w:asciiTheme="minorHAnsi" w:hAnsiTheme="minorHAnsi"/>
          <w:bCs/>
          <w:sz w:val="24"/>
        </w:rPr>
        <w:t xml:space="preserve">że </w:t>
      </w:r>
      <w:r w:rsidR="000068C8">
        <w:rPr>
          <w:rFonts w:asciiTheme="minorHAnsi" w:hAnsiTheme="minorHAnsi"/>
          <w:sz w:val="24"/>
        </w:rPr>
        <w:t xml:space="preserve">Imienne wykazy głosowań radnych </w:t>
      </w:r>
      <w:r w:rsidR="007C6762" w:rsidRPr="007C6762">
        <w:rPr>
          <w:rFonts w:asciiTheme="minorHAnsi" w:hAnsiTheme="minorHAnsi"/>
          <w:sz w:val="24"/>
        </w:rPr>
        <w:t xml:space="preserve">podaje się niezwłocznie do publicznej wiadomości </w:t>
      </w:r>
      <w:r w:rsidR="00A10F58">
        <w:rPr>
          <w:rFonts w:asciiTheme="minorHAnsi" w:hAnsiTheme="minorHAnsi"/>
          <w:sz w:val="24"/>
        </w:rPr>
        <w:br/>
      </w:r>
      <w:r w:rsidR="007C6762" w:rsidRPr="007C6762">
        <w:rPr>
          <w:rFonts w:asciiTheme="minorHAnsi" w:hAnsiTheme="minorHAnsi"/>
          <w:sz w:val="24"/>
        </w:rPr>
        <w:t>w Biuletynie Informacji Publicznej i na stronie internetowej gminy oraz w inny sposób zwyczajowo przyjęty na obszarze gminy.</w:t>
      </w:r>
    </w:p>
    <w:p w:rsidR="00C000D7" w:rsidRDefault="00C000D7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</w:t>
      </w:r>
      <w:r>
        <w:rPr>
          <w:rFonts w:asciiTheme="minorHAnsi" w:hAnsiTheme="minorHAnsi"/>
          <w:bCs/>
          <w:sz w:val="24"/>
        </w:rPr>
        <w:t>§ 57 uchwały Rada określiła procedurę spotkań radnych z mieszkańcami gminy. W ocenie organu nadzoru, materia wprowadzona przez Radę przekracza zakres upoważnienia ustawowego zawartego w art. 3 oraz art. 18 ust. 2 pkt 1 ustawy o samorządzie gminnym i nie dotyczy problemów natury ustrojowej, zastrzeżonych do unormowań określonych w art. 22 ust. 1 w/w ustawy.</w:t>
      </w:r>
    </w:p>
    <w:p w:rsidR="00C000D7" w:rsidRDefault="008E0ABF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sz w:val="24"/>
        </w:rPr>
        <w:t xml:space="preserve">W </w:t>
      </w:r>
      <w:r>
        <w:rPr>
          <w:rFonts w:asciiTheme="minorHAnsi" w:hAnsiTheme="minorHAnsi"/>
          <w:bCs/>
          <w:sz w:val="24"/>
        </w:rPr>
        <w:t xml:space="preserve">§ 60 ust. 2 uchwały Rada </w:t>
      </w:r>
      <w:r w:rsidR="00942CAB">
        <w:rPr>
          <w:rFonts w:asciiTheme="minorHAnsi" w:hAnsiTheme="minorHAnsi"/>
          <w:bCs/>
          <w:sz w:val="24"/>
        </w:rPr>
        <w:t>uchwa</w:t>
      </w:r>
      <w:r>
        <w:rPr>
          <w:rFonts w:asciiTheme="minorHAnsi" w:hAnsiTheme="minorHAnsi"/>
          <w:bCs/>
          <w:sz w:val="24"/>
        </w:rPr>
        <w:t>l</w:t>
      </w:r>
      <w:r w:rsidR="00942CAB">
        <w:rPr>
          <w:rFonts w:asciiTheme="minorHAnsi" w:hAnsiTheme="minorHAnsi"/>
          <w:bCs/>
          <w:sz w:val="24"/>
        </w:rPr>
        <w:t>ił</w:t>
      </w:r>
      <w:r>
        <w:rPr>
          <w:rFonts w:asciiTheme="minorHAnsi" w:hAnsiTheme="minorHAnsi"/>
          <w:bCs/>
          <w:sz w:val="24"/>
        </w:rPr>
        <w:t>a,</w:t>
      </w:r>
      <w:r w:rsidR="00942CAB">
        <w:rPr>
          <w:rFonts w:asciiTheme="minorHAnsi" w:hAnsiTheme="minorHAnsi"/>
          <w:bCs/>
          <w:sz w:val="24"/>
        </w:rPr>
        <w:t xml:space="preserve"> że udostępnianie dokumentó</w:t>
      </w:r>
      <w:r>
        <w:rPr>
          <w:rFonts w:asciiTheme="minorHAnsi" w:hAnsiTheme="minorHAnsi"/>
          <w:bCs/>
          <w:sz w:val="24"/>
        </w:rPr>
        <w:t>w i informacji o których mowa w ust.</w:t>
      </w:r>
      <w:r w:rsidR="00942CAB">
        <w:rPr>
          <w:rFonts w:asciiTheme="minorHAnsi" w:hAnsiTheme="minorHAnsi"/>
          <w:bCs/>
          <w:sz w:val="24"/>
        </w:rPr>
        <w:t xml:space="preserve"> 1 nie może naruszać przepisó</w:t>
      </w:r>
      <w:r>
        <w:rPr>
          <w:rFonts w:asciiTheme="minorHAnsi" w:hAnsiTheme="minorHAnsi"/>
          <w:bCs/>
          <w:sz w:val="24"/>
        </w:rPr>
        <w:t>w regulujących ochronę danych osobowych o</w:t>
      </w:r>
      <w:r w:rsidR="00942CAB">
        <w:rPr>
          <w:rFonts w:asciiTheme="minorHAnsi" w:hAnsiTheme="minorHAnsi"/>
          <w:bCs/>
          <w:sz w:val="24"/>
        </w:rPr>
        <w:t xml:space="preserve">raz dostęp </w:t>
      </w:r>
      <w:r w:rsidR="00542B58">
        <w:rPr>
          <w:rFonts w:asciiTheme="minorHAnsi" w:hAnsiTheme="minorHAnsi"/>
          <w:bCs/>
          <w:sz w:val="24"/>
        </w:rPr>
        <w:br/>
      </w:r>
      <w:r w:rsidR="00942CAB">
        <w:rPr>
          <w:rFonts w:asciiTheme="minorHAnsi" w:hAnsiTheme="minorHAnsi"/>
          <w:bCs/>
          <w:sz w:val="24"/>
        </w:rPr>
        <w:t>do informacji prawnie</w:t>
      </w:r>
      <w:r>
        <w:rPr>
          <w:rFonts w:asciiTheme="minorHAnsi" w:hAnsiTheme="minorHAnsi"/>
          <w:bCs/>
          <w:sz w:val="24"/>
        </w:rPr>
        <w:t xml:space="preserve"> chronionych, w tym informacji niejawnych. W ocenie organu nadzoru brak jest deleg</w:t>
      </w:r>
      <w:r w:rsidR="007E6A71">
        <w:rPr>
          <w:rFonts w:asciiTheme="minorHAnsi" w:hAnsiTheme="minorHAnsi"/>
          <w:bCs/>
          <w:sz w:val="24"/>
        </w:rPr>
        <w:t xml:space="preserve">acji do uchwalania w/w zapisów. Rada gminy winna uchwalić jedynie </w:t>
      </w:r>
      <w:r w:rsidR="00BA3075">
        <w:rPr>
          <w:rFonts w:asciiTheme="minorHAnsi" w:hAnsiTheme="minorHAnsi"/>
          <w:bCs/>
          <w:sz w:val="24"/>
        </w:rPr>
        <w:t xml:space="preserve">zasady dostępu </w:t>
      </w:r>
      <w:r w:rsidR="00542B58">
        <w:rPr>
          <w:rFonts w:asciiTheme="minorHAnsi" w:hAnsiTheme="minorHAnsi"/>
          <w:bCs/>
          <w:sz w:val="24"/>
        </w:rPr>
        <w:br/>
      </w:r>
      <w:bookmarkStart w:id="0" w:name="_GoBack"/>
      <w:bookmarkEnd w:id="0"/>
      <w:r w:rsidR="00BA3075">
        <w:rPr>
          <w:rFonts w:asciiTheme="minorHAnsi" w:hAnsiTheme="minorHAnsi"/>
          <w:bCs/>
          <w:sz w:val="24"/>
        </w:rPr>
        <w:t>do dokumentów organów gminy.</w:t>
      </w:r>
    </w:p>
    <w:p w:rsidR="00385CD6" w:rsidRDefault="00385CD6" w:rsidP="00A13AB9">
      <w:pPr>
        <w:pStyle w:val="Tekstpodstawowy"/>
        <w:spacing w:before="120" w:after="120" w:line="240" w:lineRule="auto"/>
        <w:ind w:right="-1" w:firstLine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Biorąc powyższe pod uwagę uzna</w:t>
      </w:r>
      <w:r w:rsidR="002E2C07">
        <w:rPr>
          <w:rFonts w:asciiTheme="minorHAnsi" w:hAnsiTheme="minorHAnsi"/>
          <w:sz w:val="24"/>
        </w:rPr>
        <w:t>ć należy, uchwała Rady Gminy</w:t>
      </w:r>
      <w:r>
        <w:rPr>
          <w:rFonts w:asciiTheme="minorHAnsi" w:hAnsiTheme="minorHAnsi"/>
          <w:sz w:val="24"/>
        </w:rPr>
        <w:t xml:space="preserve"> we wskazanych przepisach narusza prawo w sposób istotny , co uzasadnia stwierdzenie nieważności uchwały w części.</w:t>
      </w:r>
    </w:p>
    <w:p w:rsidR="00385CD6" w:rsidRPr="00192701" w:rsidRDefault="00385CD6" w:rsidP="00A13AB9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  <w:r w:rsidRPr="007463C3">
        <w:rPr>
          <w:rFonts w:asciiTheme="minorHAnsi" w:hAnsiTheme="minorHAnsi"/>
        </w:rPr>
        <w:t xml:space="preserve">Informuję, że rozstrzygnięcie nadzorcze wstrzymuje wykonanie uchwały z mocy prawa </w:t>
      </w:r>
      <w:r>
        <w:rPr>
          <w:rFonts w:asciiTheme="minorHAnsi" w:hAnsiTheme="minorHAnsi"/>
          <w:bCs/>
        </w:rPr>
        <w:t xml:space="preserve">w zakresie objętym orzeczeniem, </w:t>
      </w:r>
      <w:r w:rsidRPr="007463C3">
        <w:rPr>
          <w:rFonts w:asciiTheme="minorHAnsi" w:hAnsiTheme="minorHAnsi"/>
          <w:bCs/>
        </w:rPr>
        <w:t>z dniem jego doręczenia.</w:t>
      </w:r>
    </w:p>
    <w:p w:rsidR="00C40227" w:rsidRDefault="00C40227" w:rsidP="00A13AB9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</w:p>
    <w:p w:rsidR="00C40227" w:rsidRDefault="00C40227" w:rsidP="00A13AB9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</w:p>
    <w:p w:rsidR="00385CD6" w:rsidRPr="007463C3" w:rsidRDefault="00385CD6" w:rsidP="00A13AB9">
      <w:pPr>
        <w:suppressAutoHyphens w:val="0"/>
        <w:spacing w:before="120" w:after="120"/>
        <w:ind w:firstLine="284"/>
        <w:jc w:val="both"/>
        <w:rPr>
          <w:rFonts w:asciiTheme="minorHAnsi" w:hAnsiTheme="minorHAnsi"/>
          <w:bCs/>
        </w:rPr>
      </w:pPr>
      <w:r w:rsidRPr="007463C3">
        <w:rPr>
          <w:rFonts w:asciiTheme="minorHAnsi" w:hAnsiTheme="minorHAnsi"/>
          <w:bCs/>
        </w:rPr>
        <w:lastRenderedPageBreak/>
        <w:t xml:space="preserve">Na niniejsze rozstrzygnięcie nadzorcze </w:t>
      </w:r>
      <w:r>
        <w:rPr>
          <w:rFonts w:asciiTheme="minorHAnsi" w:hAnsiTheme="minorHAnsi"/>
          <w:bCs/>
        </w:rPr>
        <w:t>Gminie</w:t>
      </w:r>
      <w:r w:rsidRPr="007463C3">
        <w:rPr>
          <w:rFonts w:asciiTheme="minorHAnsi" w:hAnsiTheme="minorHAnsi"/>
          <w:bCs/>
        </w:rPr>
        <w:t xml:space="preserve"> przysługuje skarga do Wojewódzkiego Sądu Administracyjnego w Warszawie w terminie 30 dni od daty doręczenia, wnoszona za moim pośrednictwem.</w:t>
      </w:r>
    </w:p>
    <w:p w:rsidR="00A05178" w:rsidRDefault="00A05178" w:rsidP="00C40227">
      <w:pPr>
        <w:pStyle w:val="Tekstpodstawowy"/>
        <w:spacing w:before="120" w:after="120" w:line="240" w:lineRule="auto"/>
        <w:ind w:right="-1"/>
        <w:jc w:val="right"/>
        <w:rPr>
          <w:rFonts w:asciiTheme="minorHAnsi" w:hAnsiTheme="minorHAnsi"/>
          <w:sz w:val="24"/>
        </w:rPr>
      </w:pPr>
    </w:p>
    <w:p w:rsidR="00C40227" w:rsidRPr="00CA05BE" w:rsidRDefault="00C40227" w:rsidP="00C40227">
      <w:pPr>
        <w:pStyle w:val="Tekstpodstawowy"/>
        <w:spacing w:before="120" w:after="120" w:line="240" w:lineRule="auto"/>
        <w:ind w:right="-1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Wojewoda Mazowiecki:</w:t>
      </w:r>
      <w:r>
        <w:rPr>
          <w:rFonts w:asciiTheme="minorHAnsi" w:hAnsiTheme="minorHAnsi"/>
          <w:sz w:val="24"/>
        </w:rPr>
        <w:br/>
      </w:r>
      <w:r w:rsidRPr="00C40227">
        <w:rPr>
          <w:rFonts w:asciiTheme="minorHAnsi" w:hAnsiTheme="minorHAnsi"/>
          <w:i/>
          <w:sz w:val="24"/>
        </w:rPr>
        <w:t>wz. Sylwester Dąbrowski</w:t>
      </w:r>
      <w:r>
        <w:rPr>
          <w:rFonts w:asciiTheme="minorHAnsi" w:hAnsiTheme="minorHAnsi"/>
          <w:sz w:val="24"/>
        </w:rPr>
        <w:br/>
        <w:t>I Wicewojewoda Mazowiecki</w:t>
      </w:r>
    </w:p>
    <w:sectPr w:rsidR="00C40227" w:rsidRPr="00CA05BE" w:rsidSect="00A13AB9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A6"/>
    <w:rsid w:val="00003F17"/>
    <w:rsid w:val="000068C8"/>
    <w:rsid w:val="000510A6"/>
    <w:rsid w:val="00070D6F"/>
    <w:rsid w:val="000C3FAA"/>
    <w:rsid w:val="000F3A5F"/>
    <w:rsid w:val="000F682D"/>
    <w:rsid w:val="0012382A"/>
    <w:rsid w:val="001303CB"/>
    <w:rsid w:val="001765DE"/>
    <w:rsid w:val="00176B89"/>
    <w:rsid w:val="00190F29"/>
    <w:rsid w:val="001A18F5"/>
    <w:rsid w:val="001C7D6E"/>
    <w:rsid w:val="001E3F09"/>
    <w:rsid w:val="001E45C5"/>
    <w:rsid w:val="001F5245"/>
    <w:rsid w:val="00214108"/>
    <w:rsid w:val="00232F84"/>
    <w:rsid w:val="00260F1B"/>
    <w:rsid w:val="002920C9"/>
    <w:rsid w:val="002946AE"/>
    <w:rsid w:val="002B28C3"/>
    <w:rsid w:val="002B76F5"/>
    <w:rsid w:val="002C1D55"/>
    <w:rsid w:val="002E2173"/>
    <w:rsid w:val="002E2C07"/>
    <w:rsid w:val="002F53A3"/>
    <w:rsid w:val="00344931"/>
    <w:rsid w:val="0034517D"/>
    <w:rsid w:val="003605AB"/>
    <w:rsid w:val="00365295"/>
    <w:rsid w:val="00385CD6"/>
    <w:rsid w:val="003C3C8D"/>
    <w:rsid w:val="003E57EC"/>
    <w:rsid w:val="003E58D2"/>
    <w:rsid w:val="003F50C9"/>
    <w:rsid w:val="00420DEA"/>
    <w:rsid w:val="004214FC"/>
    <w:rsid w:val="004355C4"/>
    <w:rsid w:val="00457858"/>
    <w:rsid w:val="00460DC9"/>
    <w:rsid w:val="004624F1"/>
    <w:rsid w:val="00470CD7"/>
    <w:rsid w:val="00481124"/>
    <w:rsid w:val="004864ED"/>
    <w:rsid w:val="00491C6F"/>
    <w:rsid w:val="004970BF"/>
    <w:rsid w:val="004A00E9"/>
    <w:rsid w:val="004B3A09"/>
    <w:rsid w:val="004C2202"/>
    <w:rsid w:val="0051160B"/>
    <w:rsid w:val="00524E3A"/>
    <w:rsid w:val="00542B58"/>
    <w:rsid w:val="00551885"/>
    <w:rsid w:val="005617FB"/>
    <w:rsid w:val="00566FB2"/>
    <w:rsid w:val="00587642"/>
    <w:rsid w:val="00606B34"/>
    <w:rsid w:val="0062384F"/>
    <w:rsid w:val="00623CD1"/>
    <w:rsid w:val="00624329"/>
    <w:rsid w:val="00666464"/>
    <w:rsid w:val="00683FDF"/>
    <w:rsid w:val="006B61F1"/>
    <w:rsid w:val="006E20EA"/>
    <w:rsid w:val="006E291C"/>
    <w:rsid w:val="006F5D27"/>
    <w:rsid w:val="00732FB2"/>
    <w:rsid w:val="00735016"/>
    <w:rsid w:val="00743D8C"/>
    <w:rsid w:val="007463C3"/>
    <w:rsid w:val="00746B00"/>
    <w:rsid w:val="00746D92"/>
    <w:rsid w:val="00771542"/>
    <w:rsid w:val="007A18CB"/>
    <w:rsid w:val="007B1533"/>
    <w:rsid w:val="007B2609"/>
    <w:rsid w:val="007C6762"/>
    <w:rsid w:val="007D0E3B"/>
    <w:rsid w:val="007D59FC"/>
    <w:rsid w:val="007E6A71"/>
    <w:rsid w:val="00800CD9"/>
    <w:rsid w:val="00837D94"/>
    <w:rsid w:val="00883A52"/>
    <w:rsid w:val="008A59B1"/>
    <w:rsid w:val="008B2512"/>
    <w:rsid w:val="008C2D17"/>
    <w:rsid w:val="008C5F7C"/>
    <w:rsid w:val="008C6CE4"/>
    <w:rsid w:val="008D1BAE"/>
    <w:rsid w:val="008D762B"/>
    <w:rsid w:val="008E0ABF"/>
    <w:rsid w:val="008F4000"/>
    <w:rsid w:val="009032FE"/>
    <w:rsid w:val="00920F1C"/>
    <w:rsid w:val="0092464D"/>
    <w:rsid w:val="00942CAB"/>
    <w:rsid w:val="00943F0A"/>
    <w:rsid w:val="00984485"/>
    <w:rsid w:val="0098641D"/>
    <w:rsid w:val="009D0DD7"/>
    <w:rsid w:val="009E2700"/>
    <w:rsid w:val="00A05178"/>
    <w:rsid w:val="00A10F58"/>
    <w:rsid w:val="00A13AB9"/>
    <w:rsid w:val="00A17E8A"/>
    <w:rsid w:val="00AD6672"/>
    <w:rsid w:val="00B560BA"/>
    <w:rsid w:val="00B7335A"/>
    <w:rsid w:val="00BA3075"/>
    <w:rsid w:val="00BC1084"/>
    <w:rsid w:val="00BE59D1"/>
    <w:rsid w:val="00C000D7"/>
    <w:rsid w:val="00C02BA8"/>
    <w:rsid w:val="00C120F4"/>
    <w:rsid w:val="00C40227"/>
    <w:rsid w:val="00C46C51"/>
    <w:rsid w:val="00C516AA"/>
    <w:rsid w:val="00C56D2D"/>
    <w:rsid w:val="00C606EE"/>
    <w:rsid w:val="00C74412"/>
    <w:rsid w:val="00C834C8"/>
    <w:rsid w:val="00C97D09"/>
    <w:rsid w:val="00CA05BE"/>
    <w:rsid w:val="00CC4F3C"/>
    <w:rsid w:val="00CC5C0F"/>
    <w:rsid w:val="00CF4622"/>
    <w:rsid w:val="00D47A6E"/>
    <w:rsid w:val="00D65F38"/>
    <w:rsid w:val="00D72C37"/>
    <w:rsid w:val="00D77B5F"/>
    <w:rsid w:val="00D83BF7"/>
    <w:rsid w:val="00D8764E"/>
    <w:rsid w:val="00D929D6"/>
    <w:rsid w:val="00DA7EB0"/>
    <w:rsid w:val="00DC0D10"/>
    <w:rsid w:val="00DD48DB"/>
    <w:rsid w:val="00DE6EC8"/>
    <w:rsid w:val="00DE7DA2"/>
    <w:rsid w:val="00E240D5"/>
    <w:rsid w:val="00E30C73"/>
    <w:rsid w:val="00E340F4"/>
    <w:rsid w:val="00E37BF5"/>
    <w:rsid w:val="00E71BA6"/>
    <w:rsid w:val="00E93785"/>
    <w:rsid w:val="00E97714"/>
    <w:rsid w:val="00EA30D7"/>
    <w:rsid w:val="00EA40CA"/>
    <w:rsid w:val="00EB786A"/>
    <w:rsid w:val="00ED7C68"/>
    <w:rsid w:val="00F01579"/>
    <w:rsid w:val="00F15E54"/>
    <w:rsid w:val="00F40271"/>
    <w:rsid w:val="00F451CE"/>
    <w:rsid w:val="00F744F5"/>
    <w:rsid w:val="00FB2B38"/>
    <w:rsid w:val="00FC3E6F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BEA"/>
  <w15:docId w15:val="{9D308E69-808F-4C32-BD52-B1CF8AF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003F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10A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510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71BA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lb">
    <w:name w:val="a_lb"/>
    <w:basedOn w:val="Domylnaczcionkaakapitu"/>
    <w:rsid w:val="006B61F1"/>
  </w:style>
  <w:style w:type="character" w:styleId="Hipercze">
    <w:name w:val="Hyperlink"/>
    <w:rsid w:val="00CC4F3C"/>
    <w:rPr>
      <w:color w:val="0000FF"/>
      <w:u w:val="single"/>
    </w:rPr>
  </w:style>
  <w:style w:type="character" w:customStyle="1" w:styleId="info-list-value-uzasadnienie">
    <w:name w:val="info-list-value-uzasadnienie"/>
    <w:basedOn w:val="Domylnaczcionkaakapitu"/>
    <w:rsid w:val="00743D8C"/>
  </w:style>
  <w:style w:type="character" w:customStyle="1" w:styleId="Nagwek1Znak">
    <w:name w:val="Nagłówek 1 Znak"/>
    <w:basedOn w:val="Domylnaczcionkaakapitu"/>
    <w:link w:val="Nagwek1"/>
    <w:uiPriority w:val="9"/>
    <w:rsid w:val="00003F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2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1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5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79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85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Prawny w Radomiu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Wrona</dc:creator>
  <cp:keywords/>
  <dc:description/>
  <cp:lastModifiedBy>nazwisko imie</cp:lastModifiedBy>
  <cp:revision>6</cp:revision>
  <cp:lastPrinted>2019-09-02T11:05:00Z</cp:lastPrinted>
  <dcterms:created xsi:type="dcterms:W3CDTF">2019-09-02T11:03:00Z</dcterms:created>
  <dcterms:modified xsi:type="dcterms:W3CDTF">2019-09-09T10:36:00Z</dcterms:modified>
</cp:coreProperties>
</file>