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7AB" w:rsidRDefault="00FD7098">
      <w:pPr>
        <w:pStyle w:val="Tytu"/>
      </w:pPr>
      <w:r>
        <w:t>Raport z postępu rzeczowo-finansowego projektu informatycznego</w:t>
      </w:r>
      <w:r>
        <w:br/>
      </w:r>
      <w:r>
        <w:rPr>
          <w:lang w:val="it-IT"/>
        </w:rPr>
        <w:t>za I</w:t>
      </w:r>
      <w:r>
        <w:t>I</w:t>
      </w:r>
      <w:r>
        <w:rPr>
          <w:lang w:val="nl-NL"/>
        </w:rPr>
        <w:t xml:space="preserve"> kwarta</w:t>
      </w:r>
      <w:r>
        <w:t>ł 2022 roku</w:t>
      </w:r>
    </w:p>
    <w:tbl>
      <w:tblPr>
        <w:tblStyle w:val="TableNormal"/>
        <w:tblW w:w="901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63"/>
        <w:gridCol w:w="6355"/>
      </w:tblGrid>
      <w:tr w:rsidR="008D07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/>
        </w:trPr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Tytu</w:t>
            </w:r>
            <w:r>
              <w:rPr>
                <w:rFonts w:eastAsia="Arial Unicode MS" w:cs="Arial Unicode MS"/>
              </w:rPr>
              <w:t xml:space="preserve">ł </w:t>
            </w:r>
            <w:r>
              <w:rPr>
                <w:rFonts w:eastAsia="Arial Unicode MS" w:cs="Arial Unicode MS"/>
              </w:rPr>
              <w:t>projektu</w:t>
            </w:r>
          </w:p>
        </w:tc>
        <w:tc>
          <w:tcPr>
            <w:tcW w:w="635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ascii="Latin Modern Roman 10 Bold" w:hAnsi="Latin Modern Roman 10 Bold"/>
              </w:rPr>
              <w:t>Wsp</w:t>
            </w:r>
            <w:r>
              <w:rPr>
                <w:rFonts w:ascii="Latin Modern Roman 10 Bold" w:hAnsi="Latin Modern Roman 10 Bold"/>
              </w:rPr>
              <w:t>ó</w:t>
            </w:r>
            <w:r>
              <w:rPr>
                <w:rFonts w:ascii="Latin Modern Roman 10 Bold" w:hAnsi="Latin Modern Roman 10 Bold"/>
              </w:rPr>
              <w:t>lna Infrastruktura Informatyczna Pa</w:t>
            </w:r>
            <w:r>
              <w:rPr>
                <w:rFonts w:ascii="Latin Modern Roman 10 Bold" w:hAnsi="Latin Modern Roman 10 Bold"/>
              </w:rPr>
              <w:t>ń</w:t>
            </w:r>
            <w:r>
              <w:rPr>
                <w:rFonts w:ascii="Latin Modern Roman 10 Bold" w:hAnsi="Latin Modern Roman 10 Bold"/>
              </w:rPr>
              <w:t>stwa</w:t>
            </w:r>
          </w:p>
        </w:tc>
      </w:tr>
      <w:tr w:rsidR="008D07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/>
        </w:trPr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Wnioskodawca</w:t>
            </w:r>
          </w:p>
        </w:tc>
        <w:tc>
          <w:tcPr>
            <w:tcW w:w="635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Minister Cyfryzacji</w:t>
            </w:r>
          </w:p>
        </w:tc>
      </w:tr>
      <w:tr w:rsidR="008D07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/>
        </w:trPr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Beneficjent</w:t>
            </w:r>
          </w:p>
        </w:tc>
        <w:tc>
          <w:tcPr>
            <w:tcW w:w="635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Kancelaria Prezesa Rady Ministr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</w:t>
            </w:r>
          </w:p>
        </w:tc>
      </w:tr>
      <w:tr w:rsidR="008D07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Partnerzy</w:t>
            </w:r>
          </w:p>
        </w:tc>
        <w:tc>
          <w:tcPr>
            <w:tcW w:w="635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 xml:space="preserve">Naukowa i </w:t>
            </w:r>
            <w:r>
              <w:rPr>
                <w:rFonts w:eastAsia="Arial Unicode MS" w:cs="Arial Unicode MS"/>
              </w:rPr>
              <w:t>Akademicka Sie</w:t>
            </w:r>
            <w:r>
              <w:rPr>
                <w:rFonts w:eastAsia="Arial Unicode MS" w:cs="Arial Unicode MS"/>
              </w:rPr>
              <w:t xml:space="preserve">ć </w:t>
            </w:r>
            <w:r>
              <w:rPr>
                <w:rFonts w:eastAsia="Arial Unicode MS" w:cs="Arial Unicode MS"/>
              </w:rPr>
              <w:t xml:space="preserve">Komputerowa </w:t>
            </w:r>
            <w:r>
              <w:rPr>
                <w:rFonts w:eastAsia="Arial Unicode MS" w:cs="Arial Unicode MS"/>
              </w:rPr>
              <w:t xml:space="preserve">– </w:t>
            </w:r>
            <w:r>
              <w:rPr>
                <w:rFonts w:eastAsia="Arial Unicode MS" w:cs="Arial Unicode MS"/>
              </w:rPr>
              <w:t>Pa</w:t>
            </w:r>
            <w:r>
              <w:rPr>
                <w:rFonts w:eastAsia="Arial Unicode MS" w:cs="Arial Unicode MS"/>
              </w:rPr>
              <w:t>ń</w:t>
            </w:r>
            <w:r>
              <w:rPr>
                <w:rFonts w:eastAsia="Arial Unicode MS" w:cs="Arial Unicode MS"/>
              </w:rPr>
              <w:t>stwowy Instytut Badawczy</w:t>
            </w:r>
          </w:p>
        </w:tc>
      </w:tr>
      <w:tr w:rsidR="008D07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1"/>
        </w:trPr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Ź</w:t>
            </w:r>
            <w:r>
              <w:rPr>
                <w:rFonts w:eastAsia="Arial Unicode MS" w:cs="Arial Unicode MS"/>
              </w:rPr>
              <w:t>r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d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o finansowania</w:t>
            </w:r>
          </w:p>
        </w:tc>
        <w:tc>
          <w:tcPr>
            <w:tcW w:w="635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Program Operacyjny Polska Cyfrowa na lata 2014-2020, O</w:t>
            </w:r>
            <w:r>
              <w:rPr>
                <w:rFonts w:eastAsia="Arial Unicode MS" w:cs="Arial Unicode MS"/>
              </w:rPr>
              <w:t xml:space="preserve">ś </w:t>
            </w:r>
            <w:r>
              <w:rPr>
                <w:rFonts w:eastAsia="Arial Unicode MS" w:cs="Arial Unicode MS"/>
              </w:rPr>
              <w:t xml:space="preserve">Priorytetowa nr 2 </w:t>
            </w:r>
            <w:r>
              <w:rPr>
                <w:rFonts w:eastAsia="Arial Unicode MS" w:cs="Arial Unicode MS"/>
              </w:rPr>
              <w:t>„</w:t>
            </w:r>
            <w:r>
              <w:rPr>
                <w:rFonts w:eastAsia="Arial Unicode MS" w:cs="Arial Unicode MS"/>
              </w:rPr>
              <w:t>E-administracja i otwarty rz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d</w:t>
            </w:r>
            <w:r>
              <w:rPr>
                <w:rFonts w:eastAsia="Arial Unicode MS" w:cs="Arial Unicode MS"/>
              </w:rPr>
              <w:t>”</w:t>
            </w:r>
            <w:r>
              <w:rPr>
                <w:rFonts w:eastAsia="Arial Unicode MS" w:cs="Arial Unicode MS"/>
              </w:rPr>
              <w:t>, Dzia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 xml:space="preserve">anie nr </w:t>
            </w:r>
            <w:r>
              <w:rPr>
                <w:rFonts w:eastAsia="Arial Unicode MS" w:cs="Arial Unicode MS"/>
              </w:rPr>
              <w:t>„</w:t>
            </w:r>
            <w:r>
              <w:rPr>
                <w:rFonts w:eastAsia="Arial Unicode MS" w:cs="Arial Unicode MS"/>
              </w:rPr>
              <w:t>2.1 Wysoka dost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pno</w:t>
            </w:r>
            <w:r>
              <w:rPr>
                <w:rFonts w:eastAsia="Arial Unicode MS" w:cs="Arial Unicode MS"/>
              </w:rPr>
              <w:t xml:space="preserve">ść </w:t>
            </w:r>
            <w:r>
              <w:rPr>
                <w:rFonts w:eastAsia="Arial Unicode MS" w:cs="Arial Unicode MS"/>
              </w:rPr>
              <w:t>i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jako</w:t>
            </w:r>
            <w:r>
              <w:rPr>
                <w:rFonts w:eastAsia="Arial Unicode MS" w:cs="Arial Unicode MS"/>
              </w:rPr>
              <w:t xml:space="preserve">ść </w:t>
            </w:r>
            <w:r>
              <w:rPr>
                <w:rFonts w:eastAsia="Arial Unicode MS" w:cs="Arial Unicode MS"/>
              </w:rPr>
              <w:t>e-us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 publicznych</w:t>
            </w:r>
            <w:r>
              <w:rPr>
                <w:rFonts w:eastAsia="Arial Unicode MS" w:cs="Arial Unicode MS"/>
              </w:rPr>
              <w:t>”</w:t>
            </w:r>
            <w:r>
              <w:rPr>
                <w:rFonts w:eastAsia="Arial Unicode MS" w:cs="Arial Unicode MS"/>
              </w:rPr>
              <w:t xml:space="preserve">, </w:t>
            </w:r>
            <w:r>
              <w:rPr>
                <w:rFonts w:eastAsia="Arial Unicode MS" w:cs="Arial Unicode MS"/>
              </w:rPr>
              <w:t>zgodnie z porozumieniem o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dofinansowanie nr POPC.02.01.00-00-0104/19-00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z dn. 24.04.2020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r. oraz cz. 27. Informatyzacja.</w:t>
            </w:r>
          </w:p>
        </w:tc>
      </w:tr>
      <w:tr w:rsidR="008D07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Ca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kowity koszt projektu</w:t>
            </w:r>
          </w:p>
        </w:tc>
        <w:tc>
          <w:tcPr>
            <w:tcW w:w="635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159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666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380,17 z</w:t>
            </w:r>
            <w:r>
              <w:rPr>
                <w:rFonts w:eastAsia="Arial Unicode MS" w:cs="Arial Unicode MS"/>
              </w:rPr>
              <w:t xml:space="preserve">ł </w:t>
            </w:r>
            <w:r>
              <w:rPr>
                <w:rFonts w:eastAsia="Arial Unicode MS" w:cs="Arial Unicode MS"/>
              </w:rPr>
              <w:t>brutto (warto</w:t>
            </w:r>
            <w:r>
              <w:rPr>
                <w:rFonts w:eastAsia="Arial Unicode MS" w:cs="Arial Unicode MS"/>
              </w:rPr>
              <w:t xml:space="preserve">ść </w:t>
            </w:r>
            <w:r>
              <w:rPr>
                <w:rFonts w:eastAsia="Arial Unicode MS" w:cs="Arial Unicode MS"/>
              </w:rPr>
              <w:t>pocz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tkowa projektu: 188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718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396,90 z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)</w:t>
            </w:r>
          </w:p>
        </w:tc>
      </w:tr>
      <w:tr w:rsidR="008D07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Ca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 xml:space="preserve">kowity koszt projektu </w:t>
            </w:r>
            <w:r>
              <w:rPr>
                <w:rFonts w:eastAsia="Arial Unicode MS" w:cs="Arial Unicode MS"/>
              </w:rPr>
              <w:t xml:space="preserve">– </w:t>
            </w:r>
            <w:r>
              <w:rPr>
                <w:rFonts w:eastAsia="Arial Unicode MS" w:cs="Arial Unicode MS"/>
              </w:rPr>
              <w:t>wydatki</w:t>
            </w:r>
            <w:r>
              <w:rPr>
                <w:rFonts w:eastAsia="Arial Unicode MS" w:cs="Arial Unicode MS"/>
              </w:rPr>
              <w:t xml:space="preserve"> kwalifikowalne</w:t>
            </w:r>
          </w:p>
        </w:tc>
        <w:tc>
          <w:tcPr>
            <w:tcW w:w="635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159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666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380,17 z</w:t>
            </w:r>
            <w:r>
              <w:rPr>
                <w:rFonts w:eastAsia="Arial Unicode MS" w:cs="Arial Unicode MS"/>
              </w:rPr>
              <w:t xml:space="preserve">ł </w:t>
            </w:r>
            <w:r>
              <w:rPr>
                <w:rFonts w:eastAsia="Arial Unicode MS" w:cs="Arial Unicode MS"/>
              </w:rPr>
              <w:t>brutto, w tym 135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125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657,54 z</w:t>
            </w:r>
            <w:r>
              <w:rPr>
                <w:rFonts w:eastAsia="Arial Unicode MS" w:cs="Arial Unicode MS"/>
              </w:rPr>
              <w:t xml:space="preserve">ł </w:t>
            </w:r>
            <w:r>
              <w:rPr>
                <w:rFonts w:eastAsia="Arial Unicode MS" w:cs="Arial Unicode MS"/>
              </w:rPr>
              <w:t>brutto (84,63%) wk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ad UE</w:t>
            </w:r>
          </w:p>
        </w:tc>
      </w:tr>
      <w:tr w:rsidR="008D07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/>
        </w:trPr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Okres realizacji projektu</w:t>
            </w:r>
          </w:p>
        </w:tc>
        <w:tc>
          <w:tcPr>
            <w:tcW w:w="635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numPr>
                <w:ilvl w:val="0"/>
                <w:numId w:val="1"/>
              </w:numPr>
            </w:pPr>
            <w:r>
              <w:rPr>
                <w:rFonts w:eastAsia="Arial Unicode MS" w:cs="Arial Unicode MS"/>
              </w:rPr>
              <w:t>data rozpocz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cia realizacji projektu: 01.04.2020 r.</w:t>
            </w:r>
          </w:p>
          <w:p w:rsidR="008D07AB" w:rsidRDefault="00FD7098">
            <w:pPr>
              <w:pStyle w:val="Styltabeli2"/>
              <w:numPr>
                <w:ilvl w:val="0"/>
                <w:numId w:val="1"/>
              </w:numPr>
            </w:pPr>
            <w:r>
              <w:rPr>
                <w:rFonts w:eastAsia="Arial Unicode MS" w:cs="Arial Unicode MS"/>
              </w:rPr>
              <w:t>data zako</w:t>
            </w:r>
            <w:r>
              <w:rPr>
                <w:rFonts w:eastAsia="Arial Unicode MS" w:cs="Arial Unicode MS"/>
              </w:rPr>
              <w:t>ń</w:t>
            </w:r>
            <w:r>
              <w:rPr>
                <w:rFonts w:eastAsia="Arial Unicode MS" w:cs="Arial Unicode MS"/>
              </w:rPr>
              <w:t>czenia realizacji projektu: 31.03.2023 r.</w:t>
            </w:r>
          </w:p>
        </w:tc>
      </w:tr>
    </w:tbl>
    <w:p w:rsidR="008D07AB" w:rsidRDefault="008D07AB">
      <w:pPr>
        <w:pStyle w:val="Tre"/>
      </w:pPr>
    </w:p>
    <w:p w:rsidR="008D07AB" w:rsidRDefault="00FD7098">
      <w:pPr>
        <w:pStyle w:val="Nagwek"/>
        <w:numPr>
          <w:ilvl w:val="0"/>
          <w:numId w:val="3"/>
        </w:numPr>
      </w:pPr>
      <w:r>
        <w:t>Otoczenie prawne</w:t>
      </w:r>
    </w:p>
    <w:p w:rsidR="008D07AB" w:rsidRDefault="00FD7098">
      <w:pPr>
        <w:pStyle w:val="Tre"/>
      </w:pPr>
      <w:r>
        <w:rPr>
          <w:rFonts w:eastAsia="Arial Unicode MS" w:cs="Arial Unicode MS"/>
        </w:rPr>
        <w:t>Obecnie podstaw</w:t>
      </w:r>
      <w:r>
        <w:rPr>
          <w:rFonts w:eastAsia="Arial Unicode MS" w:cs="Arial Unicode MS"/>
        </w:rPr>
        <w:t xml:space="preserve">ę </w:t>
      </w:r>
      <w:r>
        <w:rPr>
          <w:rFonts w:eastAsia="Arial Unicode MS" w:cs="Arial Unicode MS"/>
        </w:rPr>
        <w:t>prawn</w:t>
      </w:r>
      <w:r>
        <w:rPr>
          <w:rFonts w:eastAsia="Arial Unicode MS" w:cs="Arial Unicode MS"/>
        </w:rPr>
        <w:t xml:space="preserve">ą </w:t>
      </w:r>
      <w:r>
        <w:rPr>
          <w:rFonts w:eastAsia="Arial Unicode MS" w:cs="Arial Unicode MS"/>
        </w:rPr>
        <w:t>realizacji projektu stanowi</w:t>
      </w:r>
      <w:r>
        <w:rPr>
          <w:rFonts w:eastAsia="Arial Unicode MS" w:cs="Arial Unicode MS"/>
        </w:rPr>
        <w:t>ą</w:t>
      </w:r>
      <w:r>
        <w:rPr>
          <w:rFonts w:eastAsia="Arial Unicode MS" w:cs="Arial Unicode MS"/>
        </w:rPr>
        <w:t>:</w:t>
      </w:r>
    </w:p>
    <w:p w:rsidR="008D07AB" w:rsidRDefault="00FD7098">
      <w:pPr>
        <w:pStyle w:val="Tre"/>
        <w:numPr>
          <w:ilvl w:val="0"/>
          <w:numId w:val="5"/>
        </w:numPr>
      </w:pPr>
      <w:r>
        <w:rPr>
          <w:rFonts w:eastAsia="Arial Unicode MS" w:cs="Arial Unicode MS"/>
          <w:lang w:val="de-DE"/>
        </w:rPr>
        <w:t>Uchwa</w:t>
      </w:r>
      <w:bookmarkStart w:id="0" w:name="_GoBack"/>
      <w:bookmarkEnd w:id="0"/>
      <w:proofErr w:type="spellStart"/>
      <w:r>
        <w:rPr>
          <w:rFonts w:eastAsia="Arial Unicode MS" w:cs="Arial Unicode MS"/>
        </w:rPr>
        <w:t>ł</w:t>
      </w:r>
      <w:r>
        <w:rPr>
          <w:rFonts w:eastAsia="Arial Unicode MS" w:cs="Arial Unicode MS"/>
        </w:rPr>
        <w:t>a</w:t>
      </w:r>
      <w:proofErr w:type="spellEnd"/>
      <w:r>
        <w:rPr>
          <w:rFonts w:eastAsia="Arial Unicode MS" w:cs="Arial Unicode MS"/>
        </w:rPr>
        <w:t xml:space="preserve"> nr 97 Rady Ministr</w:t>
      </w:r>
      <w:r>
        <w:rPr>
          <w:rFonts w:eastAsia="Arial Unicode MS" w:cs="Arial Unicode MS"/>
        </w:rPr>
        <w:t>ó</w:t>
      </w:r>
      <w:r>
        <w:rPr>
          <w:rFonts w:eastAsia="Arial Unicode MS" w:cs="Arial Unicode MS"/>
        </w:rPr>
        <w:t>w z dnia 11 wrze</w:t>
      </w:r>
      <w:r>
        <w:rPr>
          <w:rFonts w:eastAsia="Arial Unicode MS" w:cs="Arial Unicode MS"/>
        </w:rPr>
        <w:t>ś</w:t>
      </w:r>
      <w:r>
        <w:rPr>
          <w:rFonts w:eastAsia="Arial Unicode MS" w:cs="Arial Unicode MS"/>
        </w:rPr>
        <w:t xml:space="preserve">nia 2019 r. w sprawie Inicjatywy </w:t>
      </w:r>
      <w:r>
        <w:rPr>
          <w:rFonts w:eastAsia="Arial Unicode MS" w:cs="Arial Unicode MS"/>
        </w:rPr>
        <w:t>„</w:t>
      </w:r>
      <w:r>
        <w:rPr>
          <w:rFonts w:eastAsia="Arial Unicode MS" w:cs="Arial Unicode MS"/>
        </w:rPr>
        <w:t>Wsp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lna Infrastruktura Informatyczna Pa</w:t>
      </w:r>
      <w:r>
        <w:rPr>
          <w:rFonts w:eastAsia="Arial Unicode MS" w:cs="Arial Unicode MS"/>
        </w:rPr>
        <w:t>ń</w:t>
      </w:r>
      <w:r>
        <w:rPr>
          <w:rFonts w:eastAsia="Arial Unicode MS" w:cs="Arial Unicode MS"/>
        </w:rPr>
        <w:t>stwa</w:t>
      </w:r>
      <w:r>
        <w:rPr>
          <w:rFonts w:eastAsia="Arial Unicode MS" w:cs="Arial Unicode MS"/>
        </w:rPr>
        <w:t xml:space="preserve">” </w:t>
      </w:r>
      <w:r>
        <w:rPr>
          <w:rFonts w:eastAsia="Arial Unicode MS" w:cs="Arial Unicode MS"/>
        </w:rPr>
        <w:t xml:space="preserve">(tekst jednolity </w:t>
      </w:r>
      <w:r>
        <w:rPr>
          <w:rFonts w:eastAsia="Arial Unicode MS" w:cs="Arial Unicode MS"/>
        </w:rPr>
        <w:t xml:space="preserve">— </w:t>
      </w:r>
      <w:r>
        <w:rPr>
          <w:rFonts w:eastAsia="Arial Unicode MS" w:cs="Arial Unicode MS"/>
        </w:rPr>
        <w:t>M.P. z 2021 poz. 1002),</w:t>
      </w:r>
    </w:p>
    <w:p w:rsidR="008D07AB" w:rsidRDefault="00FD7098">
      <w:pPr>
        <w:pStyle w:val="Tre"/>
        <w:numPr>
          <w:ilvl w:val="0"/>
          <w:numId w:val="5"/>
        </w:numPr>
      </w:pPr>
      <w:r>
        <w:rPr>
          <w:rFonts w:eastAsia="Arial Unicode MS" w:cs="Arial Unicode MS"/>
        </w:rPr>
        <w:t xml:space="preserve">Ustawa z dnia 17 lutego 2005 r. o informatyzacji </w:t>
      </w:r>
      <w:r>
        <w:rPr>
          <w:rFonts w:eastAsia="Arial Unicode MS" w:cs="Arial Unicode MS"/>
        </w:rPr>
        <w:t>dzia</w:t>
      </w:r>
      <w:r>
        <w:rPr>
          <w:rFonts w:eastAsia="Arial Unicode MS" w:cs="Arial Unicode MS"/>
        </w:rPr>
        <w:t>ł</w:t>
      </w:r>
      <w:r>
        <w:rPr>
          <w:rFonts w:eastAsia="Arial Unicode MS" w:cs="Arial Unicode MS"/>
        </w:rPr>
        <w:t>alnos</w:t>
      </w:r>
      <w:r>
        <w:rPr>
          <w:rFonts w:eastAsia="Arial Unicode MS" w:cs="Arial Unicode MS"/>
        </w:rPr>
        <w:t>́</w:t>
      </w:r>
      <w:r>
        <w:rPr>
          <w:rFonts w:eastAsia="Arial Unicode MS" w:cs="Arial Unicode MS"/>
        </w:rPr>
        <w:t>ci podmiot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w realizuj</w:t>
      </w:r>
      <w:r>
        <w:rPr>
          <w:rFonts w:eastAsia="Arial Unicode MS" w:cs="Arial Unicode MS"/>
        </w:rPr>
        <w:t>ą</w:t>
      </w:r>
      <w:r>
        <w:rPr>
          <w:rFonts w:eastAsia="Arial Unicode MS" w:cs="Arial Unicode MS"/>
        </w:rPr>
        <w:t>cych zadania publiczne (tj. Dz.U. 2021 poz. 670),</w:t>
      </w:r>
    </w:p>
    <w:p w:rsidR="008D07AB" w:rsidRDefault="00FD7098">
      <w:pPr>
        <w:pStyle w:val="Tre"/>
        <w:numPr>
          <w:ilvl w:val="0"/>
          <w:numId w:val="5"/>
        </w:numPr>
      </w:pPr>
      <w:r>
        <w:rPr>
          <w:rFonts w:eastAsia="Arial Unicode MS" w:cs="Arial Unicode MS"/>
        </w:rPr>
        <w:t>Rozporz</w:t>
      </w:r>
      <w:r>
        <w:rPr>
          <w:rFonts w:eastAsia="Arial Unicode MS" w:cs="Arial Unicode MS"/>
        </w:rPr>
        <w:t>ą</w:t>
      </w:r>
      <w:r>
        <w:rPr>
          <w:rFonts w:eastAsia="Arial Unicode MS" w:cs="Arial Unicode MS"/>
        </w:rPr>
        <w:t>dzenie Rady Ministr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w z dnia 12 kwietnia 2012 r. w sprawie Krajowych Ram Interoperacyjnos</w:t>
      </w:r>
      <w:r>
        <w:rPr>
          <w:rFonts w:eastAsia="Arial Unicode MS" w:cs="Arial Unicode MS"/>
        </w:rPr>
        <w:t>́</w:t>
      </w:r>
      <w:r>
        <w:rPr>
          <w:rFonts w:eastAsia="Arial Unicode MS" w:cs="Arial Unicode MS"/>
        </w:rPr>
        <w:t>ci, minimalnych wymagan</w:t>
      </w:r>
      <w:r>
        <w:rPr>
          <w:rFonts w:eastAsia="Arial Unicode MS" w:cs="Arial Unicode MS"/>
        </w:rPr>
        <w:t xml:space="preserve">́ </w:t>
      </w:r>
      <w:r>
        <w:rPr>
          <w:rFonts w:eastAsia="Arial Unicode MS" w:cs="Arial Unicode MS"/>
        </w:rPr>
        <w:t>dla rejestr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w publicznych i wymiany informacji w p</w:t>
      </w:r>
      <w:r>
        <w:rPr>
          <w:rFonts w:eastAsia="Arial Unicode MS" w:cs="Arial Unicode MS"/>
        </w:rPr>
        <w:t>ostaci elektronicznej oraz minimalnych wymagan</w:t>
      </w:r>
      <w:r>
        <w:rPr>
          <w:rFonts w:eastAsia="Arial Unicode MS" w:cs="Arial Unicode MS"/>
        </w:rPr>
        <w:t xml:space="preserve">́ </w:t>
      </w:r>
      <w:r>
        <w:rPr>
          <w:rFonts w:eastAsia="Arial Unicode MS" w:cs="Arial Unicode MS"/>
        </w:rPr>
        <w:t>dla system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w teleinformatycznych (tj. Dz.U. 2017 poz. 2247),</w:t>
      </w:r>
    </w:p>
    <w:p w:rsidR="008D07AB" w:rsidRDefault="00FD7098">
      <w:pPr>
        <w:pStyle w:val="Tre"/>
        <w:numPr>
          <w:ilvl w:val="0"/>
          <w:numId w:val="5"/>
        </w:numPr>
      </w:pPr>
      <w:r>
        <w:rPr>
          <w:rFonts w:eastAsia="Arial Unicode MS" w:cs="Arial Unicode MS"/>
        </w:rPr>
        <w:t>Ustawa z dnia 5 lipca 2018 r. o krajowym systemie cyberbezpieczen</w:t>
      </w:r>
      <w:r>
        <w:rPr>
          <w:rFonts w:eastAsia="Arial Unicode MS" w:cs="Arial Unicode MS"/>
        </w:rPr>
        <w:t>́</w:t>
      </w:r>
      <w:r>
        <w:rPr>
          <w:rFonts w:eastAsia="Arial Unicode MS" w:cs="Arial Unicode MS"/>
        </w:rPr>
        <w:t>stwa (tj. Dz.U. 2020 poz. 1369).</w:t>
      </w:r>
    </w:p>
    <w:p w:rsidR="008D07AB" w:rsidRDefault="00FD7098">
      <w:pPr>
        <w:pStyle w:val="Nagwek"/>
        <w:numPr>
          <w:ilvl w:val="0"/>
          <w:numId w:val="6"/>
        </w:numPr>
      </w:pPr>
      <w:r>
        <w:t>Postęp finansowy</w:t>
      </w:r>
    </w:p>
    <w:tbl>
      <w:tblPr>
        <w:tblStyle w:val="TableNormal"/>
        <w:tblW w:w="901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38"/>
        <w:gridCol w:w="3270"/>
        <w:gridCol w:w="3410"/>
      </w:tblGrid>
      <w:tr w:rsidR="008D07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/>
          <w:tblHeader/>
        </w:trPr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Czas realizacji projektu</w:t>
            </w:r>
          </w:p>
        </w:tc>
        <w:tc>
          <w:tcPr>
            <w:tcW w:w="327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Warto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ć ś</w:t>
            </w:r>
            <w:r>
              <w:rPr>
                <w:rFonts w:eastAsia="Arial Unicode MS" w:cs="Arial Unicode MS"/>
              </w:rPr>
              <w:t>rodk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 wydatkowanych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Warto</w:t>
            </w:r>
            <w:r>
              <w:rPr>
                <w:rFonts w:eastAsia="Arial Unicode MS" w:cs="Arial Unicode MS"/>
              </w:rPr>
              <w:t>ść ś</w:t>
            </w:r>
            <w:r>
              <w:rPr>
                <w:rFonts w:eastAsia="Arial Unicode MS" w:cs="Arial Unicode MS"/>
              </w:rPr>
              <w:t>rodk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 zaanga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owanych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/>
        </w:trPr>
        <w:tc>
          <w:tcPr>
            <w:tcW w:w="2337" w:type="dxa"/>
            <w:tcBorders>
              <w:top w:val="single" w:sz="6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jc w:val="center"/>
            </w:pPr>
            <w:r>
              <w:fldChar w:fldCharType="begin"/>
            </w:r>
            <w:r>
              <w:instrText xml:space="preserve"> = ((null))*100 \# "0%" \* MERGEFORMAT</w:instrText>
            </w:r>
            <w:r>
              <w:fldChar w:fldCharType="separate"/>
            </w:r>
            <w:r>
              <w:rPr>
                <w:rFonts w:ascii="Latin Modern Roman 10 Bold" w:hAnsi="Latin Modern Roman 10 Bold"/>
              </w:rPr>
              <w:t>75,00%</w:t>
            </w:r>
            <w:r>
              <w:fldChar w:fldCharType="end"/>
            </w:r>
          </w:p>
        </w:tc>
        <w:tc>
          <w:tcPr>
            <w:tcW w:w="3270" w:type="dxa"/>
            <w:tcBorders>
              <w:top w:val="single" w:sz="6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jc w:val="center"/>
            </w:pPr>
            <w:r>
              <w:fldChar w:fldCharType="begin"/>
            </w:r>
            <w:r>
              <w:instrText xml:space="preserve"> = ((null))*100 \# "0%" \* MERGEFORMAT</w:instrText>
            </w:r>
            <w:r>
              <w:fldChar w:fldCharType="separate"/>
            </w:r>
            <w:r>
              <w:rPr>
                <w:rFonts w:ascii="Latin Modern Roman 10 Bold" w:hAnsi="Latin Modern Roman 10 Bold"/>
              </w:rPr>
              <w:t>39,06%</w:t>
            </w:r>
            <w:r>
              <w:fldChar w:fldCharType="end"/>
            </w:r>
          </w:p>
        </w:tc>
        <w:tc>
          <w:tcPr>
            <w:tcW w:w="3410" w:type="dxa"/>
            <w:tcBorders>
              <w:top w:val="single" w:sz="6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jc w:val="center"/>
            </w:pPr>
            <w:r>
              <w:fldChar w:fldCharType="begin"/>
            </w:r>
            <w:r>
              <w:instrText xml:space="preserve"> = ((null))*100 \# "0%" \* MERGEFORMAT</w:instrText>
            </w:r>
            <w:r>
              <w:fldChar w:fldCharType="separate"/>
            </w:r>
            <w:r>
              <w:rPr>
                <w:rFonts w:ascii="Latin Modern Roman 10 Bold" w:hAnsi="Latin Modern Roman 10 Bold"/>
              </w:rPr>
              <w:t>74,05%</w:t>
            </w:r>
            <w:r>
              <w:fldChar w:fldCharType="end"/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</w:trPr>
        <w:tc>
          <w:tcPr>
            <w:tcW w:w="233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jc w:val="center"/>
            </w:pPr>
            <w:r>
              <w:t>27/36 miesi</w:t>
            </w:r>
            <w:r>
              <w:t>ę</w:t>
            </w:r>
            <w:r>
              <w:t>cy</w:t>
            </w:r>
          </w:p>
        </w:tc>
        <w:tc>
          <w:tcPr>
            <w:tcW w:w="327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jc w:val="center"/>
            </w:pPr>
            <w:r>
              <w:t>Poniesione wydatki og</w:t>
            </w:r>
            <w:r>
              <w:t>ół</w:t>
            </w:r>
            <w:r>
              <w:t>em:</w:t>
            </w:r>
            <w:r>
              <w:br/>
            </w:r>
            <w:r>
              <w:t xml:space="preserve">62 358 </w:t>
            </w:r>
            <w:r>
              <w:t>924,02/159</w:t>
            </w:r>
            <w:r>
              <w:t> </w:t>
            </w:r>
            <w:r>
              <w:t>666</w:t>
            </w:r>
            <w:r>
              <w:t> </w:t>
            </w:r>
            <w:r>
              <w:t>380,17 z</w:t>
            </w:r>
            <w:r>
              <w:t>ł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jc w:val="center"/>
            </w:pPr>
            <w:r>
              <w:t>118 226 004,25/159 666 380,17 z</w:t>
            </w:r>
            <w:r>
              <w:t>ł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/>
        </w:trPr>
        <w:tc>
          <w:tcPr>
            <w:tcW w:w="233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327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jc w:val="center"/>
            </w:pPr>
            <w:r>
              <w:fldChar w:fldCharType="begin"/>
            </w:r>
            <w:r>
              <w:instrText xml:space="preserve"> = ((null))*100 \# "0%" \* MERGEFORMAT</w:instrText>
            </w:r>
            <w:r>
              <w:fldChar w:fldCharType="separate"/>
            </w:r>
            <w:r>
              <w:rPr>
                <w:rFonts w:ascii="Latin Modern Roman 10 Bold" w:hAnsi="Latin Modern Roman 10 Bold"/>
              </w:rPr>
              <w:t>5,76%</w:t>
            </w:r>
            <w:r>
              <w:fldChar w:fldCharType="end"/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/>
        </w:trPr>
        <w:tc>
          <w:tcPr>
            <w:tcW w:w="233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327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jc w:val="center"/>
            </w:pPr>
            <w:r>
              <w:t>Poniesione wydatki kwalifikowane w zatwierdzonych wnioskach o</w:t>
            </w:r>
            <w:r>
              <w:t> </w:t>
            </w:r>
            <w:r>
              <w:t>p</w:t>
            </w:r>
            <w:r>
              <w:t>ł</w:t>
            </w:r>
            <w:r>
              <w:t>atno</w:t>
            </w:r>
            <w:r>
              <w:t>ść</w:t>
            </w:r>
            <w:r>
              <w:t>: 9</w:t>
            </w:r>
            <w:r>
              <w:t> </w:t>
            </w:r>
            <w:r>
              <w:t>190</w:t>
            </w:r>
            <w:r>
              <w:t> </w:t>
            </w:r>
            <w:r>
              <w:t>356,13/159</w:t>
            </w:r>
            <w:r>
              <w:t> </w:t>
            </w:r>
            <w:r>
              <w:t>666</w:t>
            </w:r>
            <w:r>
              <w:t> </w:t>
            </w:r>
            <w:r>
              <w:t>380,17 z</w:t>
            </w:r>
            <w:r>
              <w:t>ł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/>
        </w:trPr>
        <w:tc>
          <w:tcPr>
            <w:tcW w:w="233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327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jc w:val="center"/>
            </w:pPr>
            <w:r>
              <w:rPr>
                <w:rFonts w:ascii="Latin Modern Roman 10 Bold" w:hAnsi="Latin Modern Roman 10 Bold"/>
              </w:rPr>
              <w:t>39,06%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/>
        </w:trPr>
        <w:tc>
          <w:tcPr>
            <w:tcW w:w="23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32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jc w:val="center"/>
            </w:pPr>
            <w:r>
              <w:t xml:space="preserve">Poniesione wydatki </w:t>
            </w:r>
            <w:r>
              <w:t>kwalifikowane:</w:t>
            </w:r>
            <w:r>
              <w:br/>
            </w:r>
            <w:r>
              <w:t>62 358 924,02/159</w:t>
            </w:r>
            <w:r>
              <w:t> </w:t>
            </w:r>
            <w:r>
              <w:t>666</w:t>
            </w:r>
            <w:r>
              <w:t> </w:t>
            </w:r>
            <w:r>
              <w:t>380,17 z</w:t>
            </w:r>
            <w:r>
              <w:t>ł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</w:tr>
    </w:tbl>
    <w:p w:rsidR="008D07AB" w:rsidRDefault="008D07AB">
      <w:pPr>
        <w:pStyle w:val="Tre"/>
      </w:pPr>
    </w:p>
    <w:p w:rsidR="008D07AB" w:rsidRDefault="00FD7098">
      <w:pPr>
        <w:pStyle w:val="Nagwek"/>
        <w:numPr>
          <w:ilvl w:val="0"/>
          <w:numId w:val="6"/>
        </w:numPr>
      </w:pPr>
      <w:r>
        <w:t>Postęp rzeczowy</w:t>
      </w:r>
    </w:p>
    <w:p w:rsidR="008D07AB" w:rsidRDefault="00FD7098">
      <w:pPr>
        <w:pStyle w:val="Tre"/>
        <w:keepNext/>
      </w:pPr>
      <w:r>
        <w:rPr>
          <w:rStyle w:val="Wyrnienie"/>
        </w:rPr>
        <w:t>Kamienie milowe</w:t>
      </w:r>
    </w:p>
    <w:tbl>
      <w:tblPr>
        <w:tblStyle w:val="TableNormal"/>
        <w:tblW w:w="901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89"/>
        <w:gridCol w:w="1217"/>
        <w:gridCol w:w="1009"/>
        <w:gridCol w:w="1035"/>
        <w:gridCol w:w="1968"/>
      </w:tblGrid>
      <w:tr w:rsidR="008D07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/>
          <w:tblHeader/>
        </w:trPr>
        <w:tc>
          <w:tcPr>
            <w:tcW w:w="378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Nazwa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Powi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zane wska</w:t>
            </w:r>
            <w:r>
              <w:rPr>
                <w:rFonts w:eastAsia="Arial Unicode MS" w:cs="Arial Unicode MS"/>
              </w:rPr>
              <w:t>ź</w:t>
            </w:r>
            <w:r>
              <w:rPr>
                <w:rFonts w:eastAsia="Arial Unicode MS" w:cs="Arial Unicode MS"/>
              </w:rPr>
              <w:t>niki projektu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Planowany termin osi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gni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cia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Rzeczywisty termin osi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gni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cia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Status realizacji kamienia milowego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/>
        </w:trPr>
        <w:tc>
          <w:tcPr>
            <w:tcW w:w="378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(1) Opracowanie standard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 bezpieczen</w:t>
            </w:r>
            <w:r>
              <w:rPr>
                <w:rFonts w:eastAsia="Arial Unicode MS" w:cs="Arial Unicode MS"/>
              </w:rPr>
              <w:t>́</w:t>
            </w:r>
            <w:r>
              <w:rPr>
                <w:rFonts w:eastAsia="Arial Unicode MS" w:cs="Arial Unicode MS"/>
              </w:rPr>
              <w:t xml:space="preserve">stwa chmury obliczeniowej 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(5): 1 szt.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06-2020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05-2020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- osi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gni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ty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3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(2) Odbi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r koncepcji realizacyjnej SOC/NOC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01-2022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01-2022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- osi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gni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ty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3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(3) Wydanie docelowego katalogu chmury publicznej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03-2022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06-2022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- osi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gni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ty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7"/>
        </w:trPr>
        <w:tc>
          <w:tcPr>
            <w:tcW w:w="3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(4) Wydanie inicjalnego katalogu</w:t>
            </w:r>
            <w:r>
              <w:rPr>
                <w:rFonts w:eastAsia="Arial Unicode MS" w:cs="Arial Unicode MS"/>
              </w:rPr>
              <w:t xml:space="preserve">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 Rz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 xml:space="preserve">dowej Chmury Obliczeniowej </w:t>
            </w:r>
            <w:r>
              <w:rPr>
                <w:rFonts w:eastAsia="Arial Unicode MS" w:cs="Arial Unicode MS"/>
              </w:rPr>
              <w:t xml:space="preserve">— </w:t>
            </w:r>
            <w:r>
              <w:rPr>
                <w:rFonts w:eastAsia="Arial Unicode MS" w:cs="Arial Unicode MS"/>
              </w:rPr>
              <w:t>Uruchomienie katalogu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 IaaS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(1): 3416 TB</w:t>
            </w:r>
          </w:p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(2): 1 szt.</w:t>
            </w:r>
          </w:p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(6): 3 szt.</w:t>
            </w:r>
          </w:p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(7): 98,75%</w:t>
            </w:r>
          </w:p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(8): 3800 szt.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- w trakcie realizacji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3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(5) Uruchomienie Rz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dowego Klastra Bezpieczen</w:t>
            </w:r>
            <w:r>
              <w:rPr>
                <w:rFonts w:eastAsia="Arial Unicode MS" w:cs="Arial Unicode MS"/>
              </w:rPr>
              <w:t>́</w:t>
            </w:r>
            <w:r>
              <w:rPr>
                <w:rFonts w:eastAsia="Arial Unicode MS" w:cs="Arial Unicode MS"/>
              </w:rPr>
              <w:t>stwa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(3): 2 szt.</w:t>
            </w:r>
          </w:p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(4): 1 szt.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- w</w:t>
            </w:r>
            <w:r>
              <w:rPr>
                <w:rFonts w:eastAsia="Arial Unicode MS" w:cs="Arial Unicode MS"/>
              </w:rPr>
              <w:t xml:space="preserve"> trakcie realizacji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/>
        </w:trPr>
        <w:tc>
          <w:tcPr>
            <w:tcW w:w="3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(6) Wydanie katalogu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 PaaS Rz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 xml:space="preserve">dowej Chmury Obliczeniowej </w:t>
            </w:r>
            <w:r>
              <w:rPr>
                <w:rFonts w:eastAsia="Arial Unicode MS" w:cs="Arial Unicode MS"/>
              </w:rPr>
              <w:t xml:space="preserve">— </w:t>
            </w:r>
            <w:r>
              <w:rPr>
                <w:rFonts w:eastAsia="Arial Unicode MS" w:cs="Arial Unicode MS"/>
              </w:rPr>
              <w:t>rozbudowa katalogu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 o elementy PaaS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(6): 1 szt.</w:t>
            </w:r>
          </w:p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(7): 98,75%</w:t>
            </w:r>
          </w:p>
          <w:p w:rsidR="008D07AB" w:rsidRDefault="008D07AB">
            <w:pPr>
              <w:pStyle w:val="Styltabeli2"/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- w trakcie realizacji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/>
        </w:trPr>
        <w:tc>
          <w:tcPr>
            <w:tcW w:w="3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(7) Wydanie katalogu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 bezpieczen</w:t>
            </w:r>
            <w:r>
              <w:rPr>
                <w:rFonts w:eastAsia="Arial Unicode MS" w:cs="Arial Unicode MS"/>
              </w:rPr>
              <w:t>́</w:t>
            </w:r>
            <w:r>
              <w:rPr>
                <w:rFonts w:eastAsia="Arial Unicode MS" w:cs="Arial Unicode MS"/>
              </w:rPr>
              <w:t xml:space="preserve">stwa w ramach RKB </w:t>
            </w:r>
            <w:r>
              <w:rPr>
                <w:rFonts w:eastAsia="Arial Unicode MS" w:cs="Arial Unicode MS"/>
              </w:rPr>
              <w:t xml:space="preserve">— </w:t>
            </w:r>
            <w:r>
              <w:rPr>
                <w:rFonts w:eastAsia="Arial Unicode MS" w:cs="Arial Unicode MS"/>
              </w:rPr>
              <w:t xml:space="preserve">uruchomienie </w:t>
            </w:r>
            <w:r>
              <w:rPr>
                <w:rFonts w:eastAsia="Arial Unicode MS" w:cs="Arial Unicode MS"/>
              </w:rPr>
              <w:t>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 bezpieczen</w:t>
            </w:r>
            <w:r>
              <w:rPr>
                <w:rFonts w:eastAsia="Arial Unicode MS" w:cs="Arial Unicode MS"/>
              </w:rPr>
              <w:t>́</w:t>
            </w:r>
            <w:r>
              <w:rPr>
                <w:rFonts w:eastAsia="Arial Unicode MS" w:cs="Arial Unicode MS"/>
              </w:rPr>
              <w:t>stwa w modelu chmurowym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(9): 5 szt.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- w trakcie realizacji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7"/>
        </w:trPr>
        <w:tc>
          <w:tcPr>
            <w:tcW w:w="3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lastRenderedPageBreak/>
              <w:t>(8) Wydanie inicjalnego katalogu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 xml:space="preserve">ug chmury publicznej </w:t>
            </w:r>
            <w:r>
              <w:rPr>
                <w:rFonts w:eastAsia="Arial Unicode MS" w:cs="Arial Unicode MS"/>
              </w:rPr>
              <w:t xml:space="preserve">— </w:t>
            </w:r>
            <w:r>
              <w:rPr>
                <w:rFonts w:eastAsia="Arial Unicode MS" w:cs="Arial Unicode MS"/>
              </w:rPr>
              <w:t>uruchomienie systemu ZUCH wraz z opublikowaniem 1 katalogu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 Publicznej Chmury Obliczeniowej (PChO)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(11): 5</w:t>
            </w:r>
            <w:r>
              <w:rPr>
                <w:rFonts w:eastAsia="Arial Unicode MS" w:cs="Arial Unicode MS"/>
              </w:rPr>
              <w:t xml:space="preserve"> szt.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01-2023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- w trakcie realizacji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/>
        </w:trPr>
        <w:tc>
          <w:tcPr>
            <w:tcW w:w="3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 xml:space="preserve">(9) Wydanie docelowego katalogu chmury publicznej </w:t>
            </w:r>
            <w:r>
              <w:rPr>
                <w:rFonts w:eastAsia="Arial Unicode MS" w:cs="Arial Unicode MS"/>
              </w:rPr>
              <w:t xml:space="preserve">— </w:t>
            </w:r>
            <w:r>
              <w:rPr>
                <w:rFonts w:eastAsia="Arial Unicode MS" w:cs="Arial Unicode MS"/>
              </w:rPr>
              <w:t>uruchomienie co najmniej 1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ugi w modelu SaaS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(11): 5 szt.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01-2023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- w trakcie realizacji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/>
        </w:trPr>
        <w:tc>
          <w:tcPr>
            <w:tcW w:w="3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(10) Wydanie katalogu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 SaaS Rz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 xml:space="preserve">dowej Chmury Obliczeniowej </w:t>
            </w:r>
            <w:r>
              <w:rPr>
                <w:rFonts w:eastAsia="Arial Unicode MS" w:cs="Arial Unicode MS"/>
              </w:rPr>
              <w:t xml:space="preserve">— </w:t>
            </w:r>
            <w:r>
              <w:rPr>
                <w:rFonts w:eastAsia="Arial Unicode MS" w:cs="Arial Unicode MS"/>
              </w:rPr>
              <w:t>uruchomienie co najmniej 1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ugi w modelu SaaS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(7): 98,75%</w:t>
            </w:r>
          </w:p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(10): 8 szt.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01-2023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- w trakcie realizacji</w:t>
            </w:r>
          </w:p>
        </w:tc>
      </w:tr>
    </w:tbl>
    <w:p w:rsidR="008D07AB" w:rsidRDefault="008D07AB">
      <w:pPr>
        <w:pStyle w:val="Tre"/>
      </w:pPr>
    </w:p>
    <w:p w:rsidR="008D07AB" w:rsidRDefault="008D07AB">
      <w:pPr>
        <w:pStyle w:val="Tre"/>
      </w:pPr>
    </w:p>
    <w:p w:rsidR="008D07AB" w:rsidRDefault="00FD7098">
      <w:pPr>
        <w:pStyle w:val="Tre"/>
        <w:keepNext/>
        <w:rPr>
          <w:rStyle w:val="Wyrnienie"/>
        </w:rPr>
      </w:pPr>
      <w:r>
        <w:rPr>
          <w:rStyle w:val="Wyrnienie"/>
        </w:rPr>
        <w:t>Wskaźniki efektywności projektu (KPI)</w:t>
      </w:r>
    </w:p>
    <w:tbl>
      <w:tblPr>
        <w:tblStyle w:val="TableNormal"/>
        <w:tblW w:w="901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695"/>
        <w:gridCol w:w="1003"/>
        <w:gridCol w:w="1383"/>
        <w:gridCol w:w="2258"/>
      </w:tblGrid>
      <w:tr w:rsidR="008D07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/>
          <w:tblHeader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Nazwa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Jedn. miary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Warto</w:t>
            </w:r>
            <w:r>
              <w:rPr>
                <w:rFonts w:eastAsia="Arial Unicode MS" w:cs="Arial Unicode MS"/>
              </w:rPr>
              <w:t xml:space="preserve">ść </w:t>
            </w:r>
            <w:r>
              <w:rPr>
                <w:rFonts w:eastAsia="Arial Unicode MS" w:cs="Arial Unicode MS"/>
              </w:rPr>
              <w:t>docelowa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Planowany termin osi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-</w:t>
            </w:r>
            <w:proofErr w:type="spellStart"/>
            <w:r>
              <w:rPr>
                <w:rFonts w:eastAsia="Arial Unicode MS" w:cs="Arial Unicode MS"/>
              </w:rPr>
              <w:t>gni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cia</w:t>
            </w:r>
            <w:proofErr w:type="spellEnd"/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Warto</w:t>
            </w:r>
            <w:r>
              <w:rPr>
                <w:rFonts w:eastAsia="Arial Unicode MS" w:cs="Arial Unicode MS"/>
              </w:rPr>
              <w:t xml:space="preserve">ść </w:t>
            </w:r>
            <w:r>
              <w:rPr>
                <w:rFonts w:eastAsia="Arial Unicode MS" w:cs="Arial Unicode MS"/>
              </w:rPr>
              <w:t>osi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gni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ta od pocz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 xml:space="preserve">tku realizacji </w:t>
            </w:r>
            <w:r>
              <w:rPr>
                <w:rFonts w:eastAsia="Arial Unicode MS" w:cs="Arial Unicode MS"/>
              </w:rPr>
              <w:t>projektu (narastaj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 xml:space="preserve">co) 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/>
        </w:trPr>
        <w:tc>
          <w:tcPr>
            <w:tcW w:w="367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(1) Przestrzeń</w:t>
            </w:r>
            <w:r>
              <w:rPr>
                <w:rFonts w:eastAsia="Arial Unicode MS" w:cs="Arial Unicode MS"/>
              </w:rPr>
              <w:t xml:space="preserve">́ </w:t>
            </w:r>
            <w:r>
              <w:rPr>
                <w:rFonts w:eastAsia="Arial Unicode MS" w:cs="Arial Unicode MS"/>
              </w:rPr>
              <w:t>dyskowa serwerowni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TB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3416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225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(2) Liczba uruchomionych system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 teleinformatycznych w podmiotach wykonuj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cych zadania publiczne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szt.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1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(3) Liczba os</w:t>
            </w:r>
            <w:r>
              <w:rPr>
                <w:rFonts w:eastAsia="Arial Unicode MS" w:cs="Arial Unicode MS"/>
              </w:rPr>
              <w:t>́</w:t>
            </w:r>
            <w:r>
              <w:rPr>
                <w:rFonts w:eastAsia="Arial Unicode MS" w:cs="Arial Unicode MS"/>
              </w:rPr>
              <w:t>rodk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 CPD, obj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tych standardem technicznym i organizacyjnym w ramach Rz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dowego Klastra Bezpieczen</w:t>
            </w:r>
            <w:r>
              <w:rPr>
                <w:rFonts w:eastAsia="Arial Unicode MS" w:cs="Arial Unicode MS"/>
              </w:rPr>
              <w:t>́</w:t>
            </w:r>
            <w:r>
              <w:rPr>
                <w:rFonts w:eastAsia="Arial Unicode MS" w:cs="Arial Unicode MS"/>
              </w:rPr>
              <w:t>stwa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szt.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(4) Liczba centr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 operacji bezpieczen</w:t>
            </w:r>
            <w:r>
              <w:rPr>
                <w:rFonts w:eastAsia="Arial Unicode MS" w:cs="Arial Unicode MS"/>
              </w:rPr>
              <w:t>́</w:t>
            </w:r>
            <w:r>
              <w:rPr>
                <w:rFonts w:eastAsia="Arial Unicode MS" w:cs="Arial Unicode MS"/>
              </w:rPr>
              <w:t>stwa i zarz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dzania sieci</w:t>
            </w:r>
            <w:r>
              <w:rPr>
                <w:rFonts w:eastAsia="Arial Unicode MS" w:cs="Arial Unicode MS"/>
              </w:rPr>
              <w:t xml:space="preserve">ą </w:t>
            </w:r>
            <w:r>
              <w:rPr>
                <w:rFonts w:eastAsia="Arial Unicode MS" w:cs="Arial Unicode MS"/>
              </w:rPr>
              <w:t>(SOC/NOC), kt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re osi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gn</w:t>
            </w:r>
            <w:r>
              <w:rPr>
                <w:rFonts w:eastAsia="Arial Unicode MS" w:cs="Arial Unicode MS"/>
              </w:rPr>
              <w:t>ęł</w:t>
            </w:r>
            <w:r>
              <w:rPr>
                <w:rFonts w:eastAsia="Arial Unicode MS" w:cs="Arial Unicode MS"/>
              </w:rPr>
              <w:t>y pe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n</w:t>
            </w:r>
            <w:r>
              <w:rPr>
                <w:rFonts w:eastAsia="Arial Unicode MS" w:cs="Arial Unicode MS"/>
              </w:rPr>
              <w:t xml:space="preserve">ą </w:t>
            </w:r>
            <w:r>
              <w:rPr>
                <w:rFonts w:eastAsia="Arial Unicode MS" w:cs="Arial Unicode MS"/>
              </w:rPr>
              <w:t>gotowos</w:t>
            </w:r>
            <w:r>
              <w:rPr>
                <w:rFonts w:eastAsia="Arial Unicode MS" w:cs="Arial Unicode MS"/>
              </w:rPr>
              <w:t>́</w:t>
            </w:r>
            <w:r>
              <w:rPr>
                <w:rFonts w:eastAsia="Arial Unicode MS" w:cs="Arial Unicode MS"/>
              </w:rPr>
              <w:t>c</w:t>
            </w:r>
            <w:r>
              <w:rPr>
                <w:rFonts w:eastAsia="Arial Unicode MS" w:cs="Arial Unicode MS"/>
              </w:rPr>
              <w:t xml:space="preserve">́ </w:t>
            </w:r>
            <w:r>
              <w:rPr>
                <w:rFonts w:eastAsia="Arial Unicode MS" w:cs="Arial Unicode MS"/>
              </w:rPr>
              <w:t>operacyjn</w:t>
            </w:r>
            <w:r>
              <w:rPr>
                <w:rFonts w:eastAsia="Arial Unicode MS" w:cs="Arial Unicode MS"/>
              </w:rPr>
              <w:t>ą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szt.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(5) Liczba opracowanych standard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 bezpieczen</w:t>
            </w:r>
            <w:r>
              <w:rPr>
                <w:rFonts w:eastAsia="Arial Unicode MS" w:cs="Arial Unicode MS"/>
              </w:rPr>
              <w:t>́</w:t>
            </w:r>
            <w:r>
              <w:rPr>
                <w:rFonts w:eastAsia="Arial Unicode MS" w:cs="Arial Unicode MS"/>
              </w:rPr>
              <w:t>stwa w zakresie CPD oraz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 s</w:t>
            </w:r>
            <w:r>
              <w:rPr>
                <w:rFonts w:eastAsia="Arial Unicode MS" w:cs="Arial Unicode MS"/>
              </w:rPr>
              <w:t>́</w:t>
            </w:r>
            <w:r>
              <w:rPr>
                <w:rFonts w:eastAsia="Arial Unicode MS" w:cs="Arial Unicode MS"/>
              </w:rPr>
              <w:t>wiadczonych w ramach RChO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szt.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01-2022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(6) Liczba wdroz</w:t>
            </w:r>
            <w:r>
              <w:rPr>
                <w:rFonts w:eastAsia="Arial Unicode MS" w:cs="Arial Unicode MS"/>
              </w:rPr>
              <w:t>̇</w:t>
            </w:r>
            <w:r>
              <w:rPr>
                <w:rFonts w:eastAsia="Arial Unicode MS" w:cs="Arial Unicode MS"/>
              </w:rPr>
              <w:t>onych platform wirtualizacyjnych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szt.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 xml:space="preserve">(7) </w:t>
            </w:r>
            <w:proofErr w:type="spellStart"/>
            <w:r>
              <w:rPr>
                <w:rFonts w:eastAsia="Arial Unicode MS" w:cs="Arial Unicode MS"/>
              </w:rPr>
              <w:t>S</w:t>
            </w:r>
            <w:r>
              <w:rPr>
                <w:rFonts w:eastAsia="Arial Unicode MS" w:cs="Arial Unicode MS"/>
              </w:rPr>
              <w:t>́</w:t>
            </w:r>
            <w:r>
              <w:rPr>
                <w:rFonts w:eastAsia="Arial Unicode MS" w:cs="Arial Unicode MS"/>
              </w:rPr>
              <w:t>redni</w:t>
            </w:r>
            <w:proofErr w:type="spellEnd"/>
            <w:r>
              <w:rPr>
                <w:rFonts w:eastAsia="Arial Unicode MS" w:cs="Arial Unicode MS"/>
              </w:rPr>
              <w:t xml:space="preserve"> poziom dost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pnos</w:t>
            </w:r>
            <w:r>
              <w:rPr>
                <w:rFonts w:eastAsia="Arial Unicode MS" w:cs="Arial Unicode MS"/>
              </w:rPr>
              <w:t>́</w:t>
            </w:r>
            <w:r>
              <w:rPr>
                <w:rFonts w:eastAsia="Arial Unicode MS" w:cs="Arial Unicode MS"/>
              </w:rPr>
              <w:t>ci s</w:t>
            </w:r>
            <w:r>
              <w:rPr>
                <w:rFonts w:eastAsia="Arial Unicode MS" w:cs="Arial Unicode MS"/>
              </w:rPr>
              <w:t>́</w:t>
            </w:r>
            <w:r>
              <w:rPr>
                <w:rFonts w:eastAsia="Arial Unicode MS" w:cs="Arial Unicode MS"/>
              </w:rPr>
              <w:t>wiadczonych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 (SLA)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%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98,75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0%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(8) Ilość</w:t>
            </w:r>
            <w:r>
              <w:rPr>
                <w:rFonts w:eastAsia="Arial Unicode MS" w:cs="Arial Unicode MS"/>
              </w:rPr>
              <w:t xml:space="preserve">́ </w:t>
            </w:r>
            <w:r>
              <w:rPr>
                <w:rFonts w:eastAsia="Arial Unicode MS" w:cs="Arial Unicode MS"/>
              </w:rPr>
              <w:t>dost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pnych rdzeni fizycznych procesor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szt.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3800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(9) Liczba udost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pnionych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 wewn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trzadministracyjnych (A2A)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szt.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01-2023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(10) Liczba system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 teleinformatycznych administracji publicznej korzystaj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cych z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udost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pnionych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 A2A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szt.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12-2023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7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(11) Liczba zawartych um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 wykonawczych przez podmioty administracji publicznej w ramach dostawy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 xml:space="preserve">ug </w:t>
            </w:r>
            <w:r>
              <w:rPr>
                <w:rFonts w:eastAsia="Arial Unicode MS" w:cs="Arial Unicode MS"/>
              </w:rPr>
              <w:t>Publicznej Chmury Obliczeniowej za po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rednictwem Systemu Zapewniania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 Chmurowych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szt.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12-2023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</w:tr>
    </w:tbl>
    <w:p w:rsidR="008D07AB" w:rsidRDefault="008D07AB">
      <w:pPr>
        <w:pStyle w:val="Tre"/>
      </w:pPr>
    </w:p>
    <w:p w:rsidR="008D07AB" w:rsidRDefault="00FD7098">
      <w:pPr>
        <w:pStyle w:val="Nagwek"/>
        <w:numPr>
          <w:ilvl w:val="0"/>
          <w:numId w:val="6"/>
        </w:numPr>
      </w:pPr>
      <w:r>
        <w:t>E-usługi A2A, A2B, A2C</w:t>
      </w:r>
    </w:p>
    <w:tbl>
      <w:tblPr>
        <w:tblStyle w:val="TableNormal"/>
        <w:tblW w:w="901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64"/>
        <w:gridCol w:w="1160"/>
        <w:gridCol w:w="1169"/>
        <w:gridCol w:w="2725"/>
      </w:tblGrid>
      <w:tr w:rsidR="008D07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/>
          <w:tblHeader/>
        </w:trPr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Nazwa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Planowana data wdro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enia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Rzeczywista data wdro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enia</w:t>
            </w:r>
          </w:p>
        </w:tc>
        <w:tc>
          <w:tcPr>
            <w:tcW w:w="27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Opis zmian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/>
        </w:trPr>
        <w:tc>
          <w:tcPr>
            <w:tcW w:w="39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(1) Zam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wienie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 xml:space="preserve">ugi IT 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wiadczonej w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 xml:space="preserve">modelu chmury </w:t>
            </w:r>
            <w:r>
              <w:rPr>
                <w:rFonts w:eastAsia="Arial Unicode MS" w:cs="Arial Unicode MS"/>
              </w:rPr>
              <w:t>obliczeniowej z wykorzystaniem systemu ZUCH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01-2023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27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/>
        </w:trPr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(2) Dostawa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 w zakresie infrastruktury IT (IaaS) oraz platform systemowych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2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/>
        </w:trPr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(3) Dostarczanie oprogramowania i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 w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modelu chmury obliczeniowej (PaaS/SaaS)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01-2023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2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 xml:space="preserve">(4) System </w:t>
            </w:r>
            <w:r>
              <w:rPr>
                <w:rFonts w:eastAsia="Arial Unicode MS" w:cs="Arial Unicode MS"/>
              </w:rPr>
              <w:t>raportowania i rozlicze</w:t>
            </w:r>
            <w:r>
              <w:rPr>
                <w:rFonts w:eastAsia="Arial Unicode MS" w:cs="Arial Unicode MS"/>
              </w:rPr>
              <w:t xml:space="preserve">ń </w:t>
            </w:r>
            <w:r>
              <w:rPr>
                <w:rFonts w:eastAsia="Arial Unicode MS" w:cs="Arial Unicode MS"/>
              </w:rPr>
              <w:t>udost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pnianych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2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 xml:space="preserve">(5) Wsparcie techniczne (Help </w:t>
            </w:r>
            <w:proofErr w:type="spellStart"/>
            <w:r>
              <w:rPr>
                <w:rFonts w:eastAsia="Arial Unicode MS" w:cs="Arial Unicode MS"/>
              </w:rPr>
              <w:t>desk</w:t>
            </w:r>
            <w:proofErr w:type="spellEnd"/>
            <w:r>
              <w:rPr>
                <w:rFonts w:eastAsia="Arial Unicode MS" w:cs="Arial Unicode MS"/>
              </w:rPr>
              <w:t xml:space="preserve">) </w:t>
            </w:r>
            <w:r>
              <w:rPr>
                <w:rFonts w:eastAsia="Arial Unicode MS" w:cs="Arial Unicode MS"/>
              </w:rPr>
              <w:t xml:space="preserve">– </w:t>
            </w:r>
            <w:r>
              <w:rPr>
                <w:rFonts w:eastAsia="Arial Unicode MS" w:cs="Arial Unicode MS"/>
              </w:rPr>
              <w:t>elektroniczna obs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uga zg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osze</w:t>
            </w:r>
            <w:r>
              <w:rPr>
                <w:rFonts w:eastAsia="Arial Unicode MS" w:cs="Arial Unicode MS"/>
              </w:rPr>
              <w:t>ń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2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</w:tr>
    </w:tbl>
    <w:p w:rsidR="008D07AB" w:rsidRDefault="008D07AB">
      <w:pPr>
        <w:pStyle w:val="Tre"/>
      </w:pPr>
    </w:p>
    <w:p w:rsidR="008D07AB" w:rsidRDefault="00FD7098">
      <w:pPr>
        <w:pStyle w:val="Nagwek"/>
        <w:numPr>
          <w:ilvl w:val="0"/>
          <w:numId w:val="6"/>
        </w:numPr>
      </w:pPr>
      <w:r>
        <w:t>Udostępnione informacje sektora publicznego i zdigitalizowane zasoby</w:t>
      </w:r>
    </w:p>
    <w:tbl>
      <w:tblPr>
        <w:tblStyle w:val="TableNormal"/>
        <w:tblW w:w="901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66"/>
        <w:gridCol w:w="1419"/>
        <w:gridCol w:w="1741"/>
        <w:gridCol w:w="2992"/>
      </w:tblGrid>
      <w:tr w:rsidR="008D07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/>
          <w:tblHeader/>
        </w:trPr>
        <w:tc>
          <w:tcPr>
            <w:tcW w:w="286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Nazwa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Planowana data wdro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enia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 xml:space="preserve">Rzeczywista data </w:t>
            </w:r>
            <w:r>
              <w:rPr>
                <w:rFonts w:eastAsia="Arial Unicode MS" w:cs="Arial Unicode MS"/>
              </w:rPr>
              <w:t>wdro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enia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Opis zmian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/>
        </w:trPr>
        <w:tc>
          <w:tcPr>
            <w:tcW w:w="28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Nie dotyczy.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174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2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</w:tr>
    </w:tbl>
    <w:p w:rsidR="008D07AB" w:rsidRDefault="008D07AB">
      <w:pPr>
        <w:pStyle w:val="Tre"/>
      </w:pPr>
    </w:p>
    <w:p w:rsidR="008D07AB" w:rsidRDefault="00FD7098">
      <w:pPr>
        <w:pStyle w:val="Nagwek"/>
        <w:numPr>
          <w:ilvl w:val="0"/>
          <w:numId w:val="6"/>
        </w:numPr>
      </w:pPr>
      <w:r>
        <w:t>Produkty końcowe projektu (inne niż wskazane w pkt. 4-5)</w:t>
      </w:r>
    </w:p>
    <w:tbl>
      <w:tblPr>
        <w:tblStyle w:val="TableNormal"/>
        <w:tblW w:w="901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65"/>
        <w:gridCol w:w="1347"/>
        <w:gridCol w:w="1424"/>
        <w:gridCol w:w="2482"/>
      </w:tblGrid>
      <w:tr w:rsidR="008D07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/>
          <w:tblHeader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Nazwa produktu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Planowana data wdro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enia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Rzeczywista data wdro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enia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Komplementarno</w:t>
            </w:r>
            <w:r>
              <w:rPr>
                <w:rFonts w:eastAsia="Arial Unicode MS" w:cs="Arial Unicode MS"/>
              </w:rPr>
              <w:t xml:space="preserve">ść </w:t>
            </w:r>
            <w:r>
              <w:rPr>
                <w:rFonts w:eastAsia="Arial Unicode MS" w:cs="Arial Unicode MS"/>
              </w:rPr>
              <w:t>wzgl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dem produkt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 innych projekt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1"/>
        </w:trPr>
        <w:tc>
          <w:tcPr>
            <w:tcW w:w="376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(1) System Zapewniania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 xml:space="preserve">ug Chmurowych </w:t>
            </w:r>
            <w:r>
              <w:rPr>
                <w:rFonts w:eastAsia="Arial Unicode MS" w:cs="Arial Unicode MS"/>
              </w:rPr>
              <w:t xml:space="preserve">— </w:t>
            </w:r>
            <w:r>
              <w:rPr>
                <w:rFonts w:eastAsia="Arial Unicode MS" w:cs="Arial Unicode MS"/>
              </w:rPr>
              <w:t>wersja produkcyjna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02-2022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02-2022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Produkt projektu komplementarnego Platforma Innowacyjnej Administracji (wytworzenie oprogramowania).</w:t>
            </w:r>
          </w:p>
          <w:p w:rsidR="008D07AB" w:rsidRDefault="008D07AB">
            <w:pPr>
              <w:pStyle w:val="Styltabeli2"/>
            </w:pP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(2) System Zapewniania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 xml:space="preserve">ug Chmurowych </w:t>
            </w:r>
            <w:r>
              <w:rPr>
                <w:rFonts w:eastAsia="Arial Unicode MS" w:cs="Arial Unicode MS"/>
              </w:rPr>
              <w:t xml:space="preserve">— </w:t>
            </w:r>
            <w:r>
              <w:rPr>
                <w:rFonts w:eastAsia="Arial Unicode MS" w:cs="Arial Unicode MS"/>
              </w:rPr>
              <w:t>model zakupu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 Publicznej Chmury Obliczeniowej (PChO)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03-2022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nie dotyczy.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(3) Rz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dowy Klaster Bezpiecze</w:t>
            </w:r>
            <w:r>
              <w:rPr>
                <w:rFonts w:eastAsia="Arial Unicode MS" w:cs="Arial Unicode MS"/>
              </w:rPr>
              <w:t>ń</w:t>
            </w:r>
            <w:r>
              <w:rPr>
                <w:rFonts w:eastAsia="Arial Unicode MS" w:cs="Arial Unicode MS"/>
              </w:rPr>
              <w:t xml:space="preserve">stwa </w:t>
            </w:r>
            <w:r>
              <w:rPr>
                <w:rFonts w:eastAsia="Arial Unicode MS" w:cs="Arial Unicode MS"/>
              </w:rPr>
              <w:t xml:space="preserve">— </w:t>
            </w:r>
            <w:r>
              <w:rPr>
                <w:rFonts w:eastAsia="Arial Unicode MS" w:cs="Arial Unicode MS"/>
              </w:rPr>
              <w:t>wyposa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enie i oprogramowanie RKB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03-2022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nie dotyczy.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(4) Rz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 xml:space="preserve">dowa Chmura Obliczeniowa </w:t>
            </w:r>
            <w:r>
              <w:rPr>
                <w:rFonts w:eastAsia="Arial Unicode MS" w:cs="Arial Unicode MS"/>
              </w:rPr>
              <w:t xml:space="preserve">— </w:t>
            </w:r>
            <w:r>
              <w:rPr>
                <w:rFonts w:eastAsia="Arial Unicode MS" w:cs="Arial Unicode MS"/>
              </w:rPr>
              <w:t>wyposa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enie i oprogramowanie wraz z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Katalogiem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 RChO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05-2022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nie dotyczy.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(5) Rz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 xml:space="preserve">dowy Klaster </w:t>
            </w:r>
            <w:r>
              <w:rPr>
                <w:rFonts w:eastAsia="Arial Unicode MS" w:cs="Arial Unicode MS"/>
              </w:rPr>
              <w:t>Bezpiecze</w:t>
            </w:r>
            <w:r>
              <w:rPr>
                <w:rFonts w:eastAsia="Arial Unicode MS" w:cs="Arial Unicode MS"/>
              </w:rPr>
              <w:t>ń</w:t>
            </w:r>
            <w:r>
              <w:rPr>
                <w:rFonts w:eastAsia="Arial Unicode MS" w:cs="Arial Unicode MS"/>
              </w:rPr>
              <w:t xml:space="preserve">stwa </w:t>
            </w:r>
            <w:r>
              <w:rPr>
                <w:rFonts w:eastAsia="Arial Unicode MS" w:cs="Arial Unicode MS"/>
              </w:rPr>
              <w:t xml:space="preserve">— </w:t>
            </w:r>
            <w:r>
              <w:rPr>
                <w:rFonts w:eastAsia="Arial Unicode MS" w:cs="Arial Unicode MS"/>
              </w:rPr>
              <w:t>standardy i polityki bezpiecze</w:t>
            </w:r>
            <w:r>
              <w:rPr>
                <w:rFonts w:eastAsia="Arial Unicode MS" w:cs="Arial Unicode MS"/>
              </w:rPr>
              <w:t>ń</w:t>
            </w:r>
            <w:r>
              <w:rPr>
                <w:rFonts w:eastAsia="Arial Unicode MS" w:cs="Arial Unicode MS"/>
              </w:rPr>
              <w:t>stwa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08-2022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nie dotyczy.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(6) Rz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dowy Klaster Bezpiecze</w:t>
            </w:r>
            <w:r>
              <w:rPr>
                <w:rFonts w:eastAsia="Arial Unicode MS" w:cs="Arial Unicode MS"/>
              </w:rPr>
              <w:t>ń</w:t>
            </w:r>
            <w:r>
              <w:rPr>
                <w:rFonts w:eastAsia="Arial Unicode MS" w:cs="Arial Unicode MS"/>
              </w:rPr>
              <w:t xml:space="preserve">stwa </w:t>
            </w:r>
            <w:r>
              <w:rPr>
                <w:rFonts w:eastAsia="Arial Unicode MS" w:cs="Arial Unicode MS"/>
              </w:rPr>
              <w:t xml:space="preserve">— </w:t>
            </w:r>
            <w:r>
              <w:rPr>
                <w:rFonts w:eastAsia="Arial Unicode MS" w:cs="Arial Unicode MS"/>
              </w:rPr>
              <w:t xml:space="preserve">zasobu organizacyjne </w:t>
            </w:r>
            <w:r>
              <w:rPr>
                <w:rFonts w:eastAsia="Arial Unicode MS" w:cs="Arial Unicode MS"/>
              </w:rPr>
              <w:t xml:space="preserve">— </w:t>
            </w:r>
            <w:r>
              <w:rPr>
                <w:rFonts w:eastAsia="Arial Unicode MS" w:cs="Arial Unicode MS"/>
              </w:rPr>
              <w:t>gotowo</w:t>
            </w:r>
            <w:r>
              <w:rPr>
                <w:rFonts w:eastAsia="Arial Unicode MS" w:cs="Arial Unicode MS"/>
              </w:rPr>
              <w:t xml:space="preserve">ść </w:t>
            </w:r>
            <w:r>
              <w:rPr>
                <w:rFonts w:eastAsia="Arial Unicode MS" w:cs="Arial Unicode MS"/>
              </w:rPr>
              <w:t>zespo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 obs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ugi RKB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10-2022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nie dotyczy.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(7) Rz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 xml:space="preserve">dowa Chmura Obliczeniowa </w:t>
            </w:r>
            <w:r>
              <w:rPr>
                <w:rFonts w:eastAsia="Arial Unicode MS" w:cs="Arial Unicode MS"/>
              </w:rPr>
              <w:t xml:space="preserve">— </w:t>
            </w:r>
            <w:r>
              <w:rPr>
                <w:rFonts w:eastAsia="Arial Unicode MS" w:cs="Arial Unicode MS"/>
              </w:rPr>
              <w:t xml:space="preserve">zasoby organizacyjne </w:t>
            </w:r>
            <w:r>
              <w:rPr>
                <w:rFonts w:eastAsia="Arial Unicode MS" w:cs="Arial Unicode MS"/>
              </w:rPr>
              <w:t xml:space="preserve">— </w:t>
            </w:r>
            <w:r>
              <w:rPr>
                <w:rFonts w:eastAsia="Arial Unicode MS" w:cs="Arial Unicode MS"/>
              </w:rPr>
              <w:t>gotowo</w:t>
            </w:r>
            <w:r>
              <w:rPr>
                <w:rFonts w:eastAsia="Arial Unicode MS" w:cs="Arial Unicode MS"/>
              </w:rPr>
              <w:t xml:space="preserve">ść </w:t>
            </w:r>
            <w:r>
              <w:rPr>
                <w:rFonts w:eastAsia="Arial Unicode MS" w:cs="Arial Unicode MS"/>
              </w:rPr>
              <w:t>zespo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 obs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ugi RChO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10-2022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nie dotyczy.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7"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(8) System Zapewniania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 xml:space="preserve">ug Chmurowych </w:t>
            </w:r>
            <w:r>
              <w:rPr>
                <w:rFonts w:eastAsia="Arial Unicode MS" w:cs="Arial Unicode MS"/>
              </w:rPr>
              <w:t xml:space="preserve">— </w:t>
            </w:r>
            <w:r>
              <w:rPr>
                <w:rFonts w:eastAsia="Arial Unicode MS" w:cs="Arial Unicode MS"/>
              </w:rPr>
              <w:t>Katalog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 chmury publicznej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01-2023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8D07AB"/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numPr>
                <w:ilvl w:val="0"/>
                <w:numId w:val="7"/>
              </w:numPr>
            </w:pPr>
            <w:r>
              <w:rPr>
                <w:rFonts w:eastAsia="Arial Unicode MS" w:cs="Arial Unicode MS"/>
              </w:rPr>
              <w:t>korzystanie - Integracja z serwisem Otwarte Dane (rest API).</w:t>
            </w:r>
          </w:p>
          <w:p w:rsidR="008D07AB" w:rsidRDefault="00FD7098">
            <w:pPr>
              <w:pStyle w:val="Styltabeli2"/>
              <w:numPr>
                <w:ilvl w:val="0"/>
                <w:numId w:val="7"/>
              </w:numPr>
            </w:pPr>
            <w:r>
              <w:rPr>
                <w:rFonts w:eastAsia="Arial Unicode MS" w:cs="Arial Unicode MS"/>
              </w:rPr>
              <w:t>specyfikowanie wymaga</w:t>
            </w:r>
            <w:r>
              <w:rPr>
                <w:rFonts w:eastAsia="Arial Unicode MS" w:cs="Arial Unicode MS"/>
              </w:rPr>
              <w:t>ń</w:t>
            </w:r>
          </w:p>
          <w:p w:rsidR="008D07AB" w:rsidRDefault="00FD7098">
            <w:pPr>
              <w:pStyle w:val="Styltabeli2"/>
              <w:numPr>
                <w:ilvl w:val="0"/>
                <w:numId w:val="7"/>
              </w:numPr>
            </w:pPr>
            <w:r>
              <w:rPr>
                <w:rFonts w:eastAsia="Arial Unicode MS" w:cs="Arial Unicode MS"/>
              </w:rPr>
              <w:t>zast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puj</w:t>
            </w:r>
            <w:r>
              <w:rPr>
                <w:rFonts w:eastAsia="Arial Unicode MS" w:cs="Arial Unicode MS"/>
              </w:rPr>
              <w:t xml:space="preserve">ę </w:t>
            </w:r>
            <w:r>
              <w:rPr>
                <w:rFonts w:eastAsia="Arial Unicode MS" w:cs="Arial Unicode MS"/>
              </w:rPr>
              <w:t>planowan</w:t>
            </w:r>
            <w:r>
              <w:rPr>
                <w:rFonts w:eastAsia="Arial Unicode MS" w:cs="Arial Unicode MS"/>
              </w:rPr>
              <w:t xml:space="preserve">ą </w:t>
            </w:r>
            <w:r>
              <w:rPr>
                <w:rFonts w:eastAsia="Arial Unicode MS" w:cs="Arial Unicode MS"/>
              </w:rPr>
              <w:t>pierwotnie integracj</w:t>
            </w:r>
            <w:r>
              <w:rPr>
                <w:rFonts w:eastAsia="Arial Unicode MS" w:cs="Arial Unicode MS"/>
              </w:rPr>
              <w:t xml:space="preserve">ę </w:t>
            </w:r>
            <w:r>
              <w:rPr>
                <w:rFonts w:eastAsia="Arial Unicode MS" w:cs="Arial Unicode MS"/>
              </w:rPr>
              <w:t>z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s</w:t>
            </w:r>
            <w:r>
              <w:rPr>
                <w:rFonts w:eastAsia="Arial Unicode MS" w:cs="Arial Unicode MS"/>
              </w:rPr>
              <w:t>ys. Trezor, po konsultacjach z Minerstwem</w:t>
            </w:r>
            <w:r>
              <w:rPr>
                <w:rFonts w:eastAsia="Arial Unicode MS" w:cs="Arial Unicode MS"/>
              </w:rPr>
              <w:t xml:space="preserve"> Finans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 zmodyfikowano integracj</w:t>
            </w:r>
            <w:r>
              <w:rPr>
                <w:rFonts w:eastAsia="Arial Unicode MS" w:cs="Arial Unicode MS"/>
              </w:rPr>
              <w:t xml:space="preserve">ę </w:t>
            </w:r>
            <w:r>
              <w:rPr>
                <w:rFonts w:eastAsia="Arial Unicode MS" w:cs="Arial Unicode MS"/>
              </w:rPr>
              <w:t>(API) pomi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dzy systemem ZUCH oraz TREZOR, wprowadzaj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c zamiast niej integracje z systemem Otwarte Dane. Zgodnie z informacj</w:t>
            </w:r>
            <w:r>
              <w:rPr>
                <w:rFonts w:eastAsia="Arial Unicode MS" w:cs="Arial Unicode MS"/>
              </w:rPr>
              <w:t xml:space="preserve">ą </w:t>
            </w:r>
            <w:r>
              <w:rPr>
                <w:rFonts w:eastAsia="Arial Unicode MS" w:cs="Arial Unicode MS"/>
              </w:rPr>
              <w:t>przekazan</w:t>
            </w:r>
            <w:r>
              <w:rPr>
                <w:rFonts w:eastAsia="Arial Unicode MS" w:cs="Arial Unicode MS"/>
              </w:rPr>
              <w:t xml:space="preserve">ą </w:t>
            </w:r>
            <w:r>
              <w:rPr>
                <w:rFonts w:eastAsia="Arial Unicode MS" w:cs="Arial Unicode MS"/>
              </w:rPr>
              <w:t xml:space="preserve">przez MF w okresie realizacji projektu nie </w:t>
            </w:r>
            <w:r>
              <w:rPr>
                <w:rFonts w:eastAsia="Arial Unicode MS" w:cs="Arial Unicode MS"/>
              </w:rPr>
              <w:t>jest planowana mo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liwo</w:t>
            </w:r>
            <w:r>
              <w:rPr>
                <w:rFonts w:eastAsia="Arial Unicode MS" w:cs="Arial Unicode MS"/>
              </w:rPr>
              <w:t>ść</w:t>
            </w:r>
            <w:r>
              <w:rPr>
                <w:rFonts w:eastAsia="Arial Unicode MS" w:cs="Arial Unicode MS"/>
              </w:rPr>
              <w:t xml:space="preserve"> wykorzystania informacji nt. koszt</w:t>
            </w:r>
            <w:r>
              <w:rPr>
                <w:rFonts w:eastAsia="Arial Unicode MS" w:cs="Arial Unicode MS"/>
                <w:lang w:val="es-ES_tradnl"/>
              </w:rPr>
              <w:t>ó</w:t>
            </w:r>
            <w:r>
              <w:rPr>
                <w:rFonts w:eastAsia="Arial Unicode MS" w:cs="Arial Unicode MS"/>
              </w:rPr>
              <w:t>w funkcjonowania RChO bezpo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 xml:space="preserve">rednio w systemie TREZOR. </w:t>
            </w:r>
          </w:p>
        </w:tc>
      </w:tr>
    </w:tbl>
    <w:p w:rsidR="008D07AB" w:rsidRDefault="008D07AB">
      <w:pPr>
        <w:pStyle w:val="Tre"/>
      </w:pPr>
    </w:p>
    <w:p w:rsidR="008D07AB" w:rsidRDefault="00FD7098">
      <w:pPr>
        <w:pStyle w:val="Nagwek"/>
        <w:numPr>
          <w:ilvl w:val="0"/>
          <w:numId w:val="6"/>
        </w:numPr>
      </w:pPr>
      <w:r>
        <w:t>Ryzyka</w:t>
      </w:r>
    </w:p>
    <w:p w:rsidR="008D07AB" w:rsidRDefault="00FD7098">
      <w:pPr>
        <w:pStyle w:val="Tre"/>
        <w:keepNext/>
      </w:pPr>
      <w:r>
        <w:rPr>
          <w:rStyle w:val="Wyrnienie"/>
        </w:rPr>
        <w:t>Ryzyka wpływające na realizację projektu</w:t>
      </w:r>
    </w:p>
    <w:tbl>
      <w:tblPr>
        <w:tblStyle w:val="TableNormal"/>
        <w:tblW w:w="901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29"/>
        <w:gridCol w:w="1100"/>
        <w:gridCol w:w="1666"/>
        <w:gridCol w:w="3023"/>
      </w:tblGrid>
      <w:tr w:rsidR="008D07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1"/>
          <w:tblHeader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Nazwa ryzyka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Si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a oddzia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ywania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Prawdopodobie</w:t>
            </w:r>
            <w:r>
              <w:rPr>
                <w:rFonts w:eastAsia="Arial Unicode MS" w:cs="Arial Unicode MS"/>
              </w:rPr>
              <w:t>ń</w:t>
            </w:r>
            <w:r>
              <w:rPr>
                <w:rFonts w:eastAsia="Arial Unicode MS" w:cs="Arial Unicode MS"/>
              </w:rPr>
              <w:t>stwo wyst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pienia ryzyka</w:t>
            </w:r>
          </w:p>
        </w:tc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Spos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b zarz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 xml:space="preserve">dzania </w:t>
            </w:r>
            <w:r>
              <w:rPr>
                <w:rFonts w:eastAsia="Arial Unicode MS" w:cs="Arial Unicode MS"/>
              </w:rPr>
              <w:t>ryzykiem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91"/>
        </w:trPr>
        <w:tc>
          <w:tcPr>
            <w:tcW w:w="322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Ograniczenia dost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pno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ci sieci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rednia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wysokie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numPr>
                <w:ilvl w:val="0"/>
                <w:numId w:val="8"/>
              </w:numPr>
            </w:pPr>
            <w:r>
              <w:rPr>
                <w:rFonts w:eastAsia="Arial Unicode MS" w:cs="Arial Unicode MS"/>
              </w:rPr>
              <w:t xml:space="preserve">Wykorzystanie sieci 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wiat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owodowych NASK PIB / NASK S.A. lub innych komercyjnych z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na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o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eniem warstwy kryptograficznej na komunikacj</w:t>
            </w:r>
            <w:r>
              <w:rPr>
                <w:rFonts w:eastAsia="Arial Unicode MS" w:cs="Arial Unicode MS"/>
              </w:rPr>
              <w:t xml:space="preserve">ę </w:t>
            </w:r>
            <w:r>
              <w:rPr>
                <w:rFonts w:eastAsia="Arial Unicode MS" w:cs="Arial Unicode MS"/>
              </w:rPr>
              <w:t>pomi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dzy o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rodkami do czasu odpowiedniej konfiguracji i wyposa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enia w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z</w:t>
            </w:r>
            <w:r>
              <w:rPr>
                <w:rFonts w:eastAsia="Arial Unicode MS" w:cs="Arial Unicode MS"/>
              </w:rPr>
              <w:t>łó</w:t>
            </w:r>
            <w:r>
              <w:rPr>
                <w:rFonts w:eastAsia="Arial Unicode MS" w:cs="Arial Unicode MS"/>
              </w:rPr>
              <w:t>w sieci rz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dowych.</w:t>
            </w:r>
          </w:p>
          <w:p w:rsidR="008D07AB" w:rsidRDefault="00FD7098">
            <w:pPr>
              <w:pStyle w:val="Styltabeli2"/>
              <w:numPr>
                <w:ilvl w:val="0"/>
                <w:numId w:val="8"/>
              </w:numPr>
            </w:pPr>
            <w:r>
              <w:rPr>
                <w:rFonts w:eastAsia="Arial Unicode MS" w:cs="Arial Unicode MS"/>
              </w:rPr>
              <w:t xml:space="preserve">Zapewnienie </w:t>
            </w:r>
            <w:r>
              <w:rPr>
                <w:rFonts w:eastAsia="Arial Unicode MS" w:cs="Arial Unicode MS"/>
              </w:rPr>
              <w:t>łą</w:t>
            </w:r>
            <w:r>
              <w:rPr>
                <w:rFonts w:eastAsia="Arial Unicode MS" w:cs="Arial Unicode MS"/>
              </w:rPr>
              <w:t>czno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ci pomi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dzy serwerowniami.</w:t>
            </w:r>
          </w:p>
          <w:p w:rsidR="008D07AB" w:rsidRDefault="00FD7098">
            <w:pPr>
              <w:pStyle w:val="Styltabeli2"/>
              <w:numPr>
                <w:ilvl w:val="0"/>
                <w:numId w:val="8"/>
              </w:numPr>
            </w:pPr>
            <w:r>
              <w:rPr>
                <w:rFonts w:eastAsia="Arial Unicode MS" w:cs="Arial Unicode MS"/>
              </w:rPr>
              <w:t>Ryzyko zamkni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 xml:space="preserve">te / zmaterializowane (zawarto kontrakt na utrzymanie infrastruktury 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wiat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 xml:space="preserve">owodowej). 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67"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Op</w:t>
            </w:r>
            <w:r>
              <w:rPr>
                <w:rFonts w:eastAsia="Arial Unicode MS" w:cs="Arial Unicode MS"/>
              </w:rPr>
              <w:t>óź</w:t>
            </w:r>
            <w:r>
              <w:rPr>
                <w:rFonts w:eastAsia="Arial Unicode MS" w:cs="Arial Unicode MS"/>
              </w:rPr>
              <w:t>nienia przetarg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du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a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rednie</w:t>
            </w:r>
          </w:p>
        </w:tc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numPr>
                <w:ilvl w:val="0"/>
                <w:numId w:val="9"/>
              </w:numPr>
            </w:pPr>
            <w:r>
              <w:rPr>
                <w:rFonts w:eastAsia="Arial Unicode MS" w:cs="Arial Unicode MS"/>
              </w:rPr>
              <w:t>Realizacja zada</w:t>
            </w:r>
            <w:r>
              <w:rPr>
                <w:rFonts w:eastAsia="Arial Unicode MS" w:cs="Arial Unicode MS"/>
              </w:rPr>
              <w:t xml:space="preserve">ń </w:t>
            </w:r>
            <w:r>
              <w:rPr>
                <w:rFonts w:eastAsia="Arial Unicode MS" w:cs="Arial Unicode MS"/>
              </w:rPr>
              <w:t>z wykorzystaniem istniej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cej infrastruktury poprzez ograniczenie zakresu do czasu zako</w:t>
            </w:r>
            <w:r>
              <w:rPr>
                <w:rFonts w:eastAsia="Arial Unicode MS" w:cs="Arial Unicode MS"/>
              </w:rPr>
              <w:t>ń</w:t>
            </w:r>
            <w:r>
              <w:rPr>
                <w:rFonts w:eastAsia="Arial Unicode MS" w:cs="Arial Unicode MS"/>
              </w:rPr>
              <w:t>czenia proces</w:t>
            </w:r>
            <w:r>
              <w:rPr>
                <w:rFonts w:eastAsia="Arial Unicode MS" w:cs="Arial Unicode MS"/>
                <w:lang w:val="es-ES_tradnl"/>
              </w:rPr>
              <w:t>ó</w:t>
            </w:r>
            <w:r>
              <w:rPr>
                <w:rFonts w:eastAsia="Arial Unicode MS" w:cs="Arial Unicode MS"/>
              </w:rPr>
              <w:t>w zakupowych.</w:t>
            </w:r>
          </w:p>
          <w:p w:rsidR="008D07AB" w:rsidRDefault="00FD7098">
            <w:pPr>
              <w:pStyle w:val="Styltabeli2"/>
              <w:numPr>
                <w:ilvl w:val="0"/>
                <w:numId w:val="9"/>
              </w:numPr>
            </w:pPr>
            <w:r>
              <w:rPr>
                <w:rFonts w:eastAsia="Arial Unicode MS" w:cs="Arial Unicode MS"/>
              </w:rPr>
              <w:t>Kompensacja op</w:t>
            </w:r>
            <w:r>
              <w:rPr>
                <w:rFonts w:eastAsia="Arial Unicode MS" w:cs="Arial Unicode MS"/>
              </w:rPr>
              <w:t>óź</w:t>
            </w:r>
            <w:r>
              <w:rPr>
                <w:rFonts w:eastAsia="Arial Unicode MS" w:cs="Arial Unicode MS"/>
              </w:rPr>
              <w:t>nie</w:t>
            </w:r>
            <w:r>
              <w:rPr>
                <w:rFonts w:eastAsia="Arial Unicode MS" w:cs="Arial Unicode MS"/>
              </w:rPr>
              <w:t>ń</w:t>
            </w:r>
            <w:r>
              <w:rPr>
                <w:rFonts w:eastAsia="Arial Unicode MS" w:cs="Arial Unicode MS"/>
              </w:rPr>
              <w:t>.</w:t>
            </w:r>
          </w:p>
          <w:p w:rsidR="008D07AB" w:rsidRDefault="00FD7098">
            <w:pPr>
              <w:pStyle w:val="Styltabeli2"/>
              <w:numPr>
                <w:ilvl w:val="0"/>
                <w:numId w:val="9"/>
              </w:numPr>
            </w:pPr>
            <w:r>
              <w:rPr>
                <w:rFonts w:eastAsia="Arial Unicode MS" w:cs="Arial Unicode MS"/>
              </w:rPr>
              <w:t>Ryzyko zamkni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te (post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powania zakupowe na dostaw</w:t>
            </w:r>
            <w:r>
              <w:rPr>
                <w:rFonts w:eastAsia="Arial Unicode MS" w:cs="Arial Unicode MS"/>
              </w:rPr>
              <w:t xml:space="preserve">ę </w:t>
            </w:r>
            <w:r>
              <w:rPr>
                <w:rFonts w:eastAsia="Arial Unicode MS" w:cs="Arial Unicode MS"/>
              </w:rPr>
              <w:t>komponent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 technicznych zosta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y rozstrzygni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te).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87"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Zbyt ma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y lub zbyt duz</w:t>
            </w:r>
            <w:r>
              <w:rPr>
                <w:rFonts w:eastAsia="Arial Unicode MS" w:cs="Arial Unicode MS"/>
              </w:rPr>
              <w:t>̇</w:t>
            </w:r>
            <w:r>
              <w:rPr>
                <w:rFonts w:eastAsia="Arial Unicode MS" w:cs="Arial Unicode MS"/>
              </w:rPr>
              <w:t>y popyt na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 xml:space="preserve">ugi </w:t>
            </w:r>
            <w:r>
              <w:rPr>
                <w:rFonts w:eastAsia="Arial Unicode MS" w:cs="Arial Unicode MS"/>
              </w:rPr>
              <w:t>oferowane przez Chmur</w:t>
            </w:r>
            <w:r>
              <w:rPr>
                <w:rFonts w:eastAsia="Arial Unicode MS" w:cs="Arial Unicode MS"/>
              </w:rPr>
              <w:t xml:space="preserve">ę </w:t>
            </w:r>
            <w:r>
              <w:rPr>
                <w:rFonts w:eastAsia="Arial Unicode MS" w:cs="Arial Unicode MS"/>
              </w:rPr>
              <w:t>Rz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dow</w:t>
            </w:r>
            <w:r>
              <w:rPr>
                <w:rFonts w:eastAsia="Arial Unicode MS" w:cs="Arial Unicode MS"/>
              </w:rPr>
              <w:t>ą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rednia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rednie</w:t>
            </w:r>
          </w:p>
        </w:tc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numPr>
                <w:ilvl w:val="0"/>
                <w:numId w:val="10"/>
              </w:numPr>
            </w:pPr>
            <w:r>
              <w:rPr>
                <w:rFonts w:eastAsia="Arial Unicode MS" w:cs="Arial Unicode MS"/>
              </w:rPr>
              <w:t>Podj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cie dzia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a</w:t>
            </w:r>
            <w:r>
              <w:rPr>
                <w:rFonts w:eastAsia="Arial Unicode MS" w:cs="Arial Unicode MS"/>
              </w:rPr>
              <w:t xml:space="preserve">ń </w:t>
            </w:r>
            <w:r>
              <w:rPr>
                <w:rFonts w:eastAsia="Arial Unicode MS" w:cs="Arial Unicode MS"/>
              </w:rPr>
              <w:t>promocyjnych i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regulacyjnych (pobudzanie popytu) oraz zapewnienie skalowalno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ci infrastruktury w celu dostosowania do popytu.</w:t>
            </w:r>
          </w:p>
          <w:p w:rsidR="008D07AB" w:rsidRDefault="00FD7098">
            <w:pPr>
              <w:pStyle w:val="Styltabeli2"/>
              <w:numPr>
                <w:ilvl w:val="0"/>
                <w:numId w:val="10"/>
              </w:numPr>
            </w:pPr>
            <w:r>
              <w:rPr>
                <w:rFonts w:eastAsia="Arial Unicode MS" w:cs="Arial Unicode MS"/>
              </w:rPr>
              <w:t>Ograniczenie niedostosowania wielko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 xml:space="preserve">ci 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 xml:space="preserve">rodowiska RChO do popytu </w:t>
            </w:r>
            <w:r>
              <w:rPr>
                <w:rFonts w:eastAsia="Arial Unicode MS" w:cs="Arial Unicode MS"/>
              </w:rPr>
              <w:t>na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ugi.</w:t>
            </w:r>
          </w:p>
          <w:p w:rsidR="008D07AB" w:rsidRDefault="00FD7098">
            <w:pPr>
              <w:pStyle w:val="Styltabeli2"/>
              <w:numPr>
                <w:ilvl w:val="0"/>
                <w:numId w:val="10"/>
              </w:numPr>
            </w:pPr>
            <w:r>
              <w:rPr>
                <w:rFonts w:eastAsia="Arial Unicode MS" w:cs="Arial Unicode MS"/>
              </w:rPr>
              <w:t>Ryzyko aktywne (brak zmian).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87"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Porozumienia partnerskie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rednia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rednie</w:t>
            </w:r>
          </w:p>
        </w:tc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numPr>
                <w:ilvl w:val="0"/>
                <w:numId w:val="11"/>
              </w:numPr>
            </w:pPr>
            <w:r>
              <w:rPr>
                <w:rFonts w:eastAsia="Arial Unicode MS" w:cs="Arial Unicode MS"/>
              </w:rPr>
              <w:t>Realizacja jako zadanie w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asne KPRM.</w:t>
            </w:r>
          </w:p>
          <w:p w:rsidR="008D07AB" w:rsidRDefault="00FD7098">
            <w:pPr>
              <w:pStyle w:val="Styltabeli2"/>
              <w:numPr>
                <w:ilvl w:val="0"/>
                <w:numId w:val="11"/>
              </w:numPr>
            </w:pPr>
            <w:r>
              <w:rPr>
                <w:rFonts w:eastAsia="Arial Unicode MS" w:cs="Arial Unicode MS"/>
              </w:rPr>
              <w:t>brak</w:t>
            </w:r>
          </w:p>
          <w:p w:rsidR="008D07AB" w:rsidRDefault="00FD7098">
            <w:pPr>
              <w:pStyle w:val="Styltabeli2"/>
              <w:numPr>
                <w:ilvl w:val="0"/>
                <w:numId w:val="11"/>
              </w:numPr>
            </w:pPr>
            <w:r>
              <w:rPr>
                <w:rFonts w:eastAsia="Arial Unicode MS" w:cs="Arial Unicode MS"/>
              </w:rPr>
              <w:t>Ryzyko zamkni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te (porozumienie partnerskie zosta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o zwarte).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47"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Ograniczenia w dost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pno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ci kadry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du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a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rednie</w:t>
            </w:r>
          </w:p>
        </w:tc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numPr>
                <w:ilvl w:val="0"/>
                <w:numId w:val="12"/>
              </w:numPr>
            </w:pPr>
            <w:r>
              <w:rPr>
                <w:rFonts w:eastAsia="Arial Unicode MS" w:cs="Arial Unicode MS"/>
              </w:rPr>
              <w:t xml:space="preserve">Zapewnienie wsparcia </w:t>
            </w:r>
            <w:r>
              <w:rPr>
                <w:rFonts w:eastAsia="Arial Unicode MS" w:cs="Arial Unicode MS"/>
              </w:rPr>
              <w:t>szkoleniowego oraz odpowiedniego funduszu wynagrodze</w:t>
            </w:r>
            <w:r>
              <w:rPr>
                <w:rFonts w:eastAsia="Arial Unicode MS" w:cs="Arial Unicode MS"/>
              </w:rPr>
              <w:t>ń</w:t>
            </w:r>
            <w:r>
              <w:rPr>
                <w:rFonts w:eastAsia="Arial Unicode MS" w:cs="Arial Unicode MS"/>
              </w:rPr>
              <w:t>.</w:t>
            </w:r>
          </w:p>
          <w:p w:rsidR="008D07AB" w:rsidRDefault="00FD7098">
            <w:pPr>
              <w:pStyle w:val="Styltabeli2"/>
              <w:numPr>
                <w:ilvl w:val="0"/>
                <w:numId w:val="12"/>
              </w:numPr>
            </w:pPr>
            <w:r>
              <w:rPr>
                <w:rFonts w:eastAsia="Arial Unicode MS" w:cs="Arial Unicode MS"/>
              </w:rPr>
              <w:t>Zapewnienie zasob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 kadrowych niezb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dnych do realizacji zada</w:t>
            </w:r>
            <w:r>
              <w:rPr>
                <w:rFonts w:eastAsia="Arial Unicode MS" w:cs="Arial Unicode MS"/>
              </w:rPr>
              <w:t xml:space="preserve">ń </w:t>
            </w:r>
            <w:r>
              <w:rPr>
                <w:rFonts w:eastAsia="Arial Unicode MS" w:cs="Arial Unicode MS"/>
              </w:rPr>
              <w:t>projektu.</w:t>
            </w:r>
          </w:p>
          <w:p w:rsidR="008D07AB" w:rsidRDefault="00FD7098">
            <w:pPr>
              <w:pStyle w:val="Styltabeli2"/>
              <w:numPr>
                <w:ilvl w:val="0"/>
                <w:numId w:val="12"/>
              </w:numPr>
            </w:pPr>
            <w:r>
              <w:rPr>
                <w:rFonts w:eastAsia="Arial Unicode MS" w:cs="Arial Unicode MS"/>
              </w:rPr>
              <w:t>Ryzyko aktywne / zmaterializowane (brak zmian).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07"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Ograniczenia licencyjne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rednia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wysokie</w:t>
            </w:r>
          </w:p>
        </w:tc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numPr>
                <w:ilvl w:val="0"/>
                <w:numId w:val="13"/>
              </w:numPr>
            </w:pPr>
            <w:r>
              <w:rPr>
                <w:rFonts w:eastAsia="Arial Unicode MS" w:cs="Arial Unicode MS"/>
              </w:rPr>
              <w:t>Zastosowanie dedykowanych licencji (brak</w:t>
            </w:r>
            <w:r>
              <w:rPr>
                <w:rFonts w:eastAsia="Arial Unicode MS" w:cs="Arial Unicode MS"/>
              </w:rPr>
              <w:t xml:space="preserve"> wsp</w:t>
            </w:r>
            <w:r>
              <w:rPr>
                <w:rFonts w:eastAsia="Arial Unicode MS" w:cs="Arial Unicode MS"/>
              </w:rPr>
              <w:t>ół</w:t>
            </w:r>
            <w:r>
              <w:rPr>
                <w:rFonts w:eastAsia="Arial Unicode MS" w:cs="Arial Unicode MS"/>
              </w:rPr>
              <w:t xml:space="preserve">dzielenia). Zabezpieczenie 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rodk</w:t>
            </w:r>
            <w:r>
              <w:rPr>
                <w:rFonts w:eastAsia="Arial Unicode MS" w:cs="Arial Unicode MS"/>
                <w:lang w:val="es-ES_tradnl"/>
              </w:rPr>
              <w:t>ó</w:t>
            </w:r>
            <w:r>
              <w:rPr>
                <w:rFonts w:eastAsia="Arial Unicode MS" w:cs="Arial Unicode MS"/>
              </w:rPr>
              <w:t>w na obs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</w:t>
            </w:r>
            <w:r>
              <w:rPr>
                <w:rFonts w:eastAsia="Arial Unicode MS" w:cs="Arial Unicode MS"/>
              </w:rPr>
              <w:t xml:space="preserve">ę </w:t>
            </w:r>
            <w:r>
              <w:rPr>
                <w:rFonts w:eastAsia="Arial Unicode MS" w:cs="Arial Unicode MS"/>
              </w:rPr>
              <w:t>ryzyka.</w:t>
            </w:r>
          </w:p>
          <w:p w:rsidR="008D07AB" w:rsidRDefault="00FD7098">
            <w:pPr>
              <w:pStyle w:val="Styltabeli2"/>
              <w:numPr>
                <w:ilvl w:val="0"/>
                <w:numId w:val="13"/>
              </w:numPr>
            </w:pPr>
            <w:r>
              <w:rPr>
                <w:rFonts w:eastAsia="Arial Unicode MS" w:cs="Arial Unicode MS"/>
              </w:rPr>
              <w:t>Zapewnienie poprawnego licencjonowania komponent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 oprogramowania RCHO.</w:t>
            </w:r>
          </w:p>
          <w:p w:rsidR="008D07AB" w:rsidRDefault="00FD7098">
            <w:pPr>
              <w:pStyle w:val="Styltabeli2"/>
              <w:numPr>
                <w:ilvl w:val="0"/>
                <w:numId w:val="13"/>
              </w:numPr>
            </w:pPr>
            <w:r>
              <w:rPr>
                <w:rFonts w:eastAsia="Arial Unicode MS" w:cs="Arial Unicode MS"/>
              </w:rPr>
              <w:t>Ryzyko aktywne (brak zmian).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27"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Op</w:t>
            </w:r>
            <w:r>
              <w:rPr>
                <w:rFonts w:eastAsia="Arial Unicode MS" w:cs="Arial Unicode MS"/>
              </w:rPr>
              <w:t>óź</w:t>
            </w:r>
            <w:r>
              <w:rPr>
                <w:rFonts w:eastAsia="Arial Unicode MS" w:cs="Arial Unicode MS"/>
              </w:rPr>
              <w:t>nienia zwi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zane z COVID-19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du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a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rednie</w:t>
            </w:r>
          </w:p>
        </w:tc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numPr>
                <w:ilvl w:val="0"/>
                <w:numId w:val="14"/>
              </w:numPr>
            </w:pPr>
            <w:r>
              <w:rPr>
                <w:rFonts w:eastAsia="Arial Unicode MS" w:cs="Arial Unicode MS"/>
              </w:rPr>
              <w:t xml:space="preserve">Modyfikacja Harmonogramu prac planowanych w ramach WIIP POPC </w:t>
            </w:r>
            <w:r>
              <w:rPr>
                <w:rFonts w:eastAsia="Arial Unicode MS" w:cs="Arial Unicode MS"/>
              </w:rPr>
              <w:t xml:space="preserve">– </w:t>
            </w:r>
            <w:r>
              <w:rPr>
                <w:rFonts w:eastAsia="Arial Unicode MS" w:cs="Arial Unicode MS"/>
              </w:rPr>
              <w:t>adaptacja do zmieniaj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cych si</w:t>
            </w:r>
            <w:r>
              <w:rPr>
                <w:rFonts w:eastAsia="Arial Unicode MS" w:cs="Arial Unicode MS"/>
              </w:rPr>
              <w:t xml:space="preserve">ę </w:t>
            </w:r>
            <w:r>
              <w:rPr>
                <w:rFonts w:eastAsia="Arial Unicode MS" w:cs="Arial Unicode MS"/>
              </w:rPr>
              <w:t>warunk</w:t>
            </w:r>
            <w:r>
              <w:rPr>
                <w:rFonts w:eastAsia="Arial Unicode MS" w:cs="Arial Unicode MS"/>
                <w:lang w:val="es-ES_tradnl"/>
              </w:rPr>
              <w:t>ó</w:t>
            </w:r>
            <w:r>
              <w:rPr>
                <w:rFonts w:eastAsia="Arial Unicode MS" w:cs="Arial Unicode MS"/>
              </w:rPr>
              <w:t>w realizacji projektu.</w:t>
            </w:r>
          </w:p>
          <w:p w:rsidR="008D07AB" w:rsidRDefault="00FD7098">
            <w:pPr>
              <w:pStyle w:val="Styltabeli2"/>
              <w:numPr>
                <w:ilvl w:val="0"/>
                <w:numId w:val="14"/>
              </w:numPr>
            </w:pPr>
            <w:r>
              <w:rPr>
                <w:rFonts w:eastAsia="Arial Unicode MS" w:cs="Arial Unicode MS"/>
              </w:rPr>
              <w:t>Zapewnienie osi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gni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cia zak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adanych produkt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 i rezultat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 w okresie realizacji projektu POPC 2.1.</w:t>
            </w:r>
          </w:p>
          <w:p w:rsidR="008D07AB" w:rsidRDefault="00FD7098">
            <w:pPr>
              <w:pStyle w:val="Styltabeli2"/>
              <w:numPr>
                <w:ilvl w:val="0"/>
                <w:numId w:val="14"/>
              </w:numPr>
            </w:pPr>
            <w:r>
              <w:rPr>
                <w:rFonts w:eastAsia="Arial Unicode MS" w:cs="Arial Unicode MS"/>
              </w:rPr>
              <w:t>Ryzyko aktywne / zmaterializowane</w:t>
            </w:r>
            <w:r>
              <w:rPr>
                <w:rFonts w:eastAsia="Arial Unicode MS" w:cs="Arial Unicode MS"/>
              </w:rPr>
              <w:t xml:space="preserve"> (wdro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ono wniosek o zmian</w:t>
            </w:r>
            <w:r>
              <w:rPr>
                <w:rFonts w:eastAsia="Arial Unicode MS" w:cs="Arial Unicode MS"/>
              </w:rPr>
              <w:t xml:space="preserve">ę </w:t>
            </w:r>
            <w:r>
              <w:rPr>
                <w:rFonts w:eastAsia="Arial Unicode MS" w:cs="Arial Unicode MS"/>
              </w:rPr>
              <w:t>harmonogramu wraz z terminem zako</w:t>
            </w:r>
            <w:r>
              <w:rPr>
                <w:rFonts w:eastAsia="Arial Unicode MS" w:cs="Arial Unicode MS"/>
              </w:rPr>
              <w:t>ń</w:t>
            </w:r>
            <w:r>
              <w:rPr>
                <w:rFonts w:eastAsia="Arial Unicode MS" w:cs="Arial Unicode MS"/>
              </w:rPr>
              <w:t>czenia projektu 31-10-2023).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47"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Przekroczenie limit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 finansowych przeznaczonych na realizacj</w:t>
            </w:r>
            <w:r>
              <w:rPr>
                <w:rFonts w:eastAsia="Arial Unicode MS" w:cs="Arial Unicode MS"/>
              </w:rPr>
              <w:t xml:space="preserve">ę </w:t>
            </w:r>
            <w:r>
              <w:rPr>
                <w:rFonts w:eastAsia="Arial Unicode MS" w:cs="Arial Unicode MS"/>
              </w:rPr>
              <w:t>zam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wie</w:t>
            </w:r>
            <w:r>
              <w:rPr>
                <w:rFonts w:eastAsia="Arial Unicode MS" w:cs="Arial Unicode MS"/>
              </w:rPr>
              <w:t xml:space="preserve">ń </w:t>
            </w:r>
            <w:r>
              <w:rPr>
                <w:rFonts w:eastAsia="Arial Unicode MS" w:cs="Arial Unicode MS"/>
              </w:rPr>
              <w:t>publicznych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rednia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rednie</w:t>
            </w:r>
          </w:p>
        </w:tc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numPr>
                <w:ilvl w:val="0"/>
                <w:numId w:val="15"/>
              </w:numPr>
            </w:pPr>
            <w:r>
              <w:rPr>
                <w:rFonts w:eastAsia="Arial Unicode MS" w:cs="Arial Unicode MS"/>
              </w:rPr>
              <w:t>Obs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uga zmiany w bud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ecie projektu obejmuj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ca wy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 xml:space="preserve">sze limity </w:t>
            </w:r>
            <w:r>
              <w:rPr>
                <w:rFonts w:eastAsia="Arial Unicode MS" w:cs="Arial Unicode MS"/>
              </w:rPr>
              <w:t>finansowe realizacji zada</w:t>
            </w:r>
            <w:r>
              <w:rPr>
                <w:rFonts w:eastAsia="Arial Unicode MS" w:cs="Arial Unicode MS"/>
              </w:rPr>
              <w:t xml:space="preserve">ń </w:t>
            </w:r>
            <w:r>
              <w:rPr>
                <w:rFonts w:eastAsia="Arial Unicode MS" w:cs="Arial Unicode MS"/>
              </w:rPr>
              <w:t>lub plan zaanga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 xml:space="preserve">owania 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rodk</w:t>
            </w:r>
            <w:r>
              <w:rPr>
                <w:rFonts w:eastAsia="Arial Unicode MS" w:cs="Arial Unicode MS"/>
                <w:lang w:val="es-ES_tradnl"/>
              </w:rPr>
              <w:t>ó</w:t>
            </w:r>
            <w:r>
              <w:rPr>
                <w:rFonts w:eastAsia="Arial Unicode MS" w:cs="Arial Unicode MS"/>
              </w:rPr>
              <w:t>w krajowych (bud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  <w:lang w:val="fr-FR"/>
              </w:rPr>
              <w:t>et pa</w:t>
            </w:r>
            <w:r>
              <w:rPr>
                <w:rFonts w:eastAsia="Arial Unicode MS" w:cs="Arial Unicode MS"/>
              </w:rPr>
              <w:t>ń</w:t>
            </w:r>
            <w:r>
              <w:rPr>
                <w:rFonts w:eastAsia="Arial Unicode MS" w:cs="Arial Unicode MS"/>
              </w:rPr>
              <w:t>stwa).</w:t>
            </w:r>
          </w:p>
          <w:p w:rsidR="008D07AB" w:rsidRDefault="00FD7098">
            <w:pPr>
              <w:pStyle w:val="Styltabeli2"/>
              <w:numPr>
                <w:ilvl w:val="0"/>
                <w:numId w:val="15"/>
              </w:numPr>
            </w:pPr>
            <w:r>
              <w:rPr>
                <w:rFonts w:eastAsia="Arial Unicode MS" w:cs="Arial Unicode MS"/>
              </w:rPr>
              <w:t xml:space="preserve">Zapewnienie 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rodk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 finansowych niezb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dnych do realizacji zada</w:t>
            </w:r>
            <w:r>
              <w:rPr>
                <w:rFonts w:eastAsia="Arial Unicode MS" w:cs="Arial Unicode MS"/>
              </w:rPr>
              <w:t xml:space="preserve">ń </w:t>
            </w:r>
            <w:r>
              <w:rPr>
                <w:rFonts w:eastAsia="Arial Unicode MS" w:cs="Arial Unicode MS"/>
              </w:rPr>
              <w:t>projektu.</w:t>
            </w:r>
          </w:p>
          <w:p w:rsidR="008D07AB" w:rsidRDefault="00FD7098">
            <w:pPr>
              <w:pStyle w:val="Styltabeli2"/>
              <w:numPr>
                <w:ilvl w:val="0"/>
                <w:numId w:val="15"/>
              </w:numPr>
            </w:pPr>
            <w:r>
              <w:rPr>
                <w:rFonts w:eastAsia="Arial Unicode MS" w:cs="Arial Unicode MS"/>
              </w:rPr>
              <w:t>Ryzyko aktywne (zmiana si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y oddzia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ywania w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zwi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zku z zako</w:t>
            </w:r>
            <w:r>
              <w:rPr>
                <w:rFonts w:eastAsia="Arial Unicode MS" w:cs="Arial Unicode MS"/>
              </w:rPr>
              <w:t>ń</w:t>
            </w:r>
            <w:r>
              <w:rPr>
                <w:rFonts w:eastAsia="Arial Unicode MS" w:cs="Arial Unicode MS"/>
              </w:rPr>
              <w:t>czeniem g</w:t>
            </w:r>
            <w:r>
              <w:rPr>
                <w:rFonts w:eastAsia="Arial Unicode MS" w:cs="Arial Unicode MS"/>
              </w:rPr>
              <w:t>łó</w:t>
            </w:r>
            <w:r>
              <w:rPr>
                <w:rFonts w:eastAsia="Arial Unicode MS" w:cs="Arial Unicode MS"/>
              </w:rPr>
              <w:t>wnych post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powa</w:t>
            </w:r>
            <w:r>
              <w:rPr>
                <w:rFonts w:eastAsia="Arial Unicode MS" w:cs="Arial Unicode MS"/>
              </w:rPr>
              <w:t xml:space="preserve">ń </w:t>
            </w:r>
            <w:r>
              <w:rPr>
                <w:rFonts w:eastAsia="Arial Unicode MS" w:cs="Arial Unicode MS"/>
              </w:rPr>
              <w:t>przetargowych).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67"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Przekroczenie zak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adanego budz</w:t>
            </w:r>
            <w:r>
              <w:rPr>
                <w:rFonts w:eastAsia="Arial Unicode MS" w:cs="Arial Unicode MS"/>
              </w:rPr>
              <w:t>̇</w:t>
            </w:r>
            <w:r>
              <w:rPr>
                <w:rFonts w:eastAsia="Arial Unicode MS" w:cs="Arial Unicode MS"/>
              </w:rPr>
              <w:t>etu na infrastruktur</w:t>
            </w:r>
            <w:r>
              <w:rPr>
                <w:rFonts w:eastAsia="Arial Unicode MS" w:cs="Arial Unicode MS"/>
              </w:rPr>
              <w:t xml:space="preserve">ę </w:t>
            </w:r>
            <w:r>
              <w:rPr>
                <w:rFonts w:eastAsia="Arial Unicode MS" w:cs="Arial Unicode MS"/>
              </w:rPr>
              <w:t>i oprogramowanie WIIP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du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a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rednie</w:t>
            </w:r>
          </w:p>
        </w:tc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numPr>
                <w:ilvl w:val="0"/>
                <w:numId w:val="16"/>
              </w:numPr>
            </w:pPr>
            <w:r>
              <w:rPr>
                <w:rFonts w:eastAsia="Arial Unicode MS" w:cs="Arial Unicode MS"/>
              </w:rPr>
              <w:t>Przesuni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 xml:space="preserve">cie 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rodk</w:t>
            </w:r>
            <w:r>
              <w:rPr>
                <w:rFonts w:eastAsia="Arial Unicode MS" w:cs="Arial Unicode MS"/>
                <w:lang w:val="es-ES_tradnl"/>
              </w:rPr>
              <w:t>ó</w:t>
            </w:r>
            <w:r>
              <w:rPr>
                <w:rFonts w:eastAsia="Arial Unicode MS" w:cs="Arial Unicode MS"/>
              </w:rPr>
              <w:t xml:space="preserve">w </w:t>
            </w:r>
            <w:proofErr w:type="spellStart"/>
            <w:r>
              <w:rPr>
                <w:rFonts w:eastAsia="Arial Unicode MS" w:cs="Arial Unicode MS"/>
              </w:rPr>
              <w:t>w</w:t>
            </w:r>
            <w:proofErr w:type="spellEnd"/>
            <w:r>
              <w:rPr>
                <w:rFonts w:eastAsia="Arial Unicode MS" w:cs="Arial Unicode MS"/>
              </w:rPr>
              <w:t xml:space="preserve"> programie POPC lub zapewnienie </w:t>
            </w:r>
            <w:r>
              <w:rPr>
                <w:rFonts w:eastAsia="Arial Unicode MS" w:cs="Arial Unicode MS"/>
              </w:rPr>
              <w:t>ź</w:t>
            </w:r>
            <w:r>
              <w:rPr>
                <w:rFonts w:eastAsia="Arial Unicode MS" w:cs="Arial Unicode MS"/>
              </w:rPr>
              <w:t>r</w:t>
            </w:r>
            <w:r>
              <w:rPr>
                <w:rFonts w:eastAsia="Arial Unicode MS" w:cs="Arial Unicode MS"/>
                <w:lang w:val="es-ES_tradnl"/>
              </w:rPr>
              <w:t>ó</w:t>
            </w:r>
            <w:r>
              <w:rPr>
                <w:rFonts w:eastAsia="Arial Unicode MS" w:cs="Arial Unicode MS"/>
              </w:rPr>
              <w:t>de</w:t>
            </w:r>
            <w:r>
              <w:rPr>
                <w:rFonts w:eastAsia="Arial Unicode MS" w:cs="Arial Unicode MS"/>
              </w:rPr>
              <w:t xml:space="preserve">ł </w:t>
            </w:r>
            <w:r>
              <w:rPr>
                <w:rFonts w:eastAsia="Arial Unicode MS" w:cs="Arial Unicode MS"/>
              </w:rPr>
              <w:t>finansowania spoza programu.</w:t>
            </w:r>
          </w:p>
          <w:p w:rsidR="008D07AB" w:rsidRDefault="00FD7098">
            <w:pPr>
              <w:pStyle w:val="Styltabeli2"/>
              <w:numPr>
                <w:ilvl w:val="0"/>
                <w:numId w:val="16"/>
              </w:numPr>
            </w:pPr>
            <w:r>
              <w:rPr>
                <w:rFonts w:eastAsia="Arial Unicode MS" w:cs="Arial Unicode MS"/>
              </w:rPr>
              <w:t xml:space="preserve">Zapewnienie 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rodk</w:t>
            </w:r>
            <w:r>
              <w:rPr>
                <w:rFonts w:eastAsia="Arial Unicode MS" w:cs="Arial Unicode MS"/>
                <w:lang w:val="es-ES_tradnl"/>
              </w:rPr>
              <w:t>ó</w:t>
            </w:r>
            <w:r>
              <w:rPr>
                <w:rFonts w:eastAsia="Arial Unicode MS" w:cs="Arial Unicode MS"/>
              </w:rPr>
              <w:t>w finansowych niezb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 xml:space="preserve">dnych do realizacji </w:t>
            </w:r>
            <w:r>
              <w:rPr>
                <w:rFonts w:eastAsia="Arial Unicode MS" w:cs="Arial Unicode MS"/>
              </w:rPr>
              <w:t>zakupu infrastruktury i oprogramowania.</w:t>
            </w:r>
          </w:p>
          <w:p w:rsidR="008D07AB" w:rsidRDefault="00FD7098">
            <w:pPr>
              <w:pStyle w:val="Styltabeli2"/>
              <w:numPr>
                <w:ilvl w:val="0"/>
                <w:numId w:val="16"/>
              </w:numPr>
            </w:pPr>
            <w:r>
              <w:rPr>
                <w:rFonts w:eastAsia="Arial Unicode MS" w:cs="Arial Unicode MS"/>
              </w:rPr>
              <w:t>Ryzyko zamkni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te (w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zwi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zku z zako</w:t>
            </w:r>
            <w:r>
              <w:rPr>
                <w:rFonts w:eastAsia="Arial Unicode MS" w:cs="Arial Unicode MS"/>
              </w:rPr>
              <w:t>ń</w:t>
            </w:r>
            <w:r>
              <w:rPr>
                <w:rFonts w:eastAsia="Arial Unicode MS" w:cs="Arial Unicode MS"/>
              </w:rPr>
              <w:t>czeniem g</w:t>
            </w:r>
            <w:r>
              <w:rPr>
                <w:rFonts w:eastAsia="Arial Unicode MS" w:cs="Arial Unicode MS"/>
              </w:rPr>
              <w:t>łó</w:t>
            </w:r>
            <w:r>
              <w:rPr>
                <w:rFonts w:eastAsia="Arial Unicode MS" w:cs="Arial Unicode MS"/>
              </w:rPr>
              <w:t>wnych post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powa</w:t>
            </w:r>
            <w:r>
              <w:rPr>
                <w:rFonts w:eastAsia="Arial Unicode MS" w:cs="Arial Unicode MS"/>
              </w:rPr>
              <w:t xml:space="preserve">ń </w:t>
            </w:r>
            <w:r>
              <w:rPr>
                <w:rFonts w:eastAsia="Arial Unicode MS" w:cs="Arial Unicode MS"/>
              </w:rPr>
              <w:t>przetargowych).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87"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Przekroczenie zatwierdzonego bud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etu projektu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rednia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niskie</w:t>
            </w:r>
          </w:p>
        </w:tc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numPr>
                <w:ilvl w:val="0"/>
                <w:numId w:val="17"/>
              </w:numPr>
            </w:pPr>
            <w:r>
              <w:rPr>
                <w:rFonts w:eastAsia="Arial Unicode MS" w:cs="Arial Unicode MS"/>
              </w:rPr>
              <w:t>Mitygacja poprzez przesuni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cia pomi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dzy zadaniami projektu.</w:t>
            </w:r>
          </w:p>
          <w:p w:rsidR="008D07AB" w:rsidRDefault="00FD7098">
            <w:pPr>
              <w:pStyle w:val="Styltabeli2"/>
              <w:numPr>
                <w:ilvl w:val="0"/>
                <w:numId w:val="17"/>
              </w:numPr>
            </w:pPr>
            <w:r>
              <w:rPr>
                <w:rFonts w:eastAsia="Arial Unicode MS" w:cs="Arial Unicode MS"/>
              </w:rPr>
              <w:t>Zapewnienie środk</w:t>
            </w:r>
            <w:r>
              <w:rPr>
                <w:rFonts w:eastAsia="Arial Unicode MS" w:cs="Arial Unicode MS" w:hint="eastAsia"/>
              </w:rPr>
              <w:t>ów</w:t>
            </w:r>
            <w:r>
              <w:rPr>
                <w:rFonts w:eastAsia="Arial Unicode MS" w:cs="Arial Unicode MS"/>
                <w:lang w:val="es-ES_tradnl"/>
              </w:rPr>
              <w:t>ó</w:t>
            </w:r>
            <w:r>
              <w:rPr>
                <w:rFonts w:eastAsia="Arial Unicode MS" w:cs="Arial Unicode MS"/>
              </w:rPr>
              <w:t>w finansowych niezb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dnych do realizacji zada</w:t>
            </w:r>
            <w:r>
              <w:rPr>
                <w:rFonts w:eastAsia="Arial Unicode MS" w:cs="Arial Unicode MS"/>
              </w:rPr>
              <w:t xml:space="preserve">ń </w:t>
            </w:r>
            <w:r>
              <w:rPr>
                <w:rFonts w:eastAsia="Arial Unicode MS" w:cs="Arial Unicode MS"/>
              </w:rPr>
              <w:t>projektu.</w:t>
            </w:r>
          </w:p>
          <w:p w:rsidR="008D07AB" w:rsidRDefault="00FD7098">
            <w:pPr>
              <w:pStyle w:val="Styltabeli2"/>
              <w:numPr>
                <w:ilvl w:val="0"/>
                <w:numId w:val="17"/>
              </w:numPr>
            </w:pPr>
            <w:r>
              <w:rPr>
                <w:rFonts w:eastAsia="Arial Unicode MS" w:cs="Arial Unicode MS"/>
              </w:rPr>
              <w:t>Ryzyko aktywne (zmiana prawdopodobie</w:t>
            </w:r>
            <w:r>
              <w:rPr>
                <w:rFonts w:eastAsia="Arial Unicode MS" w:cs="Arial Unicode MS"/>
              </w:rPr>
              <w:t>ń</w:t>
            </w:r>
            <w:r>
              <w:rPr>
                <w:rFonts w:eastAsia="Arial Unicode MS" w:cs="Arial Unicode MS"/>
              </w:rPr>
              <w:t>stwa ze wzgl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du na post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p finansowy oraz oszcz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dno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ci po przetargow</w:t>
            </w:r>
            <w:r>
              <w:rPr>
                <w:rFonts w:eastAsia="Arial Unicode MS" w:cs="Arial Unicode MS" w:hint="eastAsia"/>
              </w:rPr>
              <w:t>e</w:t>
            </w:r>
            <w:r>
              <w:rPr>
                <w:rFonts w:eastAsia="Arial Unicode MS" w:cs="Arial Unicode MS"/>
              </w:rPr>
              <w:t>).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67"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Przekroczenie zatwierdzonego bud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etu projektu - termin projektu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rednia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rednie</w:t>
            </w:r>
          </w:p>
        </w:tc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numPr>
                <w:ilvl w:val="0"/>
                <w:numId w:val="18"/>
              </w:numPr>
            </w:pPr>
            <w:r>
              <w:rPr>
                <w:rFonts w:eastAsia="Arial Unicode MS" w:cs="Arial Unicode MS"/>
              </w:rPr>
              <w:t>Wyd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enie terminu realizacji, zmiana zakresu projektu.</w:t>
            </w:r>
          </w:p>
          <w:p w:rsidR="008D07AB" w:rsidRDefault="00FD7098">
            <w:pPr>
              <w:pStyle w:val="Styltabeli2"/>
              <w:numPr>
                <w:ilvl w:val="0"/>
                <w:numId w:val="18"/>
              </w:numPr>
            </w:pPr>
            <w:r>
              <w:rPr>
                <w:rFonts w:eastAsia="Arial Unicode MS" w:cs="Arial Unicode MS"/>
              </w:rPr>
              <w:t>Zapewnienie mo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liwo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ci finansowania zada</w:t>
            </w:r>
            <w:r>
              <w:rPr>
                <w:rFonts w:eastAsia="Arial Unicode MS" w:cs="Arial Unicode MS"/>
              </w:rPr>
              <w:t xml:space="preserve">ń </w:t>
            </w:r>
            <w:r>
              <w:rPr>
                <w:rFonts w:eastAsia="Arial Unicode MS" w:cs="Arial Unicode MS"/>
              </w:rPr>
              <w:t>w d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szej od zak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adanej perspektywie czasowej.</w:t>
            </w:r>
          </w:p>
          <w:p w:rsidR="008D07AB" w:rsidRDefault="00FD7098">
            <w:pPr>
              <w:pStyle w:val="Styltabeli2"/>
              <w:numPr>
                <w:ilvl w:val="0"/>
                <w:numId w:val="18"/>
              </w:numPr>
            </w:pPr>
            <w:r>
              <w:rPr>
                <w:rFonts w:eastAsia="Arial Unicode MS" w:cs="Arial Unicode MS"/>
              </w:rPr>
              <w:t>Ryzyko aktywne (wdro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ono wniosek o zmian</w:t>
            </w:r>
            <w:r>
              <w:rPr>
                <w:rFonts w:eastAsia="Arial Unicode MS" w:cs="Arial Unicode MS"/>
              </w:rPr>
              <w:t xml:space="preserve">ę </w:t>
            </w:r>
            <w:r>
              <w:rPr>
                <w:rFonts w:eastAsia="Arial Unicode MS" w:cs="Arial Unicode MS"/>
              </w:rPr>
              <w:t>harmonogramu rzeczowo-finansowego wraz z terminem zako</w:t>
            </w:r>
            <w:r>
              <w:rPr>
                <w:rFonts w:eastAsia="Arial Unicode MS" w:cs="Arial Unicode MS"/>
              </w:rPr>
              <w:t>ń</w:t>
            </w:r>
            <w:r>
              <w:rPr>
                <w:rFonts w:eastAsia="Arial Unicode MS" w:cs="Arial Unicode MS"/>
              </w:rPr>
              <w:t xml:space="preserve">czenia projektu </w:t>
            </w:r>
            <w:r>
              <w:rPr>
                <w:rFonts w:eastAsia="Arial Unicode MS" w:cs="Arial Unicode MS"/>
              </w:rPr>
              <w:t>31-10-2023).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87"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Zmiany organizacyjne w projekcie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du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a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wysokie</w:t>
            </w:r>
          </w:p>
        </w:tc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numPr>
                <w:ilvl w:val="0"/>
                <w:numId w:val="19"/>
              </w:numPr>
            </w:pPr>
            <w:r>
              <w:rPr>
                <w:rFonts w:eastAsia="Arial Unicode MS" w:cs="Arial Unicode MS"/>
              </w:rPr>
              <w:t>Dostosowanie przepis</w:t>
            </w:r>
            <w:r>
              <w:rPr>
                <w:rFonts w:eastAsia="Arial Unicode MS" w:cs="Arial Unicode MS"/>
                <w:lang w:val="es-ES_tradnl"/>
              </w:rPr>
              <w:t>ó</w:t>
            </w:r>
            <w:r>
              <w:rPr>
                <w:rFonts w:eastAsia="Arial Unicode MS" w:cs="Arial Unicode MS"/>
              </w:rPr>
              <w:t>w do mo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liwo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ci przeniesienia roli beneficjenta na Centralny O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rodek Informatyki. Zachowanie ci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g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o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ci dzia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a</w:t>
            </w:r>
            <w:r>
              <w:rPr>
                <w:rFonts w:eastAsia="Arial Unicode MS" w:cs="Arial Unicode MS"/>
              </w:rPr>
              <w:t xml:space="preserve">ń </w:t>
            </w:r>
            <w:r>
              <w:rPr>
                <w:rFonts w:eastAsia="Arial Unicode MS" w:cs="Arial Unicode MS"/>
              </w:rPr>
              <w:t>projektowych w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okresie transformacji.</w:t>
            </w:r>
          </w:p>
          <w:p w:rsidR="008D07AB" w:rsidRDefault="00FD7098">
            <w:pPr>
              <w:pStyle w:val="Styltabeli2"/>
              <w:numPr>
                <w:ilvl w:val="0"/>
                <w:numId w:val="19"/>
              </w:numPr>
            </w:pP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agodzenie wp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 xml:space="preserve">ywu zmiany </w:t>
            </w:r>
            <w:r>
              <w:rPr>
                <w:rFonts w:eastAsia="Arial Unicode MS" w:cs="Arial Unicode MS"/>
              </w:rPr>
              <w:t>organizacyjnej na realizacj</w:t>
            </w:r>
            <w:r>
              <w:rPr>
                <w:rFonts w:eastAsia="Arial Unicode MS" w:cs="Arial Unicode MS"/>
              </w:rPr>
              <w:t xml:space="preserve">ę </w:t>
            </w:r>
            <w:r>
              <w:rPr>
                <w:rFonts w:eastAsia="Arial Unicode MS" w:cs="Arial Unicode MS"/>
              </w:rPr>
              <w:t>projektu WIIP.</w:t>
            </w:r>
          </w:p>
          <w:p w:rsidR="008D07AB" w:rsidRDefault="00FD7098">
            <w:pPr>
              <w:pStyle w:val="Styltabeli2"/>
              <w:numPr>
                <w:ilvl w:val="0"/>
                <w:numId w:val="19"/>
              </w:numPr>
            </w:pPr>
            <w:r>
              <w:rPr>
                <w:rFonts w:eastAsia="Arial Unicode MS" w:cs="Arial Unicode MS"/>
              </w:rPr>
              <w:t>Ryzyko aktywne (brak zmian).</w:t>
            </w:r>
          </w:p>
        </w:tc>
      </w:tr>
    </w:tbl>
    <w:p w:rsidR="008D07AB" w:rsidRDefault="008D07AB">
      <w:pPr>
        <w:pStyle w:val="Tre"/>
      </w:pPr>
    </w:p>
    <w:p w:rsidR="008D07AB" w:rsidRDefault="008D07AB">
      <w:pPr>
        <w:pStyle w:val="Tre"/>
      </w:pPr>
    </w:p>
    <w:p w:rsidR="008D07AB" w:rsidRDefault="00FD7098">
      <w:pPr>
        <w:pStyle w:val="Tre"/>
        <w:keepNext/>
        <w:rPr>
          <w:rStyle w:val="Wyrnienie"/>
        </w:rPr>
      </w:pPr>
      <w:r>
        <w:rPr>
          <w:rStyle w:val="Wyrnienie"/>
        </w:rPr>
        <w:t>Ryzyka wpływające na utrzymanie projektu</w:t>
      </w:r>
    </w:p>
    <w:tbl>
      <w:tblPr>
        <w:tblStyle w:val="TableNormal"/>
        <w:tblW w:w="901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65"/>
        <w:gridCol w:w="1518"/>
        <w:gridCol w:w="1643"/>
        <w:gridCol w:w="2992"/>
      </w:tblGrid>
      <w:tr w:rsidR="008D07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31"/>
          <w:tblHeader/>
        </w:trPr>
        <w:tc>
          <w:tcPr>
            <w:tcW w:w="286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Nazwa ryzyka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Si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a oddzia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ywania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Prawdopodobie</w:t>
            </w:r>
            <w:r>
              <w:rPr>
                <w:rFonts w:eastAsia="Arial Unicode MS" w:cs="Arial Unicode MS"/>
              </w:rPr>
              <w:t>ń</w:t>
            </w:r>
            <w:r>
              <w:rPr>
                <w:rFonts w:eastAsia="Arial Unicode MS" w:cs="Arial Unicode MS"/>
              </w:rPr>
              <w:t>stwo wyst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pienia ryzyka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1"/>
            </w:pPr>
            <w:r>
              <w:rPr>
                <w:rFonts w:eastAsia="Arial Unicode MS" w:cs="Arial Unicode MS"/>
              </w:rPr>
              <w:t>Spos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b zarz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dzania ryzykiem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51"/>
        </w:trPr>
        <w:tc>
          <w:tcPr>
            <w:tcW w:w="28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Niski popyt na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 xml:space="preserve">ugi oferowane w wyniku realizacji projektu </w:t>
            </w:r>
            <w:r>
              <w:rPr>
                <w:rFonts w:eastAsia="Arial Unicode MS" w:cs="Arial Unicode MS"/>
              </w:rPr>
              <w:t xml:space="preserve">– </w:t>
            </w:r>
            <w:r>
              <w:rPr>
                <w:rFonts w:eastAsia="Arial Unicode MS" w:cs="Arial Unicode MS"/>
              </w:rPr>
              <w:t>brak wykorzystania pe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nego potencja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 środowiska</w:t>
            </w:r>
            <w:r>
              <w:rPr>
                <w:rFonts w:eastAsia="Arial Unicode MS" w:cs="Arial Unicode MS"/>
              </w:rPr>
              <w:t xml:space="preserve"> obliczeniowego i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 chmurowych przez użytkowników</w:t>
            </w:r>
            <w:r>
              <w:rPr>
                <w:rFonts w:eastAsia="Arial Unicode MS" w:cs="Arial Unicode MS"/>
              </w:rPr>
              <w:t xml:space="preserve"> końcowych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du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a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niskie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numPr>
                <w:ilvl w:val="0"/>
                <w:numId w:val="20"/>
              </w:numPr>
            </w:pPr>
            <w:r>
              <w:rPr>
                <w:rFonts w:eastAsia="Arial Unicode MS" w:cs="Arial Unicode MS"/>
              </w:rPr>
              <w:t>Mitygacja. Podj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cie dzia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a</w:t>
            </w:r>
            <w:r>
              <w:rPr>
                <w:rFonts w:eastAsia="Arial Unicode MS" w:cs="Arial Unicode MS"/>
              </w:rPr>
              <w:t xml:space="preserve">ń </w:t>
            </w:r>
            <w:r>
              <w:rPr>
                <w:rFonts w:eastAsia="Arial Unicode MS" w:cs="Arial Unicode MS"/>
              </w:rPr>
              <w:t>promocyjnych i regulacyjnych (pobudzanie popytu).</w:t>
            </w:r>
          </w:p>
          <w:p w:rsidR="008D07AB" w:rsidRDefault="00FD7098">
            <w:pPr>
              <w:pStyle w:val="Styltabeli2"/>
              <w:numPr>
                <w:ilvl w:val="0"/>
                <w:numId w:val="20"/>
              </w:numPr>
            </w:pPr>
            <w:r>
              <w:rPr>
                <w:rFonts w:eastAsia="Arial Unicode MS" w:cs="Arial Unicode MS"/>
              </w:rPr>
              <w:t>Ograniczenie niedostosowania wielkoś</w:t>
            </w:r>
            <w:r>
              <w:rPr>
                <w:rFonts w:eastAsia="Arial Unicode MS" w:cs="Arial Unicode MS" w:hint="eastAsia"/>
              </w:rPr>
              <w:t>ć</w:t>
            </w:r>
            <w:r>
              <w:rPr>
                <w:rFonts w:eastAsia="Arial Unicode MS" w:cs="Arial Unicode MS"/>
                <w:lang w:val="it-IT"/>
              </w:rPr>
              <w:t xml:space="preserve">ci 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rodowiska RChO do popytu na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ugi.</w:t>
            </w:r>
          </w:p>
          <w:p w:rsidR="008D07AB" w:rsidRDefault="00FD7098">
            <w:pPr>
              <w:pStyle w:val="Styltabeli2"/>
              <w:numPr>
                <w:ilvl w:val="0"/>
                <w:numId w:val="20"/>
              </w:numPr>
            </w:pPr>
            <w:r>
              <w:rPr>
                <w:rFonts w:eastAsia="Arial Unicode MS" w:cs="Arial Unicode MS"/>
              </w:rPr>
              <w:t>Ryzyko aktywne (brak zmian).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07"/>
        </w:trPr>
        <w:tc>
          <w:tcPr>
            <w:tcW w:w="2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Ograniczenia limit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 finansowych bud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etu pa</w:t>
            </w:r>
            <w:r>
              <w:rPr>
                <w:rFonts w:eastAsia="Arial Unicode MS" w:cs="Arial Unicode MS"/>
              </w:rPr>
              <w:t>ń</w:t>
            </w:r>
            <w:r>
              <w:rPr>
                <w:rFonts w:eastAsia="Arial Unicode MS" w:cs="Arial Unicode MS"/>
              </w:rPr>
              <w:t>stwa zwi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zanych z utrzymaniem i rozwojem RChO i RKB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du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a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rednie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numPr>
                <w:ilvl w:val="0"/>
                <w:numId w:val="21"/>
              </w:numPr>
            </w:pPr>
            <w:r>
              <w:rPr>
                <w:rFonts w:eastAsia="Arial Unicode MS" w:cs="Arial Unicode MS"/>
              </w:rPr>
              <w:t>Mitygacja. Uwzgl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dnienie plan</w:t>
            </w:r>
            <w:r>
              <w:rPr>
                <w:rFonts w:eastAsia="Arial Unicode MS" w:cs="Arial Unicode MS"/>
                <w:lang w:val="es-ES_tradnl"/>
              </w:rPr>
              <w:t>ó</w:t>
            </w:r>
            <w:r>
              <w:rPr>
                <w:rFonts w:eastAsia="Arial Unicode MS" w:cs="Arial Unicode MS"/>
              </w:rPr>
              <w:t>w wydatk</w:t>
            </w:r>
            <w:r>
              <w:rPr>
                <w:rFonts w:eastAsia="Arial Unicode MS" w:cs="Arial Unicode MS" w:hint="eastAsia"/>
              </w:rPr>
              <w:t>ów</w:t>
            </w:r>
            <w:r>
              <w:rPr>
                <w:rFonts w:eastAsia="Arial Unicode MS" w:cs="Arial Unicode MS"/>
                <w:lang w:val="es-ES_tradnl"/>
              </w:rPr>
              <w:t>ó</w:t>
            </w:r>
            <w:r>
              <w:rPr>
                <w:rFonts w:eastAsia="Arial Unicode MS" w:cs="Arial Unicode MS"/>
              </w:rPr>
              <w:t xml:space="preserve">w </w:t>
            </w:r>
            <w:r>
              <w:rPr>
                <w:rFonts w:eastAsia="Arial Unicode MS" w:cs="Arial Unicode MS"/>
              </w:rPr>
              <w:t>zwi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zanych z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RChO i RKB w wieloletnim planie finansowym budżetu</w:t>
            </w:r>
            <w:r>
              <w:rPr>
                <w:rFonts w:eastAsia="Arial Unicode MS" w:cs="Arial Unicode MS"/>
              </w:rPr>
              <w:t xml:space="preserve"> państwa</w:t>
            </w:r>
            <w:r>
              <w:rPr>
                <w:rFonts w:eastAsia="Arial Unicode MS" w:cs="Arial Unicode MS"/>
              </w:rPr>
              <w:t xml:space="preserve"> oraz zastosowanie przesunięć</w:t>
            </w:r>
            <w:r>
              <w:rPr>
                <w:rFonts w:eastAsia="Arial Unicode MS" w:cs="Arial Unicode MS"/>
              </w:rPr>
              <w:t xml:space="preserve">́ </w:t>
            </w:r>
            <w:r>
              <w:rPr>
                <w:rFonts w:eastAsia="Arial Unicode MS" w:cs="Arial Unicode MS"/>
              </w:rPr>
              <w:t>z cz. budżetowych</w:t>
            </w:r>
            <w:r>
              <w:rPr>
                <w:rFonts w:eastAsia="Arial Unicode MS" w:cs="Arial Unicode MS"/>
              </w:rPr>
              <w:t xml:space="preserve"> klient</w:t>
            </w:r>
            <w:r>
              <w:rPr>
                <w:rFonts w:eastAsia="Arial Unicode MS" w:cs="Arial Unicode MS"/>
                <w:lang w:val="es-ES_tradnl"/>
              </w:rPr>
              <w:t>ó</w:t>
            </w:r>
            <w:r>
              <w:rPr>
                <w:rFonts w:eastAsia="Arial Unicode MS" w:cs="Arial Unicode MS"/>
              </w:rPr>
              <w:t>w RChO do dedykowanej rezerwy celowej WIIP.</w:t>
            </w:r>
          </w:p>
          <w:p w:rsidR="008D07AB" w:rsidRDefault="00FD7098">
            <w:pPr>
              <w:pStyle w:val="Styltabeli2"/>
              <w:numPr>
                <w:ilvl w:val="0"/>
                <w:numId w:val="21"/>
              </w:numPr>
            </w:pPr>
            <w:r>
              <w:rPr>
                <w:rFonts w:eastAsia="Arial Unicode MS" w:cs="Arial Unicode MS"/>
              </w:rPr>
              <w:t xml:space="preserve">Zapewnienie 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rodk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>w finansowych na utrzymanie trwa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o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ci projektu POPC oraz rozw</w:t>
            </w:r>
            <w:r>
              <w:rPr>
                <w:rFonts w:eastAsia="Arial Unicode MS" w:cs="Arial Unicode MS"/>
              </w:rPr>
              <w:t>ó</w:t>
            </w:r>
            <w:r>
              <w:rPr>
                <w:rFonts w:eastAsia="Arial Unicode MS" w:cs="Arial Unicode MS"/>
              </w:rPr>
              <w:t xml:space="preserve">j </w:t>
            </w:r>
            <w:r>
              <w:rPr>
                <w:rFonts w:eastAsia="Arial Unicode MS" w:cs="Arial Unicode MS"/>
              </w:rPr>
              <w:t>Katalogu us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ug RChO.</w:t>
            </w:r>
          </w:p>
          <w:p w:rsidR="008D07AB" w:rsidRDefault="00FD7098">
            <w:pPr>
              <w:pStyle w:val="Styltabeli2"/>
              <w:numPr>
                <w:ilvl w:val="0"/>
                <w:numId w:val="21"/>
              </w:numPr>
            </w:pPr>
            <w:r>
              <w:rPr>
                <w:rFonts w:eastAsia="Arial Unicode MS" w:cs="Arial Unicode MS"/>
              </w:rPr>
              <w:t>Ryzyko aktywne (brak zmian).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27"/>
        </w:trPr>
        <w:tc>
          <w:tcPr>
            <w:tcW w:w="2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Trudno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ci zwi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zane z adaptacj</w:t>
            </w:r>
            <w:r>
              <w:rPr>
                <w:rFonts w:eastAsia="Arial Unicode MS" w:cs="Arial Unicode MS"/>
              </w:rPr>
              <w:t xml:space="preserve">ą </w:t>
            </w:r>
            <w:r>
              <w:rPr>
                <w:rFonts w:eastAsia="Arial Unicode MS" w:cs="Arial Unicode MS"/>
              </w:rPr>
              <w:t>nowych rozwi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za</w:t>
            </w:r>
            <w:r>
              <w:rPr>
                <w:rFonts w:eastAsia="Arial Unicode MS" w:cs="Arial Unicode MS"/>
              </w:rPr>
              <w:t xml:space="preserve">ń </w:t>
            </w:r>
            <w:r>
              <w:rPr>
                <w:rFonts w:eastAsia="Arial Unicode MS" w:cs="Arial Unicode MS"/>
              </w:rPr>
              <w:t>organizacyjnych oraz zasady wsp</w:t>
            </w:r>
            <w:r>
              <w:rPr>
                <w:rFonts w:eastAsia="Arial Unicode MS" w:cs="Arial Unicode MS"/>
              </w:rPr>
              <w:t>ół</w:t>
            </w:r>
            <w:r>
              <w:rPr>
                <w:rFonts w:eastAsia="Arial Unicode MS" w:cs="Arial Unicode MS"/>
              </w:rPr>
              <w:t>dzielonej odpowiedzialno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ci pomi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dzy jednostkami administracji publicznej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du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a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rednie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numPr>
                <w:ilvl w:val="0"/>
                <w:numId w:val="22"/>
              </w:numPr>
            </w:pPr>
            <w:r>
              <w:rPr>
                <w:rFonts w:eastAsia="Arial Unicode MS" w:cs="Arial Unicode MS"/>
              </w:rPr>
              <w:t>Mitygacja. Wprowadzenie działań</w:t>
            </w:r>
            <w:r>
              <w:rPr>
                <w:rFonts w:eastAsia="Arial Unicode MS" w:cs="Arial Unicode MS"/>
              </w:rPr>
              <w:t xml:space="preserve">́ </w:t>
            </w:r>
            <w:r>
              <w:rPr>
                <w:rFonts w:eastAsia="Arial Unicode MS" w:cs="Arial Unicode MS"/>
                <w:lang w:val="it-IT"/>
              </w:rPr>
              <w:t>pilotaz</w:t>
            </w:r>
            <w:r>
              <w:rPr>
                <w:rFonts w:eastAsia="Arial Unicode MS" w:cs="Arial Unicode MS"/>
              </w:rPr>
              <w:t>̇</w:t>
            </w:r>
            <w:r>
              <w:rPr>
                <w:rFonts w:eastAsia="Arial Unicode MS" w:cs="Arial Unicode MS"/>
              </w:rPr>
              <w:t>owych i testuj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cych, w tym wprowadzenie zmian legislacyjnych dot. wprowadzenia zasady wsp</w:t>
            </w:r>
            <w:r>
              <w:rPr>
                <w:rFonts w:eastAsia="Arial Unicode MS" w:cs="Arial Unicode MS"/>
              </w:rPr>
              <w:t>ół</w:t>
            </w:r>
            <w:r>
              <w:rPr>
                <w:rFonts w:eastAsia="Arial Unicode MS" w:cs="Arial Unicode MS"/>
              </w:rPr>
              <w:t>dzielonej odpowiedzialności</w:t>
            </w:r>
            <w:r>
              <w:rPr>
                <w:rFonts w:eastAsia="Arial Unicode MS" w:cs="Arial Unicode MS"/>
              </w:rPr>
              <w:t xml:space="preserve"> za realizacj</w:t>
            </w:r>
            <w:r>
              <w:rPr>
                <w:rFonts w:eastAsia="Arial Unicode MS" w:cs="Arial Unicode MS"/>
              </w:rPr>
              <w:t>ę zadań</w:t>
            </w:r>
            <w:r>
              <w:rPr>
                <w:rFonts w:eastAsia="Arial Unicode MS" w:cs="Arial Unicode MS"/>
              </w:rPr>
              <w:t xml:space="preserve">́ </w:t>
            </w:r>
            <w:r>
              <w:rPr>
                <w:rFonts w:eastAsia="Arial Unicode MS" w:cs="Arial Unicode MS"/>
              </w:rPr>
              <w:t>publicznych pomi</w:t>
            </w:r>
            <w:r>
              <w:rPr>
                <w:rFonts w:eastAsia="Arial Unicode MS" w:cs="Arial Unicode MS"/>
              </w:rPr>
              <w:t>ę</w:t>
            </w:r>
            <w:r>
              <w:rPr>
                <w:rFonts w:eastAsia="Arial Unicode MS" w:cs="Arial Unicode MS"/>
              </w:rPr>
              <w:t>dzy r</w:t>
            </w:r>
            <w:r>
              <w:rPr>
                <w:rFonts w:eastAsia="Arial Unicode MS" w:cs="Arial Unicode MS"/>
                <w:lang w:val="es-ES_tradnl"/>
              </w:rPr>
              <w:t>ó</w:t>
            </w:r>
            <w:r>
              <w:rPr>
                <w:rFonts w:eastAsia="Arial Unicode MS" w:cs="Arial Unicode MS"/>
              </w:rPr>
              <w:t xml:space="preserve">żnymi </w:t>
            </w:r>
            <w:r>
              <w:rPr>
                <w:rFonts w:eastAsia="Arial Unicode MS" w:cs="Arial Unicode MS"/>
              </w:rPr>
              <w:t>jednostkami.</w:t>
            </w:r>
          </w:p>
          <w:p w:rsidR="008D07AB" w:rsidRDefault="00FD7098">
            <w:pPr>
              <w:pStyle w:val="Styltabeli2"/>
              <w:numPr>
                <w:ilvl w:val="0"/>
                <w:numId w:val="22"/>
              </w:numPr>
            </w:pPr>
            <w:r>
              <w:rPr>
                <w:rFonts w:eastAsia="Arial Unicode MS" w:cs="Arial Unicode MS"/>
              </w:rPr>
              <w:t>Przetestowania i upowszechnienie modelu wsp</w:t>
            </w:r>
            <w:r>
              <w:rPr>
                <w:rFonts w:eastAsia="Arial Unicode MS" w:cs="Arial Unicode MS"/>
              </w:rPr>
              <w:t>ół</w:t>
            </w:r>
            <w:r>
              <w:rPr>
                <w:rFonts w:eastAsia="Arial Unicode MS" w:cs="Arial Unicode MS"/>
              </w:rPr>
              <w:t>dzielonej odpowiedzi</w:t>
            </w:r>
            <w:r>
              <w:rPr>
                <w:rFonts w:eastAsia="Arial Unicode MS" w:cs="Arial Unicode MS"/>
              </w:rPr>
              <w:t>alno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ci.</w:t>
            </w:r>
          </w:p>
          <w:p w:rsidR="008D07AB" w:rsidRDefault="00FD7098">
            <w:pPr>
              <w:pStyle w:val="Styltabeli2"/>
              <w:numPr>
                <w:ilvl w:val="0"/>
                <w:numId w:val="22"/>
              </w:numPr>
            </w:pPr>
            <w:r>
              <w:rPr>
                <w:rFonts w:eastAsia="Arial Unicode MS" w:cs="Arial Unicode MS"/>
              </w:rPr>
              <w:t>Ryzyko aktywne (brak zmian).</w:t>
            </w:r>
          </w:p>
        </w:tc>
      </w:tr>
      <w:tr w:rsidR="008D07A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47"/>
        </w:trPr>
        <w:tc>
          <w:tcPr>
            <w:tcW w:w="2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Zmiany organizacyjne (KPRM/COI)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du</w:t>
            </w:r>
            <w:r>
              <w:rPr>
                <w:rFonts w:eastAsia="Arial Unicode MS" w:cs="Arial Unicode MS"/>
              </w:rPr>
              <w:t>ż</w:t>
            </w:r>
            <w:r>
              <w:rPr>
                <w:rFonts w:eastAsia="Arial Unicode MS" w:cs="Arial Unicode MS"/>
              </w:rPr>
              <w:t>a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</w:pPr>
            <w:r>
              <w:rPr>
                <w:rFonts w:eastAsia="Arial Unicode MS" w:cs="Arial Unicode MS"/>
              </w:rPr>
              <w:t>wysokie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07AB" w:rsidRDefault="00FD7098">
            <w:pPr>
              <w:pStyle w:val="Styltabeli2"/>
              <w:numPr>
                <w:ilvl w:val="0"/>
                <w:numId w:val="23"/>
              </w:numPr>
            </w:pPr>
            <w:r>
              <w:rPr>
                <w:rFonts w:eastAsia="Arial Unicode MS" w:cs="Arial Unicode MS"/>
              </w:rPr>
              <w:t>Opracowanie i implementacja modelu zarz</w:t>
            </w:r>
            <w:r>
              <w:rPr>
                <w:rFonts w:eastAsia="Arial Unicode MS" w:cs="Arial Unicode MS"/>
              </w:rPr>
              <w:t>ą</w:t>
            </w:r>
            <w:r>
              <w:rPr>
                <w:rFonts w:eastAsia="Arial Unicode MS" w:cs="Arial Unicode MS"/>
              </w:rPr>
              <w:t>dzania popytem oraz finansowania utrzymania i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rozwoju RChO.</w:t>
            </w:r>
          </w:p>
          <w:p w:rsidR="008D07AB" w:rsidRDefault="00FD7098">
            <w:pPr>
              <w:pStyle w:val="Styltabeli2"/>
              <w:numPr>
                <w:ilvl w:val="0"/>
                <w:numId w:val="23"/>
              </w:numPr>
            </w:pPr>
            <w:r>
              <w:rPr>
                <w:rFonts w:eastAsia="Arial Unicode MS" w:cs="Arial Unicode MS"/>
              </w:rPr>
              <w:t xml:space="preserve">Zapewnienie </w:t>
            </w:r>
            <w:r>
              <w:rPr>
                <w:rFonts w:eastAsia="Arial Unicode MS" w:cs="Arial Unicode MS"/>
              </w:rPr>
              <w:t>ś</w:t>
            </w:r>
            <w:r>
              <w:rPr>
                <w:rFonts w:eastAsia="Arial Unicode MS" w:cs="Arial Unicode MS"/>
              </w:rPr>
              <w:t>rodowiska realizacji projektu WIIP oraz dalszego utrzymania</w:t>
            </w:r>
            <w:r>
              <w:rPr>
                <w:rFonts w:eastAsia="Arial Unicode MS" w:cs="Arial Unicode MS"/>
              </w:rPr>
              <w:t xml:space="preserve"> i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rozwoju RChO przez COI (lub podmiot powsta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y z</w:t>
            </w:r>
            <w:r>
              <w:rPr>
                <w:rFonts w:eastAsia="Arial Unicode MS" w:cs="Arial Unicode MS"/>
              </w:rPr>
              <w:t> </w:t>
            </w:r>
            <w:r>
              <w:rPr>
                <w:rFonts w:eastAsia="Arial Unicode MS" w:cs="Arial Unicode MS"/>
              </w:rPr>
              <w:t>jego przekszta</w:t>
            </w:r>
            <w:r>
              <w:rPr>
                <w:rFonts w:eastAsia="Arial Unicode MS" w:cs="Arial Unicode MS"/>
              </w:rPr>
              <w:t>ł</w:t>
            </w:r>
            <w:r>
              <w:rPr>
                <w:rFonts w:eastAsia="Arial Unicode MS" w:cs="Arial Unicode MS"/>
              </w:rPr>
              <w:t>cenia).</w:t>
            </w:r>
          </w:p>
          <w:p w:rsidR="008D07AB" w:rsidRDefault="00FD7098">
            <w:pPr>
              <w:pStyle w:val="Styltabeli2"/>
              <w:numPr>
                <w:ilvl w:val="0"/>
                <w:numId w:val="23"/>
              </w:numPr>
            </w:pPr>
            <w:r>
              <w:rPr>
                <w:rFonts w:eastAsia="Arial Unicode MS" w:cs="Arial Unicode MS"/>
              </w:rPr>
              <w:t>Ryzyko aktywne (brak zmian).</w:t>
            </w:r>
          </w:p>
        </w:tc>
      </w:tr>
    </w:tbl>
    <w:p w:rsidR="008D07AB" w:rsidRDefault="008D07AB">
      <w:pPr>
        <w:pStyle w:val="Tre"/>
      </w:pPr>
    </w:p>
    <w:p w:rsidR="008D07AB" w:rsidRDefault="00FD7098">
      <w:pPr>
        <w:pStyle w:val="Nagwek"/>
        <w:numPr>
          <w:ilvl w:val="0"/>
          <w:numId w:val="6"/>
        </w:numPr>
      </w:pPr>
      <w:r>
        <w:t>Wymiarowanie systemu informatycznego</w:t>
      </w:r>
    </w:p>
    <w:p w:rsidR="008D07AB" w:rsidRDefault="00FD7098">
      <w:pPr>
        <w:pStyle w:val="Tre"/>
      </w:pPr>
      <w:r>
        <w:rPr>
          <w:rFonts w:eastAsia="Arial Unicode MS" w:cs="Arial Unicode MS"/>
        </w:rPr>
        <w:t>Nie dotyczy, ze wzgl</w:t>
      </w:r>
      <w:r>
        <w:rPr>
          <w:rFonts w:eastAsia="Arial Unicode MS" w:cs="Arial Unicode MS"/>
        </w:rPr>
        <w:t>ę</w:t>
      </w:r>
      <w:r>
        <w:rPr>
          <w:rFonts w:eastAsia="Arial Unicode MS" w:cs="Arial Unicode MS"/>
        </w:rPr>
        <w:t>du na brak wytwarzania oprogramowania w ramach projektu.</w:t>
      </w:r>
    </w:p>
    <w:p w:rsidR="008D07AB" w:rsidRDefault="00FD7098">
      <w:pPr>
        <w:pStyle w:val="Nagwek"/>
        <w:numPr>
          <w:ilvl w:val="0"/>
          <w:numId w:val="6"/>
        </w:numPr>
      </w:pPr>
      <w:r>
        <w:t>Dane kontaktowe</w:t>
      </w:r>
    </w:p>
    <w:p w:rsidR="008D07AB" w:rsidRDefault="00FD7098" w:rsidP="0017240B">
      <w:pPr>
        <w:pStyle w:val="Tre"/>
        <w:numPr>
          <w:ilvl w:val="0"/>
          <w:numId w:val="24"/>
        </w:numPr>
      </w:pPr>
      <w:r>
        <w:rPr>
          <w:rFonts w:eastAsia="Arial Unicode MS" w:cs="Arial Unicode MS"/>
        </w:rPr>
        <w:t xml:space="preserve">Joanna Baranowska, </w:t>
      </w:r>
      <w:r>
        <w:rPr>
          <w:rFonts w:eastAsia="Arial Unicode MS" w:cs="Arial Unicode MS"/>
        </w:rPr>
        <w:t>z-ca dyr. Departamentu Zarz</w:t>
      </w:r>
      <w:r>
        <w:rPr>
          <w:rFonts w:eastAsia="Arial Unicode MS" w:cs="Arial Unicode MS"/>
        </w:rPr>
        <w:t>ą</w:t>
      </w:r>
      <w:r>
        <w:rPr>
          <w:rFonts w:eastAsia="Arial Unicode MS" w:cs="Arial Unicode MS"/>
        </w:rPr>
        <w:t xml:space="preserve">dzania Systemami, e-mail: </w:t>
      </w:r>
      <w:hyperlink r:id="rId7" w:history="1">
        <w:r>
          <w:rPr>
            <w:rStyle w:val="Hyperlink0"/>
            <w:rFonts w:eastAsia="Arial Unicode MS" w:cs="Arial Unicode MS"/>
          </w:rPr>
          <w:t>Joanna.Baranowska@mc.gov.pl</w:t>
        </w:r>
      </w:hyperlink>
      <w:r>
        <w:rPr>
          <w:rFonts w:eastAsia="Arial Unicode MS" w:cs="Arial Unicode MS"/>
        </w:rPr>
        <w:t xml:space="preserve">, tel. </w:t>
      </w:r>
      <w:r w:rsidR="0017240B" w:rsidRPr="0017240B">
        <w:rPr>
          <w:rFonts w:eastAsia="Arial Unicode MS" w:cs="Arial Unicode MS"/>
        </w:rPr>
        <w:t>797</w:t>
      </w:r>
      <w:r w:rsidR="0017240B">
        <w:rPr>
          <w:rFonts w:eastAsia="Arial Unicode MS" w:cs="Arial Unicode MS"/>
        </w:rPr>
        <w:t> </w:t>
      </w:r>
      <w:r w:rsidR="0017240B" w:rsidRPr="0017240B">
        <w:rPr>
          <w:rFonts w:eastAsia="Arial Unicode MS" w:cs="Arial Unicode MS"/>
        </w:rPr>
        <w:t>851</w:t>
      </w:r>
      <w:r w:rsidR="0017240B">
        <w:rPr>
          <w:rFonts w:eastAsia="Arial Unicode MS" w:cs="Arial Unicode MS"/>
        </w:rPr>
        <w:t xml:space="preserve"> </w:t>
      </w:r>
      <w:r w:rsidR="0017240B" w:rsidRPr="0017240B">
        <w:rPr>
          <w:rFonts w:eastAsia="Arial Unicode MS" w:cs="Arial Unicode MS"/>
        </w:rPr>
        <w:t>132</w:t>
      </w:r>
    </w:p>
    <w:p w:rsidR="008D07AB" w:rsidRDefault="00FD7098" w:rsidP="0017240B">
      <w:pPr>
        <w:pStyle w:val="Tre"/>
        <w:numPr>
          <w:ilvl w:val="0"/>
          <w:numId w:val="24"/>
        </w:numPr>
      </w:pPr>
      <w:r>
        <w:rPr>
          <w:rFonts w:eastAsia="Arial Unicode MS" w:cs="Arial Unicode MS"/>
        </w:rPr>
        <w:t>Monika G</w:t>
      </w:r>
      <w:r>
        <w:rPr>
          <w:rFonts w:eastAsia="Arial Unicode MS" w:cs="Arial Unicode MS"/>
        </w:rPr>
        <w:t>łę</w:t>
      </w:r>
      <w:r>
        <w:rPr>
          <w:rFonts w:eastAsia="Arial Unicode MS" w:cs="Arial Unicode MS"/>
        </w:rPr>
        <w:t>bocka, Departament Zarz</w:t>
      </w:r>
      <w:r>
        <w:rPr>
          <w:rFonts w:eastAsia="Arial Unicode MS" w:cs="Arial Unicode MS"/>
        </w:rPr>
        <w:t>ą</w:t>
      </w:r>
      <w:r>
        <w:rPr>
          <w:rFonts w:eastAsia="Arial Unicode MS" w:cs="Arial Unicode MS"/>
        </w:rPr>
        <w:t xml:space="preserve">dzania Systemami, e-mail: </w:t>
      </w:r>
      <w:hyperlink r:id="rId8" w:history="1">
        <w:r>
          <w:rPr>
            <w:rStyle w:val="Hyperlink0"/>
            <w:rFonts w:eastAsia="Arial Unicode MS" w:cs="Arial Unicode MS"/>
          </w:rPr>
          <w:t>Monika.Glebocka@mc.gov.pl</w:t>
        </w:r>
      </w:hyperlink>
      <w:r>
        <w:rPr>
          <w:rFonts w:eastAsia="Arial Unicode MS" w:cs="Arial Unicode MS"/>
        </w:rPr>
        <w:t xml:space="preserve">, tel. </w:t>
      </w:r>
      <w:r w:rsidR="0017240B" w:rsidRPr="0017240B">
        <w:rPr>
          <w:rFonts w:eastAsia="Arial Unicode MS" w:cs="Arial Unicode MS"/>
        </w:rPr>
        <w:t>728 410 118</w:t>
      </w:r>
    </w:p>
    <w:sectPr w:rsidR="008D07AB">
      <w:headerReference w:type="default" r:id="rId9"/>
      <w:footerReference w:type="default" r:id="rId10"/>
      <w:pgSz w:w="11906" w:h="16838"/>
      <w:pgMar w:top="1134" w:right="1440" w:bottom="1440" w:left="1440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D7098">
      <w:r>
        <w:separator/>
      </w:r>
    </w:p>
  </w:endnote>
  <w:endnote w:type="continuationSeparator" w:id="0">
    <w:p w:rsidR="00000000" w:rsidRDefault="00FD7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in Modern Roman 9 Regular">
    <w:altName w:val="Times New Roman"/>
    <w:charset w:val="00"/>
    <w:family w:val="roman"/>
    <w:pitch w:val="default"/>
  </w:font>
  <w:font w:name="Latin Modern Roman Demi 10 Regu">
    <w:altName w:val="Times New Roman"/>
    <w:panose1 w:val="00000000000000000000"/>
    <w:charset w:val="00"/>
    <w:family w:val="roman"/>
    <w:notTrueType/>
    <w:pitch w:val="default"/>
  </w:font>
  <w:font w:name="Latin Modern Roman 10 Regular">
    <w:altName w:val="Times New Roman"/>
    <w:charset w:val="00"/>
    <w:family w:val="roman"/>
    <w:pitch w:val="default"/>
  </w:font>
  <w:font w:name="Latin Modern Roman 12 Bold">
    <w:altName w:val="Times New Roman"/>
    <w:charset w:val="00"/>
    <w:family w:val="roman"/>
    <w:pitch w:val="default"/>
  </w:font>
  <w:font w:name="Latin Modern Roman 10 Bold">
    <w:altName w:val="Times New Roman"/>
    <w:charset w:val="00"/>
    <w:family w:val="roman"/>
    <w:pitch w:val="default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7AB" w:rsidRDefault="00FD7098">
    <w:pPr>
      <w:pStyle w:val="Nagwekistopka"/>
      <w:tabs>
        <w:tab w:val="clear" w:pos="9020"/>
        <w:tab w:val="center" w:pos="4513"/>
        <w:tab w:val="right" w:pos="9026"/>
      </w:tabs>
    </w:pPr>
    <w:r>
      <w:tab/>
    </w:r>
    <w:r>
      <w:tab/>
    </w:r>
    <w:r>
      <w:fldChar w:fldCharType="begin"/>
    </w:r>
    <w:r>
      <w:instrText xml:space="preserve"> PAGE </w:instrText>
    </w:r>
    <w:r w:rsidR="0017240B">
      <w:rPr>
        <w:rFonts w:hint="eastAsia"/>
      </w:rPr>
      <w:fldChar w:fldCharType="separate"/>
    </w:r>
    <w:r>
      <w:rPr>
        <w:rFonts w:hint="eastAsia"/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D7098">
      <w:r>
        <w:separator/>
      </w:r>
    </w:p>
  </w:footnote>
  <w:footnote w:type="continuationSeparator" w:id="0">
    <w:p w:rsidR="00000000" w:rsidRDefault="00FD70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7AB" w:rsidRDefault="00FD7098">
    <w:r>
      <w:rPr>
        <w:noProof/>
        <w:lang w:val="pl-PL" w:eastAsia="pl-PL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177800</wp:posOffset>
              </wp:positionH>
              <wp:positionV relativeFrom="page">
                <wp:posOffset>174535</wp:posOffset>
              </wp:positionV>
              <wp:extent cx="7204457" cy="10148534"/>
              <wp:effectExtent l="0" t="0" r="0" b="0"/>
              <wp:wrapNone/>
              <wp:docPr id="1073741825" name="officeArt object" descr="Prostoką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04457" cy="10148534"/>
                      </a:xfrm>
                      <a:prstGeom prst="rect">
                        <a:avLst/>
                      </a:prstGeom>
                      <a:noFill/>
                      <a:ln w="6350" cap="flat">
                        <a:solidFill>
                          <a:srgbClr val="000000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14.0pt;margin-top:13.7pt;width:567.3pt;height:799.1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248B6"/>
    <w:multiLevelType w:val="hybridMultilevel"/>
    <w:tmpl w:val="7D8E45E4"/>
    <w:lvl w:ilvl="0" w:tplc="917E1556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7E9128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B5C64CA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14C932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54BB5C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F857DC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C67190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A98AEEA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EB618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5606717"/>
    <w:multiLevelType w:val="hybridMultilevel"/>
    <w:tmpl w:val="4B7675CA"/>
    <w:lvl w:ilvl="0" w:tplc="56846188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4C761E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3C360E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7CFAB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E43D2A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A8E0BA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78FB40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F0F4EA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C347D46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5CA4BD0"/>
    <w:multiLevelType w:val="hybridMultilevel"/>
    <w:tmpl w:val="EE7CB3FE"/>
    <w:numStyleLink w:val="Kreski"/>
  </w:abstractNum>
  <w:abstractNum w:abstractNumId="3" w15:restartNumberingAfterBreak="0">
    <w:nsid w:val="09996664"/>
    <w:multiLevelType w:val="hybridMultilevel"/>
    <w:tmpl w:val="8B70EB10"/>
    <w:lvl w:ilvl="0" w:tplc="65806980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DC86E30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B06558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0CE7A00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8B622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AAB796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9D0801C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58300A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6C2BF8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5DF3FAA"/>
    <w:multiLevelType w:val="hybridMultilevel"/>
    <w:tmpl w:val="59883C0A"/>
    <w:lvl w:ilvl="0" w:tplc="BBAA15F2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F141F9A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78F748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CE055C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EE065A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CC7294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9219C8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96D0C8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76D494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A0C7FA0"/>
    <w:multiLevelType w:val="hybridMultilevel"/>
    <w:tmpl w:val="04A46CD8"/>
    <w:lvl w:ilvl="0" w:tplc="0EB0EFA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AE423E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C363630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5E86AC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1E033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C657B2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32E941C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89074BE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309F94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F3E4825"/>
    <w:multiLevelType w:val="hybridMultilevel"/>
    <w:tmpl w:val="F63CE71E"/>
    <w:lvl w:ilvl="0" w:tplc="16EE074A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343446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962260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BC5A5E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9E4E70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429AA2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3647C6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940E4E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5CB082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0D704A5"/>
    <w:multiLevelType w:val="hybridMultilevel"/>
    <w:tmpl w:val="BB180366"/>
    <w:styleLink w:val="Numery"/>
    <w:lvl w:ilvl="0" w:tplc="E1BC8E82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DC4679C">
      <w:start w:val="1"/>
      <w:numFmt w:val="decimal"/>
      <w:lvlText w:val="%2."/>
      <w:lvlJc w:val="left"/>
      <w:pPr>
        <w:ind w:left="75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F8F49C">
      <w:start w:val="1"/>
      <w:numFmt w:val="decimal"/>
      <w:lvlText w:val="%3."/>
      <w:lvlJc w:val="left"/>
      <w:pPr>
        <w:ind w:left="111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50E0B8">
      <w:start w:val="1"/>
      <w:numFmt w:val="decimal"/>
      <w:lvlText w:val="%4."/>
      <w:lvlJc w:val="left"/>
      <w:pPr>
        <w:ind w:left="147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40E19A">
      <w:start w:val="1"/>
      <w:numFmt w:val="decimal"/>
      <w:lvlText w:val="%5."/>
      <w:lvlJc w:val="left"/>
      <w:pPr>
        <w:ind w:left="183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C0DE18">
      <w:start w:val="1"/>
      <w:numFmt w:val="decimal"/>
      <w:lvlText w:val="%6."/>
      <w:lvlJc w:val="left"/>
      <w:pPr>
        <w:ind w:left="219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88CEA2">
      <w:start w:val="1"/>
      <w:numFmt w:val="decimal"/>
      <w:lvlText w:val="%7."/>
      <w:lvlJc w:val="left"/>
      <w:pPr>
        <w:ind w:left="255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2C4246">
      <w:start w:val="1"/>
      <w:numFmt w:val="decimal"/>
      <w:lvlText w:val="%8."/>
      <w:lvlJc w:val="left"/>
      <w:pPr>
        <w:ind w:left="291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2E8DD8">
      <w:start w:val="1"/>
      <w:numFmt w:val="decimal"/>
      <w:lvlText w:val="%9."/>
      <w:lvlJc w:val="left"/>
      <w:pPr>
        <w:ind w:left="327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280517E"/>
    <w:multiLevelType w:val="hybridMultilevel"/>
    <w:tmpl w:val="21867BF4"/>
    <w:lvl w:ilvl="0" w:tplc="A3383C50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B010D8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1D26CC8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9800AA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506ED6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7AD942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C0FAAC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C6A8C20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B65BF8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47254C2"/>
    <w:multiLevelType w:val="hybridMultilevel"/>
    <w:tmpl w:val="D80A78E4"/>
    <w:lvl w:ilvl="0" w:tplc="4EB84400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06C8E4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7652BC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36C78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5A8648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6E0666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58EBD8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E61344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28DD5E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4A75795"/>
    <w:multiLevelType w:val="hybridMultilevel"/>
    <w:tmpl w:val="92D69424"/>
    <w:lvl w:ilvl="0" w:tplc="C7602E98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96C212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2E4D8C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347D0A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907D64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1AAB40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6E2226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40A91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188D2A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28961E6"/>
    <w:multiLevelType w:val="hybridMultilevel"/>
    <w:tmpl w:val="0F7AFA5E"/>
    <w:lvl w:ilvl="0" w:tplc="69BA7FB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481C64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E723590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82CF5E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CB2E542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BEDCDA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1EA416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8DAC0B8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82E2D88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2FB0E9C"/>
    <w:multiLevelType w:val="hybridMultilevel"/>
    <w:tmpl w:val="5B4E3C5A"/>
    <w:lvl w:ilvl="0" w:tplc="D718549C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530989C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EA3D26">
      <w:start w:val="1"/>
      <w:numFmt w:val="decimal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7A6394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A6F1FC">
      <w:start w:val="1"/>
      <w:numFmt w:val="decimal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046B18">
      <w:start w:val="1"/>
      <w:numFmt w:val="decimal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008A7E">
      <w:start w:val="1"/>
      <w:numFmt w:val="decimal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56F6DA">
      <w:start w:val="1"/>
      <w:numFmt w:val="decimal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FED422">
      <w:start w:val="1"/>
      <w:numFmt w:val="decimal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7A26DE9"/>
    <w:multiLevelType w:val="hybridMultilevel"/>
    <w:tmpl w:val="94445E94"/>
    <w:lvl w:ilvl="0" w:tplc="D70693D0">
      <w:start w:val="1"/>
      <w:numFmt w:val="bullet"/>
      <w:lvlText w:val="-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1" w:tplc="0066C5CA">
      <w:start w:val="1"/>
      <w:numFmt w:val="bullet"/>
      <w:lvlText w:val="-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2" w:tplc="815873D0">
      <w:start w:val="1"/>
      <w:numFmt w:val="bullet"/>
      <w:lvlText w:val="-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3" w:tplc="595813E8">
      <w:start w:val="1"/>
      <w:numFmt w:val="bullet"/>
      <w:lvlText w:val="-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4" w:tplc="EFC4F7DE">
      <w:start w:val="1"/>
      <w:numFmt w:val="bullet"/>
      <w:lvlText w:val="-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5" w:tplc="C1D22742">
      <w:start w:val="1"/>
      <w:numFmt w:val="bullet"/>
      <w:lvlText w:val="-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6" w:tplc="78F868B4">
      <w:start w:val="1"/>
      <w:numFmt w:val="bullet"/>
      <w:lvlText w:val="-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7" w:tplc="290E42B6">
      <w:start w:val="1"/>
      <w:numFmt w:val="bullet"/>
      <w:lvlText w:val="-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8" w:tplc="BEDA28C8">
      <w:start w:val="1"/>
      <w:numFmt w:val="bullet"/>
      <w:lvlText w:val="-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</w:abstractNum>
  <w:abstractNum w:abstractNumId="14" w15:restartNumberingAfterBreak="0">
    <w:nsid w:val="39CE5833"/>
    <w:multiLevelType w:val="hybridMultilevel"/>
    <w:tmpl w:val="EE7CB3FE"/>
    <w:styleLink w:val="Kreski"/>
    <w:lvl w:ilvl="0" w:tplc="8780ACF2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5BDED132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10DC3794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BB005F3C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D4FEA4DE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8522E244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E8941A72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F580BB36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9920CCA8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15" w15:restartNumberingAfterBreak="0">
    <w:nsid w:val="45186D4B"/>
    <w:multiLevelType w:val="hybridMultilevel"/>
    <w:tmpl w:val="7026D76E"/>
    <w:lvl w:ilvl="0" w:tplc="10306092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BCCB98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9040E8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CEB3E4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9EA7B8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1645E80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D0FA48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BA9F0A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7A2A90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57867E1E"/>
    <w:multiLevelType w:val="hybridMultilevel"/>
    <w:tmpl w:val="205E4096"/>
    <w:lvl w:ilvl="0" w:tplc="0D6C4BF8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DC2CBC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330405A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26294C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561DA4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CA3DAA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F04EBA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6E45B4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C61D50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5F4A5246"/>
    <w:multiLevelType w:val="hybridMultilevel"/>
    <w:tmpl w:val="FD5416F8"/>
    <w:lvl w:ilvl="0" w:tplc="7A521CEC">
      <w:start w:val="1"/>
      <w:numFmt w:val="bullet"/>
      <w:lvlText w:val="-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1" w:tplc="006A57FC">
      <w:start w:val="1"/>
      <w:numFmt w:val="bullet"/>
      <w:lvlText w:val="-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2" w:tplc="B040378C">
      <w:start w:val="1"/>
      <w:numFmt w:val="bullet"/>
      <w:lvlText w:val="-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3" w:tplc="770A511A">
      <w:start w:val="1"/>
      <w:numFmt w:val="bullet"/>
      <w:lvlText w:val="-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4" w:tplc="A5B22E48">
      <w:start w:val="1"/>
      <w:numFmt w:val="bullet"/>
      <w:lvlText w:val="-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5" w:tplc="D406A1A8">
      <w:start w:val="1"/>
      <w:numFmt w:val="bullet"/>
      <w:lvlText w:val="-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6" w:tplc="25F8F284">
      <w:start w:val="1"/>
      <w:numFmt w:val="bullet"/>
      <w:lvlText w:val="-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7" w:tplc="436E4760">
      <w:start w:val="1"/>
      <w:numFmt w:val="bullet"/>
      <w:lvlText w:val="-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8" w:tplc="9B383C68">
      <w:start w:val="1"/>
      <w:numFmt w:val="bullet"/>
      <w:lvlText w:val="-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</w:abstractNum>
  <w:abstractNum w:abstractNumId="18" w15:restartNumberingAfterBreak="0">
    <w:nsid w:val="661F0936"/>
    <w:multiLevelType w:val="hybridMultilevel"/>
    <w:tmpl w:val="0144F5D2"/>
    <w:lvl w:ilvl="0" w:tplc="453EEB5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CA33BA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060D9BC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DE25C04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44B836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2FEE0DC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381A6C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B61F0C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586C6E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6B5726BB"/>
    <w:multiLevelType w:val="hybridMultilevel"/>
    <w:tmpl w:val="34C86EAE"/>
    <w:lvl w:ilvl="0" w:tplc="8EB669B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E23BF2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725AAC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FEB0FE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F092C0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2EEAF66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E2673C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DE02E8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2AF3A4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71FF1BD5"/>
    <w:multiLevelType w:val="hybridMultilevel"/>
    <w:tmpl w:val="067299F4"/>
    <w:lvl w:ilvl="0" w:tplc="AB86BEF8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7830CC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6E5D1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DC6FF4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45CDD1A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841AEA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30A890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E26D0C0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4435C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75B3243D"/>
    <w:multiLevelType w:val="hybridMultilevel"/>
    <w:tmpl w:val="BB180366"/>
    <w:numStyleLink w:val="Numery"/>
  </w:abstractNum>
  <w:abstractNum w:abstractNumId="22" w15:restartNumberingAfterBreak="0">
    <w:nsid w:val="76770245"/>
    <w:multiLevelType w:val="hybridMultilevel"/>
    <w:tmpl w:val="8EFE1E52"/>
    <w:lvl w:ilvl="0" w:tplc="A942C6D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4C6011A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9261A6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28CAE4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9ED0A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8CAAE2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32309C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7027AA8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CC5B64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3"/>
  </w:num>
  <w:num w:numId="2">
    <w:abstractNumId w:val="7"/>
  </w:num>
  <w:num w:numId="3">
    <w:abstractNumId w:val="21"/>
  </w:num>
  <w:num w:numId="4">
    <w:abstractNumId w:val="14"/>
  </w:num>
  <w:num w:numId="5">
    <w:abstractNumId w:val="2"/>
  </w:num>
  <w:num w:numId="6">
    <w:abstractNumId w:val="21"/>
    <w:lvlOverride w:ilvl="0">
      <w:lvl w:ilvl="0" w:tplc="CDE450E2">
        <w:start w:val="1"/>
        <w:numFmt w:val="decimal"/>
        <w:lvlText w:val="%1."/>
        <w:lvlJc w:val="left"/>
        <w:pPr>
          <w:ind w:left="39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E5AE86C">
        <w:start w:val="1"/>
        <w:numFmt w:val="decimal"/>
        <w:lvlText w:val="%2."/>
        <w:lvlJc w:val="left"/>
        <w:pPr>
          <w:ind w:left="75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AA091E2">
        <w:start w:val="1"/>
        <w:numFmt w:val="decimal"/>
        <w:lvlText w:val="%3."/>
        <w:lvlJc w:val="left"/>
        <w:pPr>
          <w:ind w:left="111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9C425A8">
        <w:start w:val="1"/>
        <w:numFmt w:val="decimal"/>
        <w:lvlText w:val="%4."/>
        <w:lvlJc w:val="left"/>
        <w:pPr>
          <w:ind w:left="147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D8AA4A4">
        <w:start w:val="1"/>
        <w:numFmt w:val="decimal"/>
        <w:lvlText w:val="%5."/>
        <w:lvlJc w:val="left"/>
        <w:pPr>
          <w:ind w:left="183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D7E0BEC">
        <w:start w:val="1"/>
        <w:numFmt w:val="decimal"/>
        <w:lvlText w:val="%6."/>
        <w:lvlJc w:val="left"/>
        <w:pPr>
          <w:ind w:left="219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E46F10E">
        <w:start w:val="1"/>
        <w:numFmt w:val="decimal"/>
        <w:lvlText w:val="%7."/>
        <w:lvlJc w:val="left"/>
        <w:pPr>
          <w:ind w:left="255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BB66106">
        <w:start w:val="1"/>
        <w:numFmt w:val="decimal"/>
        <w:lvlText w:val="%8."/>
        <w:lvlJc w:val="left"/>
        <w:pPr>
          <w:ind w:left="291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6DA83A8">
        <w:start w:val="1"/>
        <w:numFmt w:val="decimal"/>
        <w:lvlText w:val="%9."/>
        <w:lvlJc w:val="left"/>
        <w:pPr>
          <w:ind w:left="327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17"/>
  </w:num>
  <w:num w:numId="8">
    <w:abstractNumId w:val="22"/>
  </w:num>
  <w:num w:numId="9">
    <w:abstractNumId w:val="15"/>
  </w:num>
  <w:num w:numId="10">
    <w:abstractNumId w:val="6"/>
  </w:num>
  <w:num w:numId="11">
    <w:abstractNumId w:val="20"/>
  </w:num>
  <w:num w:numId="12">
    <w:abstractNumId w:val="10"/>
  </w:num>
  <w:num w:numId="13">
    <w:abstractNumId w:val="0"/>
  </w:num>
  <w:num w:numId="14">
    <w:abstractNumId w:val="9"/>
  </w:num>
  <w:num w:numId="15">
    <w:abstractNumId w:val="1"/>
  </w:num>
  <w:num w:numId="16">
    <w:abstractNumId w:val="8"/>
  </w:num>
  <w:num w:numId="17">
    <w:abstractNumId w:val="18"/>
  </w:num>
  <w:num w:numId="18">
    <w:abstractNumId w:val="3"/>
  </w:num>
  <w:num w:numId="19">
    <w:abstractNumId w:val="4"/>
  </w:num>
  <w:num w:numId="20">
    <w:abstractNumId w:val="16"/>
  </w:num>
  <w:num w:numId="21">
    <w:abstractNumId w:val="19"/>
  </w:num>
  <w:num w:numId="22">
    <w:abstractNumId w:val="11"/>
  </w:num>
  <w:num w:numId="23">
    <w:abstractNumId w:val="5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7AB"/>
    <w:rsid w:val="0017240B"/>
    <w:rsid w:val="008D07AB"/>
    <w:rsid w:val="00FD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248DEF-02ED-4ECA-8D15-90FDEA408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Latin Modern Roman 9 Regular" w:hAnsi="Latin Modern Roman 9 Regular" w:cs="Arial Unicode MS"/>
      <w:color w:val="000000"/>
      <w:sz w:val="18"/>
      <w:szCs w:val="18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pPr>
      <w:spacing w:after="120"/>
      <w:jc w:val="center"/>
    </w:pPr>
    <w:rPr>
      <w:rFonts w:ascii="Latin Modern Roman Demi 10 Regu" w:hAnsi="Latin Modern Roman Demi 10 Regu" w:cs="Arial Unicode MS"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pPr>
      <w:jc w:val="both"/>
    </w:pPr>
    <w:rPr>
      <w:rFonts w:ascii="Latin Modern Roman 10 Regular" w:eastAsia="Latin Modern Roman 10 Regular" w:hAnsi="Latin Modern Roman 10 Regular" w:cs="Latin Modern Roman 10 Regular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Pr>
      <w:rFonts w:ascii="Latin Modern Roman Demi 10 Regu" w:eastAsia="Latin Modern Roman Demi 10 Regu" w:hAnsi="Latin Modern Roman Demi 10 Regu" w:cs="Latin Modern Roman Demi 10 Regu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Latin Modern Roman 10 Regular" w:eastAsia="Latin Modern Roman 10 Regular" w:hAnsi="Latin Modern Roman 10 Regular" w:cs="Latin Modern Roman 10 Regular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pPr>
      <w:keepNext/>
      <w:spacing w:before="200" w:after="80"/>
      <w:jc w:val="both"/>
    </w:pPr>
    <w:rPr>
      <w:rFonts w:ascii="Latin Modern Roman 12 Bold" w:hAnsi="Latin Modern Roman 12 Bold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2"/>
      </w:numPr>
    </w:pPr>
  </w:style>
  <w:style w:type="numbering" w:customStyle="1" w:styleId="Kreski">
    <w:name w:val="Kreski"/>
    <w:pPr>
      <w:numPr>
        <w:numId w:val="4"/>
      </w:numPr>
    </w:pPr>
  </w:style>
  <w:style w:type="character" w:customStyle="1" w:styleId="Wyrnienie">
    <w:name w:val="Wyróżnienie"/>
    <w:rPr>
      <w:b/>
      <w:bCs/>
    </w:rPr>
  </w:style>
  <w:style w:type="character" w:customStyle="1" w:styleId="Hyperlink0">
    <w:name w:val="Hyperlink.0"/>
    <w:basedOn w:val="Hipercze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ka.Glebocka@mc.gov.pl?subject=Raport%20WIIP%20KRMC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oanna.Baranowska@mc.gov.pl?subject=Raport%20WIIP%20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Latin Modern Roman Demi 10 Regular"/>
        <a:ea typeface="Latin Modern Roman Demi 10 Regular"/>
        <a:cs typeface="Latin Modern Roman Demi 10 Regular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Latin Modern Roman 10 Regular"/>
            <a:ea typeface="Latin Modern Roman 10 Regular"/>
            <a:cs typeface="Latin Modern Roman 10 Regular"/>
            <a:sym typeface="Latin Modern Roman 10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1975</Words>
  <Characters>11856</Characters>
  <Application>Microsoft Office Word</Application>
  <DocSecurity>0</DocSecurity>
  <Lines>98</Lines>
  <Paragraphs>27</Paragraphs>
  <ScaleCrop>false</ScaleCrop>
  <Company>Ministerstwo Cyfryzacji</Company>
  <LinksUpToDate>false</LinksUpToDate>
  <CharactersWithSpaces>13804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Przesław Magdalena</cp:lastModifiedBy>
  <cp:revision>3</cp:revision>
  <dcterms:created xsi:type="dcterms:W3CDTF">2022-08-11T06:12:00Z</dcterms:created>
  <dcterms:modified xsi:type="dcterms:W3CDTF">2022-08-11T06:18:00Z</dcterms:modified>
</cp:coreProperties>
</file>