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2A" w:rsidRPr="00A1070A" w:rsidRDefault="0093672A" w:rsidP="0093672A">
      <w:pPr>
        <w:shd w:val="clear" w:color="auto" w:fill="D9D9D9"/>
        <w:spacing w:before="120" w:after="0" w:line="276" w:lineRule="auto"/>
        <w:jc w:val="center"/>
        <w:rPr>
          <w:rFonts w:cstheme="minorHAnsi"/>
          <w:b/>
          <w:sz w:val="24"/>
          <w:szCs w:val="24"/>
        </w:rPr>
      </w:pPr>
      <w:r w:rsidRPr="00A1070A">
        <w:rPr>
          <w:rFonts w:cstheme="minorHAnsi"/>
          <w:b/>
          <w:sz w:val="24"/>
          <w:szCs w:val="24"/>
        </w:rPr>
        <w:t>ODPOWIEDŹ NA SKARGĘ</w:t>
      </w:r>
    </w:p>
    <w:p w:rsidR="0093672A" w:rsidRPr="0093672A" w:rsidRDefault="0093672A" w:rsidP="0093672A">
      <w:pPr>
        <w:shd w:val="clear" w:color="auto" w:fill="D9D9D9"/>
        <w:spacing w:before="120" w:after="0" w:line="276" w:lineRule="auto"/>
        <w:jc w:val="both"/>
        <w:rPr>
          <w:rFonts w:cstheme="minorHAnsi"/>
        </w:rPr>
      </w:pPr>
      <w:r w:rsidRPr="0093672A">
        <w:rPr>
          <w:rFonts w:cstheme="minorHAnsi"/>
        </w:rPr>
        <w:t>Odpowiedź na skargę nie została uregulowana w ustawie Pzp</w:t>
      </w:r>
      <w:r w:rsidRPr="0093672A">
        <w:rPr>
          <w:rStyle w:val="Odwoanieprzypisudolnego"/>
          <w:rFonts w:cstheme="minorHAnsi"/>
        </w:rPr>
        <w:footnoteReference w:id="1"/>
      </w:r>
      <w:r w:rsidRPr="0093672A">
        <w:rPr>
          <w:rFonts w:cstheme="minorHAnsi"/>
        </w:rPr>
        <w:t>. W związku z odesłaniem do przepisów o postępowaniu apelacyjnym z art. 579 ust. 2 ustawy Pzp</w:t>
      </w:r>
      <w:r w:rsidR="008500A0">
        <w:rPr>
          <w:rFonts w:cstheme="minorHAnsi"/>
        </w:rPr>
        <w:t>,</w:t>
      </w:r>
      <w:r w:rsidRPr="0093672A">
        <w:rPr>
          <w:rFonts w:cstheme="minorHAnsi"/>
        </w:rPr>
        <w:t xml:space="preserve"> należy uznać, że odpowiedź na skargę jest odpowiednikiem odpowiedzi na ap</w:t>
      </w:r>
      <w:r w:rsidR="00B91959">
        <w:rPr>
          <w:rFonts w:cstheme="minorHAnsi"/>
        </w:rPr>
        <w:t>elację, o której mowa w art. 373</w:t>
      </w:r>
      <w:r w:rsidR="00B91959">
        <w:rPr>
          <w:rFonts w:cstheme="minorHAnsi"/>
          <w:vertAlign w:val="superscript"/>
        </w:rPr>
        <w:t xml:space="preserve">1 </w:t>
      </w:r>
      <w:r w:rsidRPr="0093672A">
        <w:rPr>
          <w:rFonts w:cstheme="minorHAnsi"/>
        </w:rPr>
        <w:t>KPC</w:t>
      </w:r>
      <w:r w:rsidRPr="0093672A">
        <w:rPr>
          <w:rStyle w:val="Odwoanieprzypisudolnego"/>
          <w:rFonts w:cstheme="minorHAnsi"/>
        </w:rPr>
        <w:footnoteReference w:id="2"/>
      </w:r>
      <w:r w:rsidRPr="0093672A">
        <w:rPr>
          <w:rFonts w:cstheme="minorHAnsi"/>
        </w:rPr>
        <w:t xml:space="preserve">. </w:t>
      </w:r>
    </w:p>
    <w:p w:rsidR="0093672A" w:rsidRPr="0093672A" w:rsidRDefault="0093672A" w:rsidP="0093672A">
      <w:pPr>
        <w:shd w:val="clear" w:color="auto" w:fill="D9D9D9"/>
        <w:spacing w:before="120" w:after="0" w:line="276" w:lineRule="auto"/>
        <w:jc w:val="both"/>
        <w:rPr>
          <w:rFonts w:cstheme="minorHAnsi"/>
        </w:rPr>
      </w:pPr>
      <w:r w:rsidRPr="0093672A">
        <w:rPr>
          <w:rFonts w:cstheme="minorHAnsi"/>
          <w:i/>
          <w:u w:val="single"/>
        </w:rPr>
        <w:t>Kto i w jakim czasie może wnieść odpowiedź na skargę</w:t>
      </w:r>
      <w:r w:rsidRPr="0093672A">
        <w:rPr>
          <w:rFonts w:cstheme="minorHAnsi"/>
          <w:i/>
        </w:rPr>
        <w:t xml:space="preserve">: </w:t>
      </w:r>
      <w:r w:rsidR="00B91959">
        <w:rPr>
          <w:rFonts w:cstheme="minorHAnsi"/>
        </w:rPr>
        <w:t>Na podstawie art. 373</w:t>
      </w:r>
      <w:r w:rsidR="00B91959">
        <w:rPr>
          <w:rFonts w:cstheme="minorHAnsi"/>
          <w:vertAlign w:val="superscript"/>
        </w:rPr>
        <w:t>1</w:t>
      </w:r>
      <w:r w:rsidR="00B91959">
        <w:rPr>
          <w:rFonts w:cstheme="minorHAnsi"/>
        </w:rPr>
        <w:t xml:space="preserve"> </w:t>
      </w:r>
      <w:r w:rsidRPr="0093672A">
        <w:rPr>
          <w:rFonts w:cstheme="minorHAnsi"/>
        </w:rPr>
        <w:t xml:space="preserve">KPC w zw. z art. 579 ust. 2 ustawy Pzp możliwe jest wniesienie odpowiedzi na skargę w terminie dwóch tygodni od dnia doręczenia odpisu skargi </w:t>
      </w:r>
      <w:r w:rsidR="008500A0">
        <w:rPr>
          <w:rFonts w:cstheme="minorHAnsi"/>
        </w:rPr>
        <w:t>wprost do</w:t>
      </w:r>
      <w:r w:rsidR="000E3689">
        <w:rPr>
          <w:rFonts w:cstheme="minorHAnsi"/>
        </w:rPr>
        <w:t xml:space="preserve"> Sądu Okręgowego w Warszawie – Sądu Zamówień P</w:t>
      </w:r>
      <w:r w:rsidR="008500A0">
        <w:rPr>
          <w:rFonts w:cstheme="minorHAnsi"/>
        </w:rPr>
        <w:t>ublicznych.</w:t>
      </w:r>
      <w:r w:rsidRPr="0093672A">
        <w:rPr>
          <w:rFonts w:cstheme="minorHAnsi"/>
        </w:rPr>
        <w:t xml:space="preserve"> Wniesienie odpowiedzi na skargę jest fakultatywne, a brak skorzystania przez przeciwnika skargi z tego uprawnienia nie zamyka mu drogi do prezentowania swojego st</w:t>
      </w:r>
      <w:r w:rsidR="00C61A7F">
        <w:rPr>
          <w:rFonts w:cstheme="minorHAnsi"/>
        </w:rPr>
        <w:t>anowiska w pismach procesowych –</w:t>
      </w:r>
      <w:r w:rsidR="008500A0">
        <w:rPr>
          <w:rFonts w:cstheme="minorHAnsi"/>
        </w:rPr>
        <w:t xml:space="preserve"> na zasadach określonych w KPC –</w:t>
      </w:r>
      <w:r w:rsidRPr="0093672A">
        <w:rPr>
          <w:rFonts w:cstheme="minorHAnsi"/>
        </w:rPr>
        <w:t xml:space="preserve"> czy też ustnie na rozprawie. Z uwagi jednak na zasadę efektywności i szybkości środków ochrony prawnej na gruncie zamówień publicznych, wniesienie odpowiedzi na skargę uznać należy za dobrą praktykę w postępowaniu skargowym.</w:t>
      </w:r>
    </w:p>
    <w:p w:rsidR="0093672A" w:rsidRPr="0093672A" w:rsidRDefault="0093672A" w:rsidP="0093672A">
      <w:pPr>
        <w:shd w:val="clear" w:color="auto" w:fill="D9D9D9"/>
        <w:spacing w:before="120" w:after="0" w:line="276" w:lineRule="auto"/>
        <w:jc w:val="both"/>
        <w:rPr>
          <w:rFonts w:cstheme="minorHAnsi"/>
        </w:rPr>
      </w:pPr>
      <w:r w:rsidRPr="0093672A">
        <w:rPr>
          <w:rFonts w:cstheme="minorHAnsi"/>
          <w:i/>
          <w:u w:val="single"/>
        </w:rPr>
        <w:t>Wymogi formalne odpowiedzi na skargę</w:t>
      </w:r>
      <w:r w:rsidRPr="0093672A">
        <w:rPr>
          <w:rFonts w:cstheme="minorHAnsi"/>
          <w:i/>
        </w:rPr>
        <w:t xml:space="preserve">: </w:t>
      </w:r>
      <w:r w:rsidRPr="0093672A">
        <w:rPr>
          <w:rFonts w:cstheme="minorHAnsi"/>
        </w:rPr>
        <w:t xml:space="preserve">Odpowiedź na skargę jest pismem procesowym, musi zatem spełniać wymogi formalne, właściwe dla każdego pisma procesowego (art. 126 KPC, art. 128 KPC). Jej wniesienie nie podlega opłacie. </w:t>
      </w:r>
    </w:p>
    <w:p w:rsidR="0093672A" w:rsidRPr="0093672A" w:rsidRDefault="0093672A" w:rsidP="0093672A">
      <w:pPr>
        <w:shd w:val="clear" w:color="auto" w:fill="D9D9D9"/>
        <w:spacing w:before="120" w:after="0" w:line="276" w:lineRule="auto"/>
        <w:jc w:val="both"/>
        <w:rPr>
          <w:rFonts w:cstheme="minorHAnsi"/>
        </w:rPr>
      </w:pPr>
      <w:r w:rsidRPr="0093672A">
        <w:rPr>
          <w:rFonts w:cstheme="minorHAnsi"/>
          <w:i/>
          <w:u w:val="single"/>
        </w:rPr>
        <w:t>Treść odpowiedzi na skargę</w:t>
      </w:r>
      <w:r w:rsidRPr="0093672A">
        <w:rPr>
          <w:rFonts w:cstheme="minorHAnsi"/>
          <w:i/>
        </w:rPr>
        <w:t xml:space="preserve">: </w:t>
      </w:r>
      <w:r w:rsidRPr="0093672A">
        <w:rPr>
          <w:rFonts w:cstheme="minorHAnsi"/>
        </w:rPr>
        <w:t>W odpowiedzi na skargę należy zająć stanowisko co do treści skargi, jej zarzutów i wniosków. W odpowiedzi na skargę można również powołać nowe fakty i dowody, z ograniczeniem wynikającym z art. 381 KPC, co oznacza, że na wnoszącym odpowiedź na skargę ciąży obowiązek wykazania, że nie mogła ich powołać wcześniej.</w:t>
      </w:r>
    </w:p>
    <w:p w:rsidR="0093672A" w:rsidRPr="0093672A" w:rsidRDefault="0093672A" w:rsidP="0093672A">
      <w:pPr>
        <w:shd w:val="clear" w:color="auto" w:fill="D9D9D9"/>
        <w:spacing w:before="120" w:after="0" w:line="276" w:lineRule="auto"/>
        <w:jc w:val="both"/>
        <w:rPr>
          <w:rFonts w:cstheme="minorHAnsi"/>
        </w:rPr>
      </w:pPr>
      <w:r w:rsidRPr="0093672A">
        <w:rPr>
          <w:rFonts w:cstheme="minorHAnsi"/>
          <w:i/>
          <w:u w:val="single"/>
        </w:rPr>
        <w:t>Sposób wniesienia odpowiedzi na skargę</w:t>
      </w:r>
      <w:r w:rsidRPr="0093672A">
        <w:rPr>
          <w:rFonts w:cstheme="minorHAnsi"/>
          <w:i/>
        </w:rPr>
        <w:t xml:space="preserve">: </w:t>
      </w:r>
      <w:r w:rsidRPr="0093672A">
        <w:rPr>
          <w:rFonts w:cstheme="minorHAnsi"/>
        </w:rPr>
        <w:t>Odpowiedź na skargę powinna być wniesiona zgodnie z przepisami KPC. W sytuacji gdy wnoszący odpowiedź na skargę jest reprezentowany przez profesjonalnego pełnomocnika, winien doręczyć jej odpis bezpośrednio innym uczestnikom postępowania skargowego również reprezentowanym przez profesjonalnych pełnomocników (art. 132 § 1 KPC w zw. z art. 579 ust. 2 ustawy Pzp). Jeśli taka sytuacja nie zachodzi, do sądu należy złożyć odpisy pisma.</w:t>
      </w:r>
    </w:p>
    <w:p w:rsidR="0093672A" w:rsidRPr="0093672A" w:rsidRDefault="0093672A" w:rsidP="0093672A">
      <w:pPr>
        <w:shd w:val="clear" w:color="auto" w:fill="D9D9D9"/>
        <w:spacing w:before="120" w:after="0" w:line="276" w:lineRule="auto"/>
        <w:jc w:val="both"/>
        <w:rPr>
          <w:rFonts w:cstheme="minorHAnsi"/>
          <w:i/>
        </w:rPr>
      </w:pPr>
      <w:r w:rsidRPr="0093672A">
        <w:rPr>
          <w:rFonts w:cstheme="minorHAnsi"/>
          <w:i/>
        </w:rPr>
        <w:t xml:space="preserve">Dokument ma charakter przykładowy i dotyczy sytuacji, gdy wnoszącym odpowiedź na skargę jest Zamawiający reprezentowany przez profesjonalnego pełnomocnika. </w:t>
      </w:r>
    </w:p>
    <w:p w:rsidR="00565A87" w:rsidRPr="0093672A" w:rsidRDefault="00565A87" w:rsidP="0093672A">
      <w:pPr>
        <w:shd w:val="clear" w:color="auto" w:fill="D9D9D9"/>
        <w:spacing w:before="120" w:after="0" w:line="276" w:lineRule="auto"/>
        <w:jc w:val="both"/>
        <w:rPr>
          <w:rFonts w:cstheme="minorHAnsi"/>
          <w:i/>
        </w:rPr>
      </w:pPr>
      <w:r w:rsidRPr="0093672A">
        <w:rPr>
          <w:rFonts w:cstheme="minorHAnsi"/>
          <w:i/>
        </w:rPr>
        <w:t xml:space="preserve">Dokument został opracowany według stanu prawnego na dzień </w:t>
      </w:r>
      <w:r w:rsidR="00B91959">
        <w:rPr>
          <w:rFonts w:cstheme="minorHAnsi"/>
          <w:i/>
        </w:rPr>
        <w:t xml:space="preserve">21 października </w:t>
      </w:r>
      <w:r w:rsidRPr="0093672A">
        <w:rPr>
          <w:rFonts w:cstheme="minorHAnsi"/>
          <w:i/>
        </w:rPr>
        <w:t xml:space="preserve">2022 r. </w:t>
      </w:r>
    </w:p>
    <w:p w:rsidR="00565A87" w:rsidRDefault="00565A87" w:rsidP="00565A87">
      <w:pPr>
        <w:spacing w:after="0" w:line="360" w:lineRule="auto"/>
        <w:jc w:val="right"/>
        <w:rPr>
          <w:rFonts w:cstheme="minorHAnsi"/>
        </w:rPr>
      </w:pPr>
    </w:p>
    <w:p w:rsidR="00565A87" w:rsidRPr="00565A87" w:rsidRDefault="00565A87" w:rsidP="00565A87">
      <w:pPr>
        <w:spacing w:after="0" w:line="360" w:lineRule="auto"/>
        <w:jc w:val="right"/>
        <w:rPr>
          <w:rFonts w:eastAsia="Times New Roman" w:cstheme="minorHAnsi"/>
          <w:lang w:eastAsia="pl-PL"/>
        </w:rPr>
      </w:pPr>
      <w:r w:rsidRPr="00565A87">
        <w:rPr>
          <w:rFonts w:eastAsia="Times New Roman" w:cstheme="minorHAnsi"/>
          <w:lang w:eastAsia="pl-PL"/>
        </w:rPr>
        <w:t>………….., dnia…………………… r.</w:t>
      </w:r>
      <w:r w:rsidRPr="00565A87">
        <w:rPr>
          <w:rStyle w:val="Odwoanieprzypisudolnego"/>
          <w:rFonts w:eastAsia="Times New Roman" w:cstheme="minorHAnsi"/>
          <w:lang w:eastAsia="pl-PL"/>
        </w:rPr>
        <w:footnoteReference w:id="3"/>
      </w:r>
    </w:p>
    <w:p w:rsidR="00565A87" w:rsidRPr="00565A87" w:rsidRDefault="00565A87" w:rsidP="00565A87">
      <w:pPr>
        <w:spacing w:after="0" w:line="360" w:lineRule="auto"/>
        <w:jc w:val="both"/>
        <w:rPr>
          <w:rFonts w:eastAsia="Times New Roman" w:cstheme="minorHAnsi"/>
          <w:lang w:eastAsia="pl-PL"/>
        </w:rPr>
      </w:pPr>
    </w:p>
    <w:tbl>
      <w:tblPr>
        <w:tblW w:w="0" w:type="auto"/>
        <w:tblLook w:val="01E0" w:firstRow="1" w:lastRow="1" w:firstColumn="1" w:lastColumn="1" w:noHBand="0" w:noVBand="0"/>
      </w:tblPr>
      <w:tblGrid>
        <w:gridCol w:w="4248"/>
        <w:gridCol w:w="4860"/>
      </w:tblGrid>
      <w:tr w:rsidR="00565A87" w:rsidRPr="00565A87" w:rsidTr="00167C1C">
        <w:tc>
          <w:tcPr>
            <w:tcW w:w="4248" w:type="dxa"/>
          </w:tcPr>
          <w:p w:rsidR="00565A87" w:rsidRPr="00565A87" w:rsidRDefault="00565A87" w:rsidP="00167C1C">
            <w:pPr>
              <w:spacing w:after="0" w:line="360" w:lineRule="auto"/>
              <w:jc w:val="both"/>
              <w:rPr>
                <w:rFonts w:eastAsia="Times New Roman" w:cstheme="minorHAnsi"/>
                <w:b/>
                <w:lang w:eastAsia="pl-PL"/>
              </w:rPr>
            </w:pPr>
          </w:p>
        </w:tc>
        <w:tc>
          <w:tcPr>
            <w:tcW w:w="4860" w:type="dxa"/>
          </w:tcPr>
          <w:p w:rsidR="00565A87" w:rsidRDefault="00565A87" w:rsidP="0093672A">
            <w:pPr>
              <w:spacing w:before="92" w:after="92" w:line="240" w:lineRule="auto"/>
              <w:jc w:val="both"/>
              <w:rPr>
                <w:rFonts w:eastAsia="Times New Roman" w:cstheme="minorHAnsi"/>
                <w:b/>
                <w:lang w:eastAsia="pl-PL"/>
              </w:rPr>
            </w:pPr>
            <w:r w:rsidRPr="00565A87">
              <w:rPr>
                <w:rFonts w:eastAsia="Times New Roman" w:cstheme="minorHAnsi"/>
                <w:b/>
                <w:lang w:eastAsia="pl-PL"/>
              </w:rPr>
              <w:t>SĄD OKRĘGOWY W WARSZAWIE</w:t>
            </w:r>
            <w:r>
              <w:rPr>
                <w:rFonts w:eastAsia="Times New Roman" w:cstheme="minorHAnsi"/>
                <w:b/>
                <w:lang w:eastAsia="pl-PL"/>
              </w:rPr>
              <w:t xml:space="preserve"> – SĄD ZAMÓWIEŃ PUBLICZNYCH </w:t>
            </w:r>
            <w:r w:rsidRPr="00565A87">
              <w:rPr>
                <w:rFonts w:eastAsia="Times New Roman" w:cstheme="minorHAnsi"/>
                <w:b/>
                <w:lang w:eastAsia="pl-PL"/>
              </w:rPr>
              <w:t xml:space="preserve"> </w:t>
            </w:r>
          </w:p>
          <w:p w:rsidR="00565A87" w:rsidRPr="00565A87" w:rsidRDefault="00565A87" w:rsidP="0093672A">
            <w:pPr>
              <w:spacing w:before="92" w:after="92" w:line="240" w:lineRule="auto"/>
              <w:jc w:val="both"/>
              <w:rPr>
                <w:rFonts w:eastAsia="Times New Roman" w:cstheme="minorHAnsi"/>
                <w:b/>
                <w:lang w:eastAsia="pl-PL"/>
              </w:rPr>
            </w:pPr>
            <w:r w:rsidRPr="00565A87">
              <w:rPr>
                <w:rFonts w:eastAsia="Times New Roman" w:cstheme="minorHAnsi"/>
                <w:b/>
                <w:lang w:eastAsia="pl-PL"/>
              </w:rPr>
              <w:t xml:space="preserve">XXIII Wydział Gospodarczy Odwoławczy </w:t>
            </w:r>
            <w:r w:rsidRPr="00565A87">
              <w:rPr>
                <w:rFonts w:eastAsia="Times New Roman" w:cstheme="minorHAnsi"/>
                <w:b/>
                <w:lang w:eastAsia="pl-PL"/>
              </w:rPr>
              <w:br/>
              <w:t xml:space="preserve">i Zamówień Publicznych </w:t>
            </w:r>
          </w:p>
          <w:p w:rsidR="00565A87" w:rsidRPr="00565A87" w:rsidRDefault="00565A87" w:rsidP="0093672A">
            <w:pPr>
              <w:spacing w:before="92" w:after="92" w:line="240" w:lineRule="auto"/>
              <w:jc w:val="both"/>
              <w:rPr>
                <w:rFonts w:eastAsia="Times New Roman" w:cstheme="minorHAnsi"/>
                <w:b/>
                <w:lang w:eastAsia="pl-PL"/>
              </w:rPr>
            </w:pPr>
            <w:r w:rsidRPr="00565A87">
              <w:rPr>
                <w:rFonts w:cstheme="minorHAnsi"/>
                <w:shd w:val="clear" w:color="auto" w:fill="FFFFFF"/>
              </w:rPr>
              <w:lastRenderedPageBreak/>
              <w:t>ul. Czerniakowska 100,</w:t>
            </w:r>
            <w:r w:rsidRPr="00565A87">
              <w:rPr>
                <w:rFonts w:cstheme="minorHAnsi"/>
              </w:rPr>
              <w:t xml:space="preserve"> </w:t>
            </w:r>
            <w:r w:rsidRPr="00565A87">
              <w:rPr>
                <w:rFonts w:cstheme="minorHAnsi"/>
                <w:shd w:val="clear" w:color="auto" w:fill="FFFFFF"/>
              </w:rPr>
              <w:t>00  –  454 Warszawa</w:t>
            </w:r>
            <w:r w:rsidRPr="00565A87">
              <w:rPr>
                <w:rFonts w:eastAsia="Times New Roman" w:cstheme="minorHAnsi"/>
                <w:b/>
                <w:vertAlign w:val="superscript"/>
                <w:lang w:eastAsia="pl-PL"/>
              </w:rPr>
              <w:footnoteReference w:id="4"/>
            </w:r>
          </w:p>
          <w:p w:rsidR="00565A87" w:rsidRPr="00565A87" w:rsidRDefault="00565A87" w:rsidP="00620803">
            <w:pPr>
              <w:spacing w:after="0" w:line="240" w:lineRule="auto"/>
              <w:jc w:val="both"/>
              <w:rPr>
                <w:rFonts w:eastAsia="Times New Roman" w:cstheme="minorHAnsi"/>
                <w:b/>
                <w:lang w:eastAsia="pl-PL"/>
              </w:rPr>
            </w:pPr>
          </w:p>
        </w:tc>
      </w:tr>
      <w:tr w:rsidR="000304DF" w:rsidRPr="00565A87" w:rsidTr="00167C1C">
        <w:trPr>
          <w:trHeight w:val="1196"/>
        </w:trPr>
        <w:tc>
          <w:tcPr>
            <w:tcW w:w="4248" w:type="dxa"/>
            <w:hideMark/>
          </w:tcPr>
          <w:p w:rsidR="000304DF" w:rsidRPr="00565A87" w:rsidRDefault="000304DF" w:rsidP="000304DF">
            <w:pPr>
              <w:spacing w:after="0" w:line="360" w:lineRule="auto"/>
              <w:jc w:val="right"/>
              <w:rPr>
                <w:rFonts w:eastAsia="Times New Roman" w:cstheme="minorHAnsi"/>
                <w:b/>
                <w:lang w:eastAsia="pl-PL"/>
              </w:rPr>
            </w:pPr>
            <w:r w:rsidRPr="00565A87">
              <w:rPr>
                <w:rFonts w:eastAsia="Times New Roman" w:cstheme="minorHAnsi"/>
                <w:b/>
                <w:lang w:eastAsia="pl-PL"/>
              </w:rPr>
              <w:lastRenderedPageBreak/>
              <w:t>Skarżący:</w:t>
            </w:r>
          </w:p>
        </w:tc>
        <w:tc>
          <w:tcPr>
            <w:tcW w:w="4860" w:type="dxa"/>
            <w:hideMark/>
          </w:tcPr>
          <w:p w:rsidR="000304DF" w:rsidRPr="000304DF" w:rsidRDefault="000304DF" w:rsidP="000304DF">
            <w:pPr>
              <w:spacing w:line="240" w:lineRule="auto"/>
              <w:jc w:val="both"/>
              <w:rPr>
                <w:rFonts w:cstheme="minorHAnsi"/>
                <w:b/>
                <w:u w:val="single"/>
              </w:rPr>
            </w:pPr>
            <w:r w:rsidRPr="000304DF">
              <w:rPr>
                <w:rFonts w:cstheme="minorHAnsi"/>
                <w:b/>
                <w:u w:val="single"/>
              </w:rPr>
              <w:t>Odwołujący</w:t>
            </w:r>
          </w:p>
          <w:p w:rsidR="000304DF" w:rsidRPr="000304DF" w:rsidRDefault="000304DF" w:rsidP="000304DF">
            <w:pPr>
              <w:spacing w:line="240" w:lineRule="auto"/>
              <w:jc w:val="both"/>
              <w:rPr>
                <w:rFonts w:cstheme="minorHAnsi"/>
                <w:b/>
              </w:rPr>
            </w:pPr>
            <w:r w:rsidRPr="000304DF">
              <w:rPr>
                <w:rFonts w:cstheme="minorHAnsi"/>
                <w:b/>
              </w:rPr>
              <w:t>…………………………….</w:t>
            </w:r>
          </w:p>
          <w:p w:rsidR="000304DF" w:rsidRPr="000304DF" w:rsidRDefault="000304DF" w:rsidP="000304DF">
            <w:pPr>
              <w:spacing w:line="240" w:lineRule="auto"/>
              <w:jc w:val="both"/>
              <w:rPr>
                <w:rFonts w:cstheme="minorHAnsi"/>
              </w:rPr>
            </w:pPr>
            <w:r w:rsidRPr="000304DF">
              <w:rPr>
                <w:rFonts w:cstheme="minorHAnsi"/>
              </w:rPr>
              <w:t xml:space="preserve">ul……………., .. – … </w:t>
            </w:r>
          </w:p>
          <w:p w:rsidR="000304DF" w:rsidRPr="000304DF" w:rsidRDefault="000304DF" w:rsidP="000304DF">
            <w:pPr>
              <w:spacing w:line="240" w:lineRule="auto"/>
              <w:jc w:val="both"/>
              <w:rPr>
                <w:rFonts w:cstheme="minorHAnsi"/>
                <w:i/>
              </w:rPr>
            </w:pPr>
            <w:r w:rsidRPr="000304DF">
              <w:rPr>
                <w:rFonts w:cstheme="minorHAnsi"/>
                <w:i/>
              </w:rPr>
              <w:t xml:space="preserve">reprezentowany przez: </w:t>
            </w:r>
          </w:p>
          <w:p w:rsidR="000304DF" w:rsidRPr="000304DF" w:rsidRDefault="000304DF" w:rsidP="000304DF">
            <w:pPr>
              <w:spacing w:line="240" w:lineRule="auto"/>
              <w:jc w:val="both"/>
              <w:rPr>
                <w:rFonts w:cstheme="minorHAnsi"/>
              </w:rPr>
            </w:pPr>
            <w:r w:rsidRPr="000304DF">
              <w:rPr>
                <w:rFonts w:cstheme="minorHAnsi"/>
              </w:rPr>
              <w:t>radcę prawnego/adwokata…….</w:t>
            </w:r>
          </w:p>
          <w:p w:rsidR="000304DF" w:rsidRDefault="000304DF" w:rsidP="000304DF">
            <w:pPr>
              <w:spacing w:line="240" w:lineRule="auto"/>
              <w:jc w:val="both"/>
              <w:rPr>
                <w:rFonts w:ascii="Arial" w:hAnsi="Arial" w:cs="Arial"/>
                <w:sz w:val="21"/>
                <w:szCs w:val="21"/>
              </w:rPr>
            </w:pPr>
            <w:r w:rsidRPr="000304DF">
              <w:rPr>
                <w:rFonts w:cstheme="minorHAnsi"/>
              </w:rPr>
              <w:t>ul…….., .. – … …………)</w:t>
            </w:r>
          </w:p>
        </w:tc>
      </w:tr>
      <w:tr w:rsidR="000304DF" w:rsidRPr="00565A87" w:rsidTr="00167C1C">
        <w:tc>
          <w:tcPr>
            <w:tcW w:w="4248" w:type="dxa"/>
            <w:hideMark/>
          </w:tcPr>
          <w:p w:rsidR="000304DF" w:rsidRPr="00565A87" w:rsidRDefault="000304DF" w:rsidP="000304DF">
            <w:pPr>
              <w:spacing w:after="0" w:line="360" w:lineRule="auto"/>
              <w:jc w:val="right"/>
              <w:rPr>
                <w:rFonts w:eastAsia="Times New Roman" w:cstheme="minorHAnsi"/>
                <w:b/>
                <w:lang w:eastAsia="pl-PL"/>
              </w:rPr>
            </w:pPr>
            <w:r w:rsidRPr="00565A87">
              <w:rPr>
                <w:rFonts w:eastAsia="Times New Roman" w:cstheme="minorHAnsi"/>
                <w:b/>
                <w:lang w:eastAsia="pl-PL"/>
              </w:rPr>
              <w:t>Strona przeciwna skargi:</w:t>
            </w:r>
          </w:p>
          <w:p w:rsidR="000304DF" w:rsidRPr="00565A87" w:rsidRDefault="000304DF" w:rsidP="000304DF">
            <w:pPr>
              <w:spacing w:after="0" w:line="360" w:lineRule="auto"/>
              <w:jc w:val="right"/>
              <w:rPr>
                <w:rFonts w:eastAsia="Times New Roman" w:cstheme="minorHAnsi"/>
                <w:b/>
                <w:lang w:eastAsia="pl-PL"/>
              </w:rPr>
            </w:pPr>
          </w:p>
          <w:p w:rsidR="000304DF" w:rsidRPr="00565A87" w:rsidRDefault="000304DF" w:rsidP="000304DF">
            <w:pPr>
              <w:spacing w:after="0" w:line="360" w:lineRule="auto"/>
              <w:jc w:val="right"/>
              <w:rPr>
                <w:rFonts w:eastAsia="Times New Roman" w:cstheme="minorHAnsi"/>
                <w:b/>
                <w:lang w:eastAsia="pl-PL"/>
              </w:rPr>
            </w:pPr>
          </w:p>
          <w:p w:rsidR="000304DF" w:rsidRPr="00565A87" w:rsidRDefault="000304DF" w:rsidP="000304DF">
            <w:pPr>
              <w:spacing w:after="0" w:line="360" w:lineRule="auto"/>
              <w:jc w:val="right"/>
              <w:rPr>
                <w:rFonts w:eastAsia="Times New Roman" w:cstheme="minorHAnsi"/>
                <w:b/>
                <w:lang w:eastAsia="pl-PL"/>
              </w:rPr>
            </w:pPr>
          </w:p>
          <w:p w:rsidR="000304DF" w:rsidRPr="00565A87" w:rsidRDefault="000304DF" w:rsidP="000304DF">
            <w:pPr>
              <w:spacing w:after="0" w:line="360" w:lineRule="auto"/>
              <w:jc w:val="right"/>
              <w:rPr>
                <w:rFonts w:eastAsia="Times New Roman" w:cstheme="minorHAnsi"/>
                <w:b/>
                <w:lang w:eastAsia="pl-PL"/>
              </w:rPr>
            </w:pPr>
          </w:p>
          <w:p w:rsidR="000304DF" w:rsidRPr="00565A87" w:rsidRDefault="000304DF" w:rsidP="000304DF">
            <w:pPr>
              <w:spacing w:after="0" w:line="360" w:lineRule="auto"/>
              <w:jc w:val="right"/>
              <w:rPr>
                <w:rFonts w:eastAsia="Times New Roman" w:cstheme="minorHAnsi"/>
                <w:b/>
                <w:lang w:eastAsia="pl-PL"/>
              </w:rPr>
            </w:pPr>
          </w:p>
          <w:p w:rsidR="000304DF" w:rsidRPr="00565A87" w:rsidRDefault="008500A0" w:rsidP="008500A0">
            <w:pPr>
              <w:spacing w:after="0" w:line="360" w:lineRule="auto"/>
              <w:jc w:val="right"/>
              <w:rPr>
                <w:rFonts w:eastAsia="Times New Roman" w:cstheme="minorHAnsi"/>
                <w:b/>
                <w:lang w:eastAsia="pl-PL"/>
              </w:rPr>
            </w:pPr>
            <w:r w:rsidRPr="00565A87">
              <w:rPr>
                <w:rFonts w:eastAsia="Times New Roman" w:cstheme="minorHAnsi"/>
                <w:b/>
                <w:lang w:eastAsia="pl-PL"/>
              </w:rPr>
              <w:t>Uczestnicy:</w:t>
            </w:r>
          </w:p>
        </w:tc>
        <w:tc>
          <w:tcPr>
            <w:tcW w:w="4860" w:type="dxa"/>
            <w:hideMark/>
          </w:tcPr>
          <w:p w:rsidR="000304DF" w:rsidRPr="00565A87" w:rsidRDefault="000304DF" w:rsidP="000304DF">
            <w:pPr>
              <w:numPr>
                <w:ilvl w:val="0"/>
                <w:numId w:val="20"/>
              </w:numPr>
              <w:spacing w:after="0" w:line="240" w:lineRule="auto"/>
              <w:jc w:val="both"/>
              <w:rPr>
                <w:rFonts w:eastAsia="Times New Roman" w:cstheme="minorHAnsi"/>
                <w:b/>
                <w:u w:val="single"/>
                <w:lang w:eastAsia="pl-PL"/>
              </w:rPr>
            </w:pPr>
            <w:r w:rsidRPr="00565A87">
              <w:rPr>
                <w:rFonts w:eastAsia="Times New Roman" w:cstheme="minorHAnsi"/>
                <w:b/>
                <w:u w:val="single"/>
                <w:lang w:eastAsia="pl-PL"/>
              </w:rPr>
              <w:t>Zamawiający</w:t>
            </w:r>
          </w:p>
          <w:p w:rsidR="000304DF" w:rsidRPr="00565A87" w:rsidRDefault="000304DF" w:rsidP="000304DF">
            <w:pPr>
              <w:spacing w:before="120" w:after="0" w:line="240" w:lineRule="auto"/>
              <w:jc w:val="both"/>
              <w:rPr>
                <w:rFonts w:eastAsia="Times New Roman" w:cstheme="minorHAnsi"/>
                <w:b/>
                <w:lang w:eastAsia="pl-PL"/>
              </w:rPr>
            </w:pPr>
            <w:r w:rsidRPr="00565A87">
              <w:rPr>
                <w:rFonts w:eastAsia="Times New Roman" w:cstheme="minorHAnsi"/>
                <w:b/>
                <w:lang w:eastAsia="pl-PL"/>
              </w:rPr>
              <w:t xml:space="preserve">……………………………… </w:t>
            </w:r>
          </w:p>
          <w:p w:rsidR="000304DF" w:rsidRPr="00565A87" w:rsidRDefault="000304DF" w:rsidP="000304DF">
            <w:pPr>
              <w:spacing w:before="120" w:after="0" w:line="240" w:lineRule="auto"/>
              <w:jc w:val="both"/>
              <w:rPr>
                <w:rFonts w:eastAsia="Times New Roman" w:cstheme="minorHAnsi"/>
                <w:lang w:eastAsia="pl-PL"/>
              </w:rPr>
            </w:pPr>
            <w:r w:rsidRPr="00565A87">
              <w:rPr>
                <w:rFonts w:eastAsia="Times New Roman" w:cstheme="minorHAnsi"/>
                <w:lang w:eastAsia="pl-PL"/>
              </w:rPr>
              <w:t>ul. ………., .. – …….</w:t>
            </w:r>
          </w:p>
          <w:p w:rsidR="000304DF" w:rsidRPr="00565A87" w:rsidRDefault="000304DF" w:rsidP="000304DF">
            <w:pPr>
              <w:spacing w:before="120" w:after="0" w:line="240" w:lineRule="auto"/>
              <w:jc w:val="both"/>
              <w:rPr>
                <w:rFonts w:eastAsia="Times New Roman" w:cstheme="minorHAnsi"/>
                <w:lang w:eastAsia="pl-PL"/>
              </w:rPr>
            </w:pPr>
            <w:r w:rsidRPr="00565A87">
              <w:rPr>
                <w:rFonts w:eastAsia="Times New Roman" w:cstheme="minorHAnsi"/>
                <w:i/>
                <w:lang w:eastAsia="pl-PL"/>
              </w:rPr>
              <w:t>reprezentowany przez:</w:t>
            </w:r>
            <w:r w:rsidRPr="00565A87">
              <w:rPr>
                <w:rFonts w:eastAsia="Times New Roman" w:cstheme="minorHAnsi"/>
                <w:lang w:eastAsia="pl-PL"/>
              </w:rPr>
              <w:t xml:space="preserve"> ………………………..</w:t>
            </w:r>
          </w:p>
          <w:p w:rsidR="000304DF" w:rsidRPr="00565A87" w:rsidRDefault="000304DF" w:rsidP="000304DF">
            <w:pPr>
              <w:spacing w:before="120" w:after="0" w:line="240" w:lineRule="auto"/>
              <w:jc w:val="both"/>
              <w:rPr>
                <w:rFonts w:eastAsia="Times New Roman" w:cstheme="minorHAnsi"/>
                <w:lang w:eastAsia="pl-PL"/>
              </w:rPr>
            </w:pPr>
            <w:r w:rsidRPr="00565A87">
              <w:rPr>
                <w:rFonts w:eastAsia="Times New Roman" w:cstheme="minorHAnsi"/>
                <w:lang w:eastAsia="pl-PL"/>
              </w:rPr>
              <w:t>ul…….., ..</w:t>
            </w:r>
            <w:r>
              <w:rPr>
                <w:rFonts w:eastAsia="Times New Roman" w:cstheme="minorHAnsi"/>
                <w:lang w:eastAsia="pl-PL"/>
              </w:rPr>
              <w:t xml:space="preserve"> – … ……</w:t>
            </w:r>
          </w:p>
          <w:p w:rsidR="000304DF" w:rsidRPr="00565A87" w:rsidRDefault="000304DF" w:rsidP="000304DF">
            <w:pPr>
              <w:spacing w:before="120" w:after="0" w:line="240" w:lineRule="auto"/>
              <w:jc w:val="both"/>
              <w:rPr>
                <w:rFonts w:eastAsia="Times New Roman" w:cstheme="minorHAnsi"/>
                <w:b/>
                <w:color w:val="FF0000"/>
                <w:lang w:eastAsia="pl-PL"/>
              </w:rPr>
            </w:pPr>
          </w:p>
          <w:p w:rsidR="000304DF" w:rsidRPr="00565A87" w:rsidRDefault="000304DF" w:rsidP="008500A0">
            <w:pPr>
              <w:tabs>
                <w:tab w:val="left" w:pos="506"/>
              </w:tabs>
              <w:spacing w:before="120" w:after="0" w:line="240" w:lineRule="auto"/>
              <w:ind w:hanging="2688"/>
              <w:jc w:val="both"/>
              <w:rPr>
                <w:rFonts w:eastAsia="Times New Roman" w:cstheme="minorHAnsi"/>
                <w:lang w:eastAsia="pl-PL"/>
              </w:rPr>
            </w:pPr>
            <w:r w:rsidRPr="00565A87">
              <w:rPr>
                <w:rFonts w:eastAsia="Times New Roman" w:cstheme="minorHAnsi"/>
                <w:lang w:eastAsia="pl-PL"/>
              </w:rPr>
              <w:tab/>
            </w:r>
            <w:r w:rsidRPr="00565A87">
              <w:rPr>
                <w:rFonts w:eastAsia="Times New Roman" w:cstheme="minorHAnsi"/>
                <w:b/>
                <w:lang w:eastAsia="pl-PL"/>
              </w:rPr>
              <w:t xml:space="preserve">I. </w:t>
            </w:r>
            <w:r w:rsidRPr="00565A87">
              <w:rPr>
                <w:rFonts w:eastAsia="Times New Roman" w:cstheme="minorHAnsi"/>
                <w:b/>
                <w:u w:val="single"/>
                <w:lang w:eastAsia="pl-PL"/>
              </w:rPr>
              <w:t>Przystępujący do postępowania odwoławczego po stronie Zamawiającego</w:t>
            </w:r>
          </w:p>
        </w:tc>
      </w:tr>
      <w:tr w:rsidR="000304DF" w:rsidRPr="00565A87" w:rsidTr="00167C1C">
        <w:tc>
          <w:tcPr>
            <w:tcW w:w="4248" w:type="dxa"/>
          </w:tcPr>
          <w:p w:rsidR="000304DF" w:rsidRPr="00565A87" w:rsidRDefault="000304DF" w:rsidP="000304DF">
            <w:pPr>
              <w:spacing w:after="0" w:line="360" w:lineRule="auto"/>
              <w:jc w:val="right"/>
              <w:rPr>
                <w:rFonts w:eastAsia="Times New Roman" w:cstheme="minorHAnsi"/>
                <w:b/>
                <w:lang w:eastAsia="pl-PL"/>
              </w:rPr>
            </w:pPr>
          </w:p>
        </w:tc>
        <w:tc>
          <w:tcPr>
            <w:tcW w:w="4860" w:type="dxa"/>
            <w:hideMark/>
          </w:tcPr>
          <w:p w:rsidR="000304DF" w:rsidRPr="00565A87" w:rsidRDefault="000304DF" w:rsidP="000304DF">
            <w:pPr>
              <w:tabs>
                <w:tab w:val="left" w:pos="587"/>
              </w:tabs>
              <w:spacing w:after="0" w:line="240" w:lineRule="auto"/>
              <w:jc w:val="both"/>
              <w:rPr>
                <w:rFonts w:eastAsia="Times New Roman" w:cstheme="minorHAnsi"/>
                <w:b/>
                <w:lang w:eastAsia="pl-PL"/>
              </w:rPr>
            </w:pPr>
            <w:r w:rsidRPr="00565A87">
              <w:rPr>
                <w:rFonts w:eastAsia="Times New Roman" w:cstheme="minorHAnsi"/>
                <w:b/>
                <w:lang w:eastAsia="pl-PL"/>
              </w:rPr>
              <w:t>…. ……….</w:t>
            </w:r>
          </w:p>
          <w:p w:rsidR="000304DF" w:rsidRPr="00565A87" w:rsidRDefault="000304DF" w:rsidP="000304DF">
            <w:pPr>
              <w:tabs>
                <w:tab w:val="left" w:pos="587"/>
              </w:tabs>
              <w:spacing w:after="0" w:line="240" w:lineRule="auto"/>
              <w:jc w:val="both"/>
              <w:rPr>
                <w:rFonts w:eastAsia="Times New Roman" w:cstheme="minorHAnsi"/>
                <w:lang w:eastAsia="pl-PL"/>
              </w:rPr>
            </w:pPr>
            <w:r w:rsidRPr="00565A87">
              <w:rPr>
                <w:rFonts w:eastAsia="Times New Roman" w:cstheme="minorHAnsi"/>
                <w:lang w:eastAsia="pl-PL"/>
              </w:rPr>
              <w:t>ul. ……….…, .. – …. ………………………….</w:t>
            </w:r>
          </w:p>
          <w:p w:rsidR="008500A0" w:rsidRDefault="000304DF" w:rsidP="000304DF">
            <w:pPr>
              <w:spacing w:after="0" w:line="240" w:lineRule="auto"/>
              <w:jc w:val="both"/>
              <w:rPr>
                <w:rFonts w:eastAsia="Times New Roman" w:cstheme="minorHAnsi"/>
                <w:b/>
                <w:lang w:eastAsia="pl-PL"/>
              </w:rPr>
            </w:pPr>
            <w:r w:rsidRPr="00565A87">
              <w:rPr>
                <w:rFonts w:eastAsia="Times New Roman" w:cstheme="minorHAnsi"/>
                <w:b/>
                <w:lang w:eastAsia="pl-PL"/>
              </w:rPr>
              <w:t xml:space="preserve">II. </w:t>
            </w:r>
            <w:r w:rsidRPr="00565A87">
              <w:rPr>
                <w:rFonts w:eastAsia="Times New Roman" w:cstheme="minorHAnsi"/>
                <w:b/>
                <w:u w:val="single"/>
                <w:lang w:eastAsia="pl-PL"/>
              </w:rPr>
              <w:t>Przystępujący do postępowania odwoławczego po stronie Odwołującego</w:t>
            </w:r>
            <w:r w:rsidRPr="00565A87">
              <w:rPr>
                <w:rFonts w:eastAsia="Times New Roman" w:cstheme="minorHAnsi"/>
                <w:b/>
                <w:lang w:eastAsia="pl-PL"/>
              </w:rPr>
              <w:t xml:space="preserve"> </w:t>
            </w:r>
          </w:p>
          <w:p w:rsidR="000304DF" w:rsidRPr="00565A87" w:rsidRDefault="000304DF" w:rsidP="000304DF">
            <w:pPr>
              <w:spacing w:after="0" w:line="240" w:lineRule="auto"/>
              <w:jc w:val="both"/>
              <w:rPr>
                <w:rFonts w:eastAsia="Times New Roman" w:cstheme="minorHAnsi"/>
                <w:lang w:eastAsia="pl-PL"/>
              </w:rPr>
            </w:pPr>
            <w:r w:rsidRPr="00565A87">
              <w:rPr>
                <w:rFonts w:eastAsia="Times New Roman" w:cstheme="minorHAnsi"/>
                <w:b/>
                <w:lang w:eastAsia="pl-PL"/>
              </w:rPr>
              <w:t>……………</w:t>
            </w:r>
            <w:r w:rsidRPr="00565A87">
              <w:rPr>
                <w:rFonts w:eastAsia="Times New Roman" w:cstheme="minorHAnsi"/>
                <w:lang w:eastAsia="pl-PL"/>
              </w:rPr>
              <w:t xml:space="preserve"> </w:t>
            </w:r>
          </w:p>
          <w:p w:rsidR="000304DF" w:rsidRPr="00565A87" w:rsidRDefault="000304DF" w:rsidP="000304DF">
            <w:pPr>
              <w:spacing w:after="0" w:line="240" w:lineRule="auto"/>
              <w:jc w:val="both"/>
              <w:rPr>
                <w:rFonts w:eastAsia="Times New Roman" w:cstheme="minorHAnsi"/>
                <w:lang w:eastAsia="pl-PL"/>
              </w:rPr>
            </w:pPr>
            <w:r w:rsidRPr="00565A87">
              <w:rPr>
                <w:rFonts w:eastAsia="Times New Roman" w:cstheme="minorHAnsi"/>
                <w:lang w:eastAsia="pl-PL"/>
              </w:rPr>
              <w:t>ul. …………., .. – … …………….</w:t>
            </w:r>
          </w:p>
        </w:tc>
      </w:tr>
    </w:tbl>
    <w:p w:rsidR="0093672A" w:rsidRPr="0093672A" w:rsidRDefault="00217F77" w:rsidP="0093672A">
      <w:pPr>
        <w:spacing w:line="276" w:lineRule="auto"/>
        <w:jc w:val="both"/>
        <w:rPr>
          <w:rFonts w:cstheme="minorHAnsi"/>
          <w:b/>
          <w:u w:val="single"/>
        </w:rPr>
      </w:pPr>
      <w:r>
        <w:rPr>
          <w:rFonts w:cstheme="minorHAnsi"/>
          <w:b/>
          <w:u w:val="single"/>
        </w:rPr>
        <w:t>Sygn. akt: …./..</w:t>
      </w:r>
      <w:r w:rsidR="0093672A" w:rsidRPr="0093672A">
        <w:rPr>
          <w:rStyle w:val="Odwoanieprzypisudolnego"/>
          <w:rFonts w:cstheme="minorHAnsi"/>
          <w:b/>
          <w:u w:val="single"/>
        </w:rPr>
        <w:footnoteReference w:id="5"/>
      </w:r>
    </w:p>
    <w:p w:rsidR="0093672A" w:rsidRPr="0093672A" w:rsidRDefault="0093672A" w:rsidP="0093672A">
      <w:pPr>
        <w:spacing w:line="276" w:lineRule="auto"/>
        <w:jc w:val="center"/>
        <w:rPr>
          <w:rFonts w:cstheme="minorHAnsi"/>
          <w:b/>
        </w:rPr>
      </w:pPr>
    </w:p>
    <w:p w:rsidR="0093672A" w:rsidRPr="0093672A" w:rsidRDefault="0093672A" w:rsidP="0093672A">
      <w:pPr>
        <w:spacing w:line="276" w:lineRule="auto"/>
        <w:jc w:val="center"/>
        <w:rPr>
          <w:rFonts w:cstheme="minorHAnsi"/>
          <w:b/>
        </w:rPr>
      </w:pPr>
      <w:r w:rsidRPr="0093672A">
        <w:rPr>
          <w:rFonts w:cstheme="minorHAnsi"/>
          <w:b/>
        </w:rPr>
        <w:t>ODPOWIEDŹ ZAMAWIAJĄCEGO</w:t>
      </w:r>
      <w:r w:rsidR="00A80A6F">
        <w:rPr>
          <w:rStyle w:val="Odwoanieprzypisudolnego"/>
          <w:rFonts w:cstheme="minorHAnsi"/>
          <w:b/>
        </w:rPr>
        <w:footnoteReference w:id="6"/>
      </w:r>
      <w:r w:rsidRPr="0093672A">
        <w:rPr>
          <w:rFonts w:cstheme="minorHAnsi"/>
          <w:b/>
        </w:rPr>
        <w:t xml:space="preserve"> NA SKARGĘ …….</w:t>
      </w:r>
      <w:r w:rsidRPr="0093672A">
        <w:rPr>
          <w:rStyle w:val="Odwoanieprzypisudolnego"/>
          <w:rFonts w:cstheme="minorHAnsi"/>
          <w:b/>
        </w:rPr>
        <w:footnoteReference w:id="7"/>
      </w:r>
      <w:r w:rsidRPr="0093672A">
        <w:rPr>
          <w:rFonts w:cstheme="minorHAnsi"/>
          <w:b/>
        </w:rPr>
        <w:t xml:space="preserve"> NA WYROK</w:t>
      </w:r>
      <w:r w:rsidR="00FE700E">
        <w:rPr>
          <w:rFonts w:cstheme="minorHAnsi"/>
          <w:b/>
        </w:rPr>
        <w:t xml:space="preserve"> </w:t>
      </w:r>
      <w:r w:rsidR="00FE700E" w:rsidRPr="00FE700E">
        <w:rPr>
          <w:rFonts w:cstheme="minorHAnsi"/>
          <w:b/>
        </w:rPr>
        <w:t>KRAJOWEJ IZBY ODWOŁAWCZEJ</w:t>
      </w:r>
      <w:r w:rsidR="00FE700E">
        <w:rPr>
          <w:rFonts w:cstheme="minorHAnsi"/>
          <w:b/>
        </w:rPr>
        <w:t xml:space="preserve"> Z DNIA ….</w:t>
      </w:r>
      <w:r w:rsidR="00FE700E" w:rsidRPr="00FE700E">
        <w:rPr>
          <w:rFonts w:cstheme="minorHAnsi"/>
          <w:b/>
        </w:rPr>
        <w:t xml:space="preserve"> </w:t>
      </w:r>
      <w:r w:rsidR="00FE700E">
        <w:rPr>
          <w:rFonts w:cstheme="minorHAnsi"/>
          <w:b/>
        </w:rPr>
        <w:t>(sygn. akt: …./..)</w:t>
      </w:r>
      <w:r w:rsidRPr="0093672A">
        <w:rPr>
          <w:rFonts w:cstheme="minorHAnsi"/>
          <w:b/>
        </w:rPr>
        <w:t>/POSTANOWIENIE</w:t>
      </w:r>
      <w:r w:rsidR="00A1070A" w:rsidRPr="00A1070A">
        <w:rPr>
          <w:rFonts w:cstheme="minorHAnsi"/>
          <w:b/>
        </w:rPr>
        <w:t xml:space="preserve"> </w:t>
      </w:r>
      <w:r w:rsidR="00A1070A">
        <w:rPr>
          <w:rFonts w:cstheme="minorHAnsi"/>
          <w:b/>
        </w:rPr>
        <w:t>KRAJOWEJ IZBY ODWOŁAWCZEJ</w:t>
      </w:r>
      <w:r w:rsidR="00B91959">
        <w:rPr>
          <w:rFonts w:cstheme="minorHAnsi"/>
          <w:b/>
        </w:rPr>
        <w:t xml:space="preserve"> </w:t>
      </w:r>
      <w:r w:rsidR="00FE700E">
        <w:rPr>
          <w:rFonts w:cstheme="minorHAnsi"/>
          <w:b/>
        </w:rPr>
        <w:t>Z DNIA ….</w:t>
      </w:r>
      <w:r w:rsidR="00B91959">
        <w:rPr>
          <w:rFonts w:cstheme="minorHAnsi"/>
          <w:b/>
        </w:rPr>
        <w:t>(</w:t>
      </w:r>
      <w:r w:rsidR="00FE700E">
        <w:rPr>
          <w:rFonts w:cstheme="minorHAnsi"/>
          <w:b/>
        </w:rPr>
        <w:t>sygn</w:t>
      </w:r>
      <w:r w:rsidR="00B91959">
        <w:rPr>
          <w:rFonts w:cstheme="minorHAnsi"/>
          <w:b/>
        </w:rPr>
        <w:t>. akt: ….</w:t>
      </w:r>
      <w:r w:rsidR="009078D2">
        <w:rPr>
          <w:rFonts w:cstheme="minorHAnsi"/>
          <w:b/>
        </w:rPr>
        <w:t>/..</w:t>
      </w:r>
      <w:r w:rsidR="00B91959">
        <w:rPr>
          <w:rFonts w:cstheme="minorHAnsi"/>
          <w:b/>
        </w:rPr>
        <w:t>)</w:t>
      </w:r>
      <w:r w:rsidR="00A1070A">
        <w:rPr>
          <w:rFonts w:cstheme="minorHAnsi"/>
          <w:b/>
        </w:rPr>
        <w:t>/POSTANOWIENIE PREZESA KRAJOWEJ IZBY ODWOŁAWCZEJ</w:t>
      </w:r>
      <w:r w:rsidR="00620803">
        <w:rPr>
          <w:rFonts w:cstheme="minorHAnsi"/>
          <w:b/>
        </w:rPr>
        <w:t xml:space="preserve"> </w:t>
      </w:r>
      <w:r w:rsidR="00620803" w:rsidRPr="0093672A">
        <w:rPr>
          <w:rFonts w:cstheme="minorHAnsi"/>
          <w:b/>
        </w:rPr>
        <w:t>Z DNIA</w:t>
      </w:r>
      <w:r w:rsidR="00620803">
        <w:rPr>
          <w:rFonts w:cstheme="minorHAnsi"/>
          <w:b/>
        </w:rPr>
        <w:t xml:space="preserve"> ….(sygn. akt: …./..)</w:t>
      </w:r>
      <w:r w:rsidRPr="0093672A">
        <w:rPr>
          <w:rStyle w:val="Odwoanieprzypisudolnego"/>
          <w:rFonts w:cstheme="minorHAnsi"/>
          <w:b/>
        </w:rPr>
        <w:footnoteReference w:id="8"/>
      </w:r>
      <w:r>
        <w:rPr>
          <w:rFonts w:cstheme="minorHAnsi"/>
          <w:b/>
        </w:rPr>
        <w:t xml:space="preserve"> </w:t>
      </w:r>
    </w:p>
    <w:p w:rsidR="0093672A" w:rsidRPr="0093672A" w:rsidRDefault="0093672A" w:rsidP="0093672A">
      <w:pPr>
        <w:spacing w:line="276" w:lineRule="auto"/>
        <w:jc w:val="center"/>
        <w:rPr>
          <w:rFonts w:cstheme="minorHAnsi"/>
          <w:b/>
        </w:rPr>
      </w:pPr>
    </w:p>
    <w:p w:rsidR="0093672A" w:rsidRPr="0093672A" w:rsidRDefault="0093672A" w:rsidP="0093672A">
      <w:pPr>
        <w:tabs>
          <w:tab w:val="left" w:pos="142"/>
        </w:tabs>
        <w:spacing w:after="120" w:line="276" w:lineRule="auto"/>
        <w:ind w:firstLine="426"/>
        <w:jc w:val="both"/>
        <w:rPr>
          <w:rFonts w:cstheme="minorHAnsi"/>
        </w:rPr>
      </w:pPr>
      <w:r w:rsidRPr="0093672A">
        <w:rPr>
          <w:rFonts w:cstheme="minorHAnsi"/>
        </w:rPr>
        <w:tab/>
        <w:t>Działając w imieniu Zamawiającego, na podstawie udzielonego mi pełnomocnictwa, które składam w z</w:t>
      </w:r>
      <w:r w:rsidR="00B91959">
        <w:rPr>
          <w:rFonts w:cstheme="minorHAnsi"/>
        </w:rPr>
        <w:t>ałączeniu, na podstawie art. 373</w:t>
      </w:r>
      <w:r w:rsidR="00B91959">
        <w:rPr>
          <w:rFonts w:cstheme="minorHAnsi"/>
          <w:vertAlign w:val="superscript"/>
        </w:rPr>
        <w:t>1</w:t>
      </w:r>
      <w:r w:rsidRPr="0093672A">
        <w:rPr>
          <w:rFonts w:cstheme="minorHAnsi"/>
        </w:rPr>
        <w:t xml:space="preserve"> KPC w zw. z art. </w:t>
      </w:r>
      <w:r w:rsidR="000304DF">
        <w:rPr>
          <w:rFonts w:cstheme="minorHAnsi"/>
        </w:rPr>
        <w:t xml:space="preserve">579 </w:t>
      </w:r>
      <w:r w:rsidRPr="0093672A">
        <w:rPr>
          <w:rFonts w:cstheme="minorHAnsi"/>
        </w:rPr>
        <w:t xml:space="preserve">ust. 2 ustawy z dnia </w:t>
      </w:r>
      <w:r w:rsidR="000304DF">
        <w:rPr>
          <w:rFonts w:cstheme="minorHAnsi"/>
        </w:rPr>
        <w:t xml:space="preserve">11 września 2021 r. </w:t>
      </w:r>
      <w:r w:rsidRPr="0093672A">
        <w:rPr>
          <w:rFonts w:cstheme="minorHAnsi"/>
        </w:rPr>
        <w:t>Prawo zamówień publicznych [</w:t>
      </w:r>
      <w:r w:rsidR="00B91959">
        <w:rPr>
          <w:rFonts w:cstheme="minorHAnsi"/>
        </w:rPr>
        <w:t>(Dz. U. z 2022 r., poz. 1710</w:t>
      </w:r>
      <w:r w:rsidR="000304DF">
        <w:rPr>
          <w:rFonts w:cstheme="minorHAnsi"/>
        </w:rPr>
        <w:t xml:space="preserve"> </w:t>
      </w:r>
      <w:r w:rsidRPr="0093672A">
        <w:rPr>
          <w:rFonts w:cstheme="minorHAnsi"/>
        </w:rPr>
        <w:t xml:space="preserve">ze zm.), zwanej dalej „ustawą Pzp”], w odpowiedzi na </w:t>
      </w:r>
      <w:r w:rsidRPr="0093672A">
        <w:rPr>
          <w:rFonts w:cstheme="minorHAnsi"/>
        </w:rPr>
        <w:lastRenderedPageBreak/>
        <w:t>skargę wniesioną przez</w:t>
      </w:r>
      <w:r w:rsidRPr="0093672A">
        <w:rPr>
          <w:rStyle w:val="Odwoanieprzypisudolnego"/>
          <w:rFonts w:cstheme="minorHAnsi"/>
        </w:rPr>
        <w:footnoteReference w:id="9"/>
      </w:r>
      <w:r w:rsidRPr="0093672A">
        <w:rPr>
          <w:rFonts w:cstheme="minorHAnsi"/>
        </w:rPr>
        <w:t xml:space="preserve"> ….. na wyrok</w:t>
      </w:r>
      <w:r w:rsidR="00FE700E">
        <w:rPr>
          <w:rFonts w:cstheme="minorHAnsi"/>
        </w:rPr>
        <w:t xml:space="preserve"> Krajowej Izby Odwoławczej </w:t>
      </w:r>
      <w:r w:rsidR="00620803">
        <w:rPr>
          <w:rFonts w:cstheme="minorHAnsi"/>
        </w:rPr>
        <w:t xml:space="preserve">(zwanej dalej „KIO)”) </w:t>
      </w:r>
      <w:r w:rsidR="00FE700E">
        <w:rPr>
          <w:rFonts w:cstheme="minorHAnsi"/>
        </w:rPr>
        <w:t>z dnia ….(sygn.. akt: …./..)</w:t>
      </w:r>
      <w:r w:rsidRPr="0093672A">
        <w:rPr>
          <w:rFonts w:cstheme="minorHAnsi"/>
        </w:rPr>
        <w:t>/postanowienie</w:t>
      </w:r>
      <w:r w:rsidR="000304DF">
        <w:rPr>
          <w:rFonts w:cstheme="minorHAnsi"/>
        </w:rPr>
        <w:t xml:space="preserve"> </w:t>
      </w:r>
      <w:r w:rsidR="00620803">
        <w:rPr>
          <w:rFonts w:cstheme="minorHAnsi"/>
        </w:rPr>
        <w:t xml:space="preserve">KIO </w:t>
      </w:r>
      <w:r w:rsidR="00FE700E">
        <w:rPr>
          <w:rFonts w:cstheme="minorHAnsi"/>
        </w:rPr>
        <w:t>z dnia …. (sygn. akt: …./..)</w:t>
      </w:r>
      <w:r w:rsidR="000304DF" w:rsidRPr="000304DF">
        <w:rPr>
          <w:rFonts w:cstheme="minorHAnsi"/>
        </w:rPr>
        <w:t>/postanowienie Prezesa</w:t>
      </w:r>
      <w:r w:rsidR="00620803">
        <w:rPr>
          <w:rFonts w:cstheme="minorHAnsi"/>
        </w:rPr>
        <w:t xml:space="preserve"> KIO</w:t>
      </w:r>
      <w:r w:rsidRPr="0093672A">
        <w:rPr>
          <w:rStyle w:val="Odwoanieprzypisudolnego"/>
          <w:rFonts w:cstheme="minorHAnsi"/>
        </w:rPr>
        <w:footnoteReference w:id="10"/>
      </w:r>
      <w:r w:rsidRPr="0093672A">
        <w:rPr>
          <w:rFonts w:cstheme="minorHAnsi"/>
        </w:rPr>
        <w:t xml:space="preserve"> z dnia</w:t>
      </w:r>
      <w:r w:rsidR="00FE700E">
        <w:rPr>
          <w:rFonts w:cstheme="minorHAnsi"/>
        </w:rPr>
        <w:t xml:space="preserve"> ….</w:t>
      </w:r>
      <w:r w:rsidRPr="0093672A">
        <w:rPr>
          <w:rFonts w:cstheme="minorHAnsi"/>
        </w:rPr>
        <w:t>(sygn. akt: …../…)</w:t>
      </w:r>
      <w:r w:rsidRPr="0093672A">
        <w:rPr>
          <w:rStyle w:val="Odwoanieprzypisudolnego"/>
          <w:rFonts w:cstheme="minorHAnsi"/>
        </w:rPr>
        <w:footnoteReference w:id="11"/>
      </w:r>
      <w:r w:rsidRPr="0093672A">
        <w:rPr>
          <w:rFonts w:cstheme="minorHAnsi"/>
        </w:rPr>
        <w:t xml:space="preserve"> wnoszę o</w:t>
      </w:r>
      <w:r w:rsidRPr="0093672A">
        <w:rPr>
          <w:rStyle w:val="Odwoanieprzypisudolnego"/>
          <w:rFonts w:cstheme="minorHAnsi"/>
        </w:rPr>
        <w:footnoteReference w:id="12"/>
      </w:r>
      <w:r w:rsidRPr="0093672A">
        <w:rPr>
          <w:rFonts w:cstheme="minorHAnsi"/>
        </w:rPr>
        <w:t xml:space="preserve">: </w:t>
      </w:r>
    </w:p>
    <w:p w:rsidR="00FE700E" w:rsidRDefault="0093672A" w:rsidP="0093672A">
      <w:pPr>
        <w:tabs>
          <w:tab w:val="left" w:pos="142"/>
        </w:tabs>
        <w:spacing w:after="120" w:line="276" w:lineRule="auto"/>
        <w:jc w:val="both"/>
        <w:rPr>
          <w:rFonts w:cstheme="minorHAnsi"/>
        </w:rPr>
      </w:pPr>
      <w:r w:rsidRPr="0093672A">
        <w:rPr>
          <w:rFonts w:cstheme="minorHAnsi"/>
        </w:rPr>
        <w:t>(-)</w:t>
      </w:r>
      <w:r w:rsidRPr="0093672A">
        <w:rPr>
          <w:rFonts w:cstheme="minorHAnsi"/>
        </w:rPr>
        <w:tab/>
      </w:r>
      <w:r w:rsidR="00FE700E">
        <w:rPr>
          <w:rFonts w:cstheme="minorHAnsi"/>
        </w:rPr>
        <w:t>przeprowadzenie rozprawy</w:t>
      </w:r>
      <w:r w:rsidR="00FE700E">
        <w:rPr>
          <w:rStyle w:val="Odwoanieprzypisudolnego"/>
          <w:rFonts w:cstheme="minorHAnsi"/>
        </w:rPr>
        <w:footnoteReference w:id="13"/>
      </w:r>
      <w:r w:rsidR="00FE700E">
        <w:rPr>
          <w:rFonts w:cstheme="minorHAnsi"/>
        </w:rPr>
        <w:t>;</w:t>
      </w:r>
    </w:p>
    <w:p w:rsidR="0093672A" w:rsidRPr="0093672A" w:rsidRDefault="00FE700E" w:rsidP="0093672A">
      <w:pPr>
        <w:tabs>
          <w:tab w:val="left" w:pos="142"/>
        </w:tabs>
        <w:spacing w:after="120" w:line="276" w:lineRule="auto"/>
        <w:jc w:val="both"/>
        <w:rPr>
          <w:rFonts w:cstheme="minorHAnsi"/>
        </w:rPr>
      </w:pPr>
      <w:r>
        <w:rPr>
          <w:rFonts w:cstheme="minorHAnsi"/>
        </w:rPr>
        <w:t>(-)</w:t>
      </w:r>
      <w:r>
        <w:rPr>
          <w:rFonts w:cstheme="minorHAnsi"/>
        </w:rPr>
        <w:tab/>
      </w:r>
      <w:r w:rsidR="0093672A" w:rsidRPr="0093672A">
        <w:rPr>
          <w:rFonts w:cstheme="minorHAnsi"/>
        </w:rPr>
        <w:t>oddalenie skargi na ww. wyrok</w:t>
      </w:r>
      <w:r w:rsidR="00620803">
        <w:rPr>
          <w:rFonts w:cstheme="minorHAnsi"/>
        </w:rPr>
        <w:t xml:space="preserve"> KIO</w:t>
      </w:r>
      <w:r w:rsidR="0093672A" w:rsidRPr="0093672A">
        <w:rPr>
          <w:rFonts w:cstheme="minorHAnsi"/>
        </w:rPr>
        <w:t>/postanowienie</w:t>
      </w:r>
      <w:r w:rsidR="00620803">
        <w:t xml:space="preserve"> </w:t>
      </w:r>
      <w:r w:rsidR="00620803">
        <w:rPr>
          <w:rFonts w:cstheme="minorHAnsi"/>
        </w:rPr>
        <w:t>KIO</w:t>
      </w:r>
      <w:r w:rsidR="000304DF" w:rsidRPr="000304DF">
        <w:rPr>
          <w:rFonts w:cstheme="minorHAnsi"/>
        </w:rPr>
        <w:t>/postanowienie Prezesa</w:t>
      </w:r>
      <w:r w:rsidR="00620803">
        <w:rPr>
          <w:rFonts w:cstheme="minorHAnsi"/>
        </w:rPr>
        <w:t xml:space="preserve"> KIO</w:t>
      </w:r>
      <w:r w:rsidR="0093672A" w:rsidRPr="0093672A">
        <w:rPr>
          <w:rStyle w:val="Odwoanieprzypisudolnego"/>
          <w:rFonts w:cstheme="minorHAnsi"/>
        </w:rPr>
        <w:footnoteReference w:id="14"/>
      </w:r>
      <w:r w:rsidR="0093672A" w:rsidRPr="0093672A">
        <w:rPr>
          <w:rFonts w:cstheme="minorHAnsi"/>
        </w:rPr>
        <w:t xml:space="preserve"> jako oczywiście bezzasadnej, stosownie do treści art. </w:t>
      </w:r>
      <w:r w:rsidR="000304DF">
        <w:rPr>
          <w:rFonts w:cstheme="minorHAnsi"/>
        </w:rPr>
        <w:t xml:space="preserve">588 </w:t>
      </w:r>
      <w:r w:rsidR="0093672A" w:rsidRPr="0093672A">
        <w:rPr>
          <w:rFonts w:cstheme="minorHAnsi"/>
        </w:rPr>
        <w:t>ust. 2 ustawy Pzp;</w:t>
      </w:r>
    </w:p>
    <w:p w:rsidR="0093672A" w:rsidRPr="0093672A" w:rsidRDefault="0093672A" w:rsidP="0093672A">
      <w:pPr>
        <w:tabs>
          <w:tab w:val="left" w:pos="142"/>
        </w:tabs>
        <w:spacing w:after="120" w:line="276" w:lineRule="auto"/>
        <w:jc w:val="both"/>
        <w:rPr>
          <w:rFonts w:cstheme="minorHAnsi"/>
          <w:u w:val="single"/>
        </w:rPr>
      </w:pPr>
      <w:r w:rsidRPr="0093672A">
        <w:rPr>
          <w:rFonts w:cstheme="minorHAnsi"/>
        </w:rPr>
        <w:t>(-)</w:t>
      </w:r>
      <w:r w:rsidRPr="0093672A">
        <w:rPr>
          <w:rFonts w:cstheme="minorHAnsi"/>
        </w:rPr>
        <w:tab/>
        <w:t>odrzucenie skargi na ww. wyrok</w:t>
      </w:r>
      <w:r w:rsidR="00620803">
        <w:rPr>
          <w:rFonts w:cstheme="minorHAnsi"/>
        </w:rPr>
        <w:t xml:space="preserve"> KIO</w:t>
      </w:r>
      <w:r w:rsidRPr="0093672A">
        <w:rPr>
          <w:rFonts w:cstheme="minorHAnsi"/>
        </w:rPr>
        <w:t>/postanowienie</w:t>
      </w:r>
      <w:r w:rsidR="000304DF" w:rsidRPr="000304DF">
        <w:t xml:space="preserve"> </w:t>
      </w:r>
      <w:r w:rsidR="00620803">
        <w:rPr>
          <w:rFonts w:cstheme="minorHAnsi"/>
        </w:rPr>
        <w:t>KIO</w:t>
      </w:r>
      <w:r w:rsidR="000304DF" w:rsidRPr="000304DF">
        <w:rPr>
          <w:rFonts w:cstheme="minorHAnsi"/>
        </w:rPr>
        <w:t>/postanowienie Prezesa</w:t>
      </w:r>
      <w:r w:rsidR="00620803">
        <w:rPr>
          <w:rFonts w:cstheme="minorHAnsi"/>
        </w:rPr>
        <w:t xml:space="preserve"> KIO</w:t>
      </w:r>
      <w:r w:rsidRPr="0093672A">
        <w:rPr>
          <w:rStyle w:val="Odwoanieprzypisudolnego"/>
          <w:rFonts w:cstheme="minorHAnsi"/>
        </w:rPr>
        <w:footnoteReference w:id="15"/>
      </w:r>
      <w:r w:rsidRPr="0093672A">
        <w:rPr>
          <w:rFonts w:cstheme="minorHAnsi"/>
        </w:rPr>
        <w:t xml:space="preserve"> z uwagi na jej wniesienie po upływie terminu, zgodnie z art. </w:t>
      </w:r>
      <w:r w:rsidR="008500A0">
        <w:rPr>
          <w:rFonts w:cstheme="minorHAnsi"/>
        </w:rPr>
        <w:t xml:space="preserve">584 </w:t>
      </w:r>
      <w:r w:rsidRPr="0093672A">
        <w:rPr>
          <w:rFonts w:cstheme="minorHAnsi"/>
        </w:rPr>
        <w:t>ustawy Pzp</w:t>
      </w:r>
      <w:r w:rsidR="00620803">
        <w:rPr>
          <w:rStyle w:val="Odwoanieprzypisudolnego"/>
          <w:rFonts w:cstheme="minorHAnsi"/>
        </w:rPr>
        <w:footnoteReference w:id="16"/>
      </w:r>
      <w:r w:rsidRPr="0093672A">
        <w:rPr>
          <w:rFonts w:cstheme="minorHAnsi"/>
        </w:rPr>
        <w:t>.</w:t>
      </w:r>
    </w:p>
    <w:p w:rsidR="0093672A" w:rsidRPr="0093672A" w:rsidRDefault="0093672A" w:rsidP="0093672A">
      <w:pPr>
        <w:spacing w:after="60" w:line="276" w:lineRule="auto"/>
        <w:ind w:firstLine="708"/>
        <w:jc w:val="both"/>
        <w:rPr>
          <w:rFonts w:cstheme="minorHAnsi"/>
        </w:rPr>
      </w:pPr>
      <w:r w:rsidRPr="0093672A">
        <w:rPr>
          <w:rFonts w:cstheme="minorHAnsi"/>
        </w:rPr>
        <w:t xml:space="preserve">Ponadto, wnoszę o zasądzenie od Skarżącego na rzecz Zamawiającego zwrotu kosztów postępowania skargowego, w tym zwrotu kosztów zastępstwa procesowego według norm przepisanych. </w:t>
      </w:r>
    </w:p>
    <w:p w:rsidR="0093672A" w:rsidRPr="0093672A" w:rsidRDefault="0093672A" w:rsidP="0093672A">
      <w:pPr>
        <w:spacing w:line="276" w:lineRule="auto"/>
        <w:jc w:val="both"/>
        <w:rPr>
          <w:rFonts w:cstheme="minorHAnsi"/>
        </w:rPr>
      </w:pPr>
      <w:r w:rsidRPr="0093672A">
        <w:rPr>
          <w:rFonts w:cstheme="minorHAnsi"/>
        </w:rPr>
        <w:tab/>
        <w:t xml:space="preserve">Jednocześnie, na podstawie art. 381 KPC w zw. z art. </w:t>
      </w:r>
      <w:r w:rsidR="000304DF">
        <w:rPr>
          <w:rFonts w:cstheme="minorHAnsi"/>
        </w:rPr>
        <w:t xml:space="preserve">579 </w:t>
      </w:r>
      <w:r w:rsidRPr="0093672A">
        <w:rPr>
          <w:rFonts w:cstheme="minorHAnsi"/>
        </w:rPr>
        <w:t xml:space="preserve">ust. 2 ustawy Pzp wnoszę o dopuszczenie i przeprowadzenie dowodu z …….. na okoliczność……., którego potrzeba powołania powstała dopiero po zapoznaniu się z uzasadnieniem orzeczenia </w:t>
      </w:r>
      <w:r w:rsidR="00620803">
        <w:rPr>
          <w:rFonts w:cstheme="minorHAnsi"/>
        </w:rPr>
        <w:t>KIO</w:t>
      </w:r>
      <w:r w:rsidR="000304DF">
        <w:rPr>
          <w:rFonts w:cstheme="minorHAnsi"/>
        </w:rPr>
        <w:t>/P</w:t>
      </w:r>
      <w:r w:rsidR="00620803">
        <w:rPr>
          <w:rFonts w:cstheme="minorHAnsi"/>
        </w:rPr>
        <w:t>rezesa KIO</w:t>
      </w:r>
      <w:r w:rsidR="000304DF">
        <w:rPr>
          <w:rStyle w:val="Odwoanieprzypisudolnego"/>
          <w:rFonts w:cstheme="minorHAnsi"/>
        </w:rPr>
        <w:footnoteReference w:id="17"/>
      </w:r>
      <w:r w:rsidR="00CE6A9F">
        <w:rPr>
          <w:rFonts w:cstheme="minorHAnsi"/>
        </w:rPr>
        <w:t xml:space="preserve"> </w:t>
      </w:r>
      <w:r w:rsidRPr="0093672A">
        <w:rPr>
          <w:rFonts w:cstheme="minorHAnsi"/>
        </w:rPr>
        <w:t>oraz treścią skargi, a który nadto ma istotne znaczenie dla rozstrzygnięcia niniejszej sprawy</w:t>
      </w:r>
      <w:r w:rsidRPr="0093672A">
        <w:rPr>
          <w:rStyle w:val="Odwoanieprzypisudolnego"/>
          <w:rFonts w:cstheme="minorHAnsi"/>
        </w:rPr>
        <w:footnoteReference w:id="18"/>
      </w:r>
      <w:r w:rsidRPr="0093672A">
        <w:rPr>
          <w:rFonts w:cstheme="minorHAnsi"/>
        </w:rPr>
        <w:t xml:space="preserve">. </w:t>
      </w:r>
    </w:p>
    <w:p w:rsidR="0093672A" w:rsidRPr="0093672A" w:rsidRDefault="0093672A" w:rsidP="0093672A">
      <w:pPr>
        <w:spacing w:line="276" w:lineRule="auto"/>
        <w:jc w:val="both"/>
        <w:rPr>
          <w:rFonts w:cstheme="minorHAnsi"/>
        </w:rPr>
      </w:pPr>
    </w:p>
    <w:p w:rsidR="0093672A" w:rsidRPr="0093672A" w:rsidRDefault="0093672A" w:rsidP="0093672A">
      <w:pPr>
        <w:spacing w:after="60" w:line="276" w:lineRule="auto"/>
        <w:jc w:val="center"/>
        <w:rPr>
          <w:rFonts w:cstheme="minorHAnsi"/>
          <w:b/>
        </w:rPr>
      </w:pPr>
      <w:r w:rsidRPr="0093672A">
        <w:rPr>
          <w:rFonts w:cstheme="minorHAnsi"/>
          <w:b/>
        </w:rPr>
        <w:t>UZASADNIENIE</w:t>
      </w:r>
      <w:r w:rsidRPr="0093672A">
        <w:rPr>
          <w:rStyle w:val="Odwoanieprzypisudolnego"/>
          <w:rFonts w:cstheme="minorHAnsi"/>
          <w:b/>
        </w:rPr>
        <w:footnoteReference w:id="19"/>
      </w:r>
    </w:p>
    <w:p w:rsidR="0093672A" w:rsidRPr="0093672A" w:rsidRDefault="0093672A" w:rsidP="0093672A">
      <w:pPr>
        <w:spacing w:after="120" w:line="276" w:lineRule="auto"/>
        <w:jc w:val="both"/>
        <w:rPr>
          <w:rFonts w:cstheme="minorHAnsi"/>
          <w:b/>
        </w:rPr>
      </w:pPr>
      <w:r w:rsidRPr="0093672A">
        <w:rPr>
          <w:rFonts w:cstheme="minorHAnsi"/>
          <w:b/>
        </w:rPr>
        <w:t>………………………………………………………………………………………………………….</w:t>
      </w:r>
    </w:p>
    <w:p w:rsidR="0093672A" w:rsidRPr="0093672A" w:rsidRDefault="0093672A" w:rsidP="0093672A">
      <w:pPr>
        <w:tabs>
          <w:tab w:val="num" w:pos="851"/>
        </w:tabs>
        <w:spacing w:before="360" w:line="276" w:lineRule="auto"/>
        <w:jc w:val="both"/>
        <w:rPr>
          <w:rFonts w:cstheme="minorHAnsi"/>
        </w:rPr>
      </w:pPr>
      <w:r w:rsidRPr="0093672A">
        <w:rPr>
          <w:rFonts w:cstheme="minorHAnsi"/>
        </w:rPr>
        <w:tab/>
        <w:t xml:space="preserve">Mając na uwadze powyższe, wnoszę jak w </w:t>
      </w:r>
      <w:r w:rsidRPr="0093672A">
        <w:rPr>
          <w:rFonts w:cstheme="minorHAnsi"/>
          <w:i/>
        </w:rPr>
        <w:t>petitum</w:t>
      </w:r>
      <w:r w:rsidRPr="0093672A">
        <w:rPr>
          <w:rFonts w:cstheme="minorHAnsi"/>
        </w:rPr>
        <w:t xml:space="preserve"> niniejszego pisma. </w:t>
      </w:r>
    </w:p>
    <w:p w:rsidR="0093672A" w:rsidRPr="0093672A" w:rsidRDefault="0093672A" w:rsidP="0093672A">
      <w:pPr>
        <w:tabs>
          <w:tab w:val="num" w:pos="851"/>
        </w:tabs>
        <w:spacing w:before="360" w:line="276" w:lineRule="auto"/>
        <w:jc w:val="both"/>
        <w:rPr>
          <w:rFonts w:cstheme="minorHAnsi"/>
        </w:rPr>
      </w:pPr>
      <w:r w:rsidRPr="0093672A">
        <w:rPr>
          <w:rFonts w:cstheme="minorHAnsi"/>
        </w:rPr>
        <w:lastRenderedPageBreak/>
        <w:tab/>
        <w:t>Oświadczam, że odpis niniejszego pisma został nadany przesyłką poleconą bezpośrednio do pełnomocnika procesowego Odwołującego, zaś odpis</w:t>
      </w:r>
      <w:r w:rsidR="00620803">
        <w:rPr>
          <w:rFonts w:cstheme="minorHAnsi"/>
        </w:rPr>
        <w:t>y</w:t>
      </w:r>
      <w:r w:rsidRPr="0093672A">
        <w:rPr>
          <w:rFonts w:cstheme="minorHAnsi"/>
        </w:rPr>
        <w:t xml:space="preserve"> pisma dla uczestników postępowania składam w załączeniu</w:t>
      </w:r>
      <w:r w:rsidRPr="0093672A">
        <w:rPr>
          <w:rStyle w:val="Odwoanieprzypisudolnego"/>
          <w:rFonts w:cstheme="minorHAnsi"/>
        </w:rPr>
        <w:footnoteReference w:id="20"/>
      </w:r>
      <w:r w:rsidRPr="0093672A">
        <w:rPr>
          <w:rFonts w:cstheme="minorHAnsi"/>
        </w:rPr>
        <w:t>.</w:t>
      </w:r>
    </w:p>
    <w:p w:rsidR="0093672A" w:rsidRPr="0093672A" w:rsidRDefault="0093672A" w:rsidP="0093672A">
      <w:pPr>
        <w:spacing w:before="120" w:line="276" w:lineRule="auto"/>
        <w:jc w:val="both"/>
        <w:rPr>
          <w:rFonts w:cstheme="minorHAnsi"/>
        </w:rPr>
      </w:pP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rPr>
        <w:tab/>
        <w:t>…………………………………..</w:t>
      </w:r>
    </w:p>
    <w:p w:rsidR="0093672A" w:rsidRPr="0093672A" w:rsidRDefault="0093672A" w:rsidP="0093672A">
      <w:pPr>
        <w:spacing w:before="120" w:line="276" w:lineRule="auto"/>
        <w:jc w:val="both"/>
        <w:rPr>
          <w:rFonts w:cstheme="minorHAnsi"/>
          <w:i/>
        </w:rPr>
      </w:pP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rPr>
        <w:tab/>
      </w:r>
      <w:r w:rsidRPr="0093672A">
        <w:rPr>
          <w:rFonts w:cstheme="minorHAnsi"/>
          <w:i/>
        </w:rPr>
        <w:t>Podpis pełnomocnika Zamawiającego</w:t>
      </w:r>
      <w:r w:rsidRPr="0093672A">
        <w:rPr>
          <w:rStyle w:val="Odwoanieprzypisudolnego"/>
          <w:rFonts w:cstheme="minorHAnsi"/>
          <w:i/>
        </w:rPr>
        <w:footnoteReference w:id="21"/>
      </w:r>
    </w:p>
    <w:p w:rsidR="0093672A" w:rsidRPr="0093672A" w:rsidRDefault="0093672A" w:rsidP="0093672A">
      <w:pPr>
        <w:spacing w:after="0" w:line="276" w:lineRule="auto"/>
        <w:jc w:val="both"/>
        <w:rPr>
          <w:rFonts w:cstheme="minorHAnsi"/>
          <w:u w:val="single"/>
        </w:rPr>
      </w:pPr>
      <w:r w:rsidRPr="0093672A">
        <w:rPr>
          <w:rFonts w:cstheme="minorHAnsi"/>
          <w:u w:val="single"/>
        </w:rPr>
        <w:t>Spis załączników:</w:t>
      </w:r>
      <w:r w:rsidRPr="0093672A">
        <w:rPr>
          <w:rStyle w:val="Odwoanieprzypisudolnego"/>
          <w:rFonts w:cstheme="minorHAnsi"/>
          <w:u w:val="single"/>
        </w:rPr>
        <w:footnoteReference w:id="22"/>
      </w:r>
    </w:p>
    <w:p w:rsidR="0093672A" w:rsidRPr="0093672A" w:rsidRDefault="0093672A" w:rsidP="0093672A">
      <w:pPr>
        <w:numPr>
          <w:ilvl w:val="0"/>
          <w:numId w:val="23"/>
        </w:numPr>
        <w:spacing w:after="0" w:line="276" w:lineRule="auto"/>
        <w:jc w:val="both"/>
        <w:rPr>
          <w:rFonts w:cstheme="minorHAnsi"/>
        </w:rPr>
      </w:pPr>
      <w:r w:rsidRPr="0093672A">
        <w:rPr>
          <w:rFonts w:cstheme="minorHAnsi"/>
        </w:rPr>
        <w:t>pełnomocnictwo wraz z dowodem uiszczenia opłaty skarbowej i dokumentami z których wynika umocowanie do udzielenia pełnomocnictwa</w:t>
      </w:r>
      <w:r w:rsidR="00B91959">
        <w:rPr>
          <w:rStyle w:val="Odwoanieprzypisudolnego"/>
          <w:rFonts w:cstheme="minorHAnsi"/>
        </w:rPr>
        <w:footnoteReference w:id="23"/>
      </w:r>
      <w:r w:rsidRPr="0093672A">
        <w:rPr>
          <w:rFonts w:cstheme="minorHAnsi"/>
        </w:rPr>
        <w:t>;</w:t>
      </w:r>
    </w:p>
    <w:p w:rsidR="0093672A" w:rsidRPr="0093672A" w:rsidRDefault="0093672A" w:rsidP="0093672A">
      <w:pPr>
        <w:numPr>
          <w:ilvl w:val="0"/>
          <w:numId w:val="23"/>
        </w:numPr>
        <w:spacing w:after="0" w:line="276" w:lineRule="auto"/>
        <w:jc w:val="both"/>
        <w:rPr>
          <w:rFonts w:cstheme="minorHAnsi"/>
          <w:u w:val="single"/>
        </w:rPr>
      </w:pPr>
      <w:r w:rsidRPr="0093672A">
        <w:rPr>
          <w:rFonts w:cstheme="minorHAnsi"/>
        </w:rPr>
        <w:t>dowód przesłania odpisu odpowiedzi na skargę pełnomocnikowi procesowemu Odwołującego</w:t>
      </w:r>
      <w:r w:rsidRPr="0093672A">
        <w:rPr>
          <w:rStyle w:val="Odwoanieprzypisudolnego"/>
          <w:rFonts w:cstheme="minorHAnsi"/>
        </w:rPr>
        <w:footnoteReference w:id="24"/>
      </w:r>
      <w:r w:rsidRPr="0093672A">
        <w:rPr>
          <w:rFonts w:cstheme="minorHAnsi"/>
        </w:rPr>
        <w:t>;</w:t>
      </w:r>
    </w:p>
    <w:p w:rsidR="0093672A" w:rsidRPr="0093672A" w:rsidRDefault="0093672A" w:rsidP="0093672A">
      <w:pPr>
        <w:numPr>
          <w:ilvl w:val="0"/>
          <w:numId w:val="23"/>
        </w:numPr>
        <w:spacing w:after="0" w:line="276" w:lineRule="auto"/>
        <w:contextualSpacing/>
        <w:jc w:val="both"/>
        <w:rPr>
          <w:rFonts w:cstheme="minorHAnsi"/>
          <w:u w:val="single"/>
        </w:rPr>
      </w:pPr>
      <w:r w:rsidRPr="0093672A">
        <w:rPr>
          <w:rFonts w:cstheme="minorHAnsi"/>
        </w:rPr>
        <w:t>2 odpisy pisma (dla uczestników postępowania Ad. 1 i Ad. 2)</w:t>
      </w:r>
      <w:r w:rsidRPr="0093672A">
        <w:rPr>
          <w:rStyle w:val="Odwoanieprzypisudolnego"/>
          <w:rFonts w:cstheme="minorHAnsi"/>
        </w:rPr>
        <w:footnoteReference w:id="25"/>
      </w:r>
      <w:r w:rsidRPr="0093672A">
        <w:rPr>
          <w:rFonts w:cstheme="minorHAnsi"/>
        </w:rPr>
        <w:t xml:space="preserve">. </w:t>
      </w:r>
    </w:p>
    <w:p w:rsidR="002B65AC" w:rsidRPr="0093672A" w:rsidRDefault="002B65AC" w:rsidP="0093672A">
      <w:pPr>
        <w:spacing w:line="276" w:lineRule="auto"/>
        <w:rPr>
          <w:rFonts w:cstheme="minorHAnsi"/>
          <w:b/>
        </w:rPr>
      </w:pPr>
    </w:p>
    <w:sectPr w:rsidR="002B65AC" w:rsidRPr="0093672A" w:rsidSect="00773E31">
      <w:headerReference w:type="default" r:id="rId8"/>
      <w:footerReference w:type="default" r:id="rId9"/>
      <w:pgSz w:w="11906" w:h="16838"/>
      <w:pgMar w:top="2127" w:right="851"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96" w:rsidRDefault="00780E96" w:rsidP="000309AE">
      <w:pPr>
        <w:spacing w:after="0" w:line="240" w:lineRule="auto"/>
      </w:pPr>
      <w:r>
        <w:separator/>
      </w:r>
    </w:p>
  </w:endnote>
  <w:endnote w:type="continuationSeparator" w:id="0">
    <w:p w:rsidR="00780E96" w:rsidRDefault="00780E96" w:rsidP="0003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708632"/>
      <w:docPartObj>
        <w:docPartGallery w:val="Page Numbers (Bottom of Page)"/>
        <w:docPartUnique/>
      </w:docPartObj>
    </w:sdtPr>
    <w:sdtEndPr/>
    <w:sdtContent>
      <w:p w:rsidR="006958F7" w:rsidRDefault="006958F7">
        <w:pPr>
          <w:pStyle w:val="Stopka"/>
          <w:jc w:val="right"/>
        </w:pPr>
        <w:r>
          <w:fldChar w:fldCharType="begin"/>
        </w:r>
        <w:r>
          <w:instrText>PAGE   \* MERGEFORMAT</w:instrText>
        </w:r>
        <w:r>
          <w:fldChar w:fldCharType="separate"/>
        </w:r>
        <w:r w:rsidR="00FD2215">
          <w:rPr>
            <w:noProof/>
          </w:rPr>
          <w:t>4</w:t>
        </w:r>
        <w:r>
          <w:fldChar w:fldCharType="end"/>
        </w:r>
      </w:p>
    </w:sdtContent>
  </w:sdt>
  <w:p w:rsidR="006958F7" w:rsidRDefault="006958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96" w:rsidRDefault="00780E96" w:rsidP="000309AE">
      <w:pPr>
        <w:spacing w:after="0" w:line="240" w:lineRule="auto"/>
      </w:pPr>
      <w:r>
        <w:separator/>
      </w:r>
    </w:p>
  </w:footnote>
  <w:footnote w:type="continuationSeparator" w:id="0">
    <w:p w:rsidR="00780E96" w:rsidRDefault="00780E96" w:rsidP="000309AE">
      <w:pPr>
        <w:spacing w:after="0" w:line="240" w:lineRule="auto"/>
      </w:pPr>
      <w:r>
        <w:continuationSeparator/>
      </w:r>
    </w:p>
  </w:footnote>
  <w:footnote w:id="1">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008500A0">
        <w:rPr>
          <w:rFonts w:cstheme="minorHAnsi"/>
          <w:sz w:val="18"/>
          <w:szCs w:val="18"/>
        </w:rPr>
        <w:t xml:space="preserve"> U</w:t>
      </w:r>
      <w:r w:rsidRPr="000304DF">
        <w:rPr>
          <w:rFonts w:cstheme="minorHAnsi"/>
          <w:sz w:val="18"/>
          <w:szCs w:val="18"/>
        </w:rPr>
        <w:t>stawa z dnia 11 września 2019 r. Prawo z</w:t>
      </w:r>
      <w:r w:rsidR="00CE6A9F">
        <w:rPr>
          <w:rFonts w:cstheme="minorHAnsi"/>
          <w:sz w:val="18"/>
          <w:szCs w:val="18"/>
        </w:rPr>
        <w:t>amówień publicznych (Dz. U. 2022 r., poz. 1710</w:t>
      </w:r>
      <w:r w:rsidRPr="000304DF">
        <w:rPr>
          <w:rFonts w:cstheme="minorHAnsi"/>
          <w:sz w:val="18"/>
          <w:szCs w:val="18"/>
        </w:rPr>
        <w:t xml:space="preserve"> ze zm.), zwana dalej „ustawą Pzp”.</w:t>
      </w:r>
    </w:p>
  </w:footnote>
  <w:footnote w:id="2">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Ustawa z dnia z dnia 17 listopada 1964 r. Kodeks postępowania cywilnego (Dz. </w:t>
      </w:r>
      <w:r w:rsidR="000304DF" w:rsidRPr="000304DF">
        <w:rPr>
          <w:rFonts w:cstheme="minorHAnsi"/>
          <w:sz w:val="18"/>
          <w:szCs w:val="18"/>
        </w:rPr>
        <w:t xml:space="preserve">U. z 2021 r., poz. 1805 ze zm.), zwana dalej „KPC”. </w:t>
      </w:r>
    </w:p>
  </w:footnote>
  <w:footnote w:id="3">
    <w:p w:rsidR="00565A87" w:rsidRPr="000304DF" w:rsidRDefault="00565A87"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Wskazać miejscowość i datę. </w:t>
      </w:r>
    </w:p>
  </w:footnote>
  <w:footnote w:id="4">
    <w:p w:rsidR="00565A87" w:rsidRPr="000304DF" w:rsidRDefault="00565A87"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w:t>
      </w:r>
      <w:r w:rsidR="000304DF" w:rsidRPr="000304DF">
        <w:rPr>
          <w:rFonts w:cstheme="minorHAnsi"/>
          <w:sz w:val="18"/>
          <w:szCs w:val="18"/>
        </w:rPr>
        <w:t>Odpowiedź na skargę wnosi się wprost do sądu właściwego do rozpoznania skargi</w:t>
      </w:r>
      <w:r w:rsidR="008500A0">
        <w:rPr>
          <w:rFonts w:cstheme="minorHAnsi"/>
          <w:sz w:val="18"/>
          <w:szCs w:val="18"/>
        </w:rPr>
        <w:t xml:space="preserve"> </w:t>
      </w:r>
      <w:r w:rsidR="008500A0" w:rsidRPr="000304DF">
        <w:rPr>
          <w:rFonts w:cstheme="minorHAnsi"/>
          <w:sz w:val="18"/>
          <w:szCs w:val="18"/>
        </w:rPr>
        <w:t>–</w:t>
      </w:r>
      <w:r w:rsidR="000304DF" w:rsidRPr="000304DF">
        <w:rPr>
          <w:rFonts w:cstheme="minorHAnsi"/>
          <w:sz w:val="18"/>
          <w:szCs w:val="18"/>
        </w:rPr>
        <w:t xml:space="preserve"> do Sądu Okręgowego w Warszawie – sądu</w:t>
      </w:r>
      <w:r w:rsidR="00A80A6F">
        <w:rPr>
          <w:rFonts w:cstheme="minorHAnsi"/>
          <w:sz w:val="18"/>
          <w:szCs w:val="18"/>
        </w:rPr>
        <w:t xml:space="preserve"> zamówień publicznych (art. 373</w:t>
      </w:r>
      <w:r w:rsidR="00A80A6F">
        <w:rPr>
          <w:rFonts w:cstheme="minorHAnsi"/>
          <w:sz w:val="18"/>
          <w:szCs w:val="18"/>
          <w:vertAlign w:val="superscript"/>
        </w:rPr>
        <w:t xml:space="preserve">1 </w:t>
      </w:r>
      <w:r w:rsidR="00A80A6F">
        <w:rPr>
          <w:rFonts w:cstheme="minorHAnsi"/>
          <w:sz w:val="18"/>
          <w:szCs w:val="18"/>
        </w:rPr>
        <w:t xml:space="preserve">KPC </w:t>
      </w:r>
      <w:r w:rsidR="000304DF" w:rsidRPr="000304DF">
        <w:rPr>
          <w:rFonts w:cstheme="minorHAnsi"/>
          <w:sz w:val="18"/>
          <w:szCs w:val="18"/>
        </w:rPr>
        <w:t xml:space="preserve">w zw. z art. 579 ust. 2 ustawy Pzp). </w:t>
      </w:r>
    </w:p>
  </w:footnote>
  <w:footnote w:id="5">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Odpowiedź na skargę powinna zawierać sygnaturę akt sprawy skargowej (por. ar</w:t>
      </w:r>
      <w:r w:rsidR="000304DF" w:rsidRPr="000304DF">
        <w:rPr>
          <w:rFonts w:cstheme="minorHAnsi"/>
          <w:sz w:val="18"/>
          <w:szCs w:val="18"/>
        </w:rPr>
        <w:t xml:space="preserve">t. 126 § 2 KPC </w:t>
      </w:r>
      <w:r w:rsidR="00CE6A9F">
        <w:rPr>
          <w:rFonts w:cstheme="minorHAnsi"/>
          <w:sz w:val="18"/>
          <w:szCs w:val="18"/>
        </w:rPr>
        <w:t xml:space="preserve">w zw. z art. 391 § 1 </w:t>
      </w:r>
      <w:proofErr w:type="spellStart"/>
      <w:r w:rsidR="00CE6A9F">
        <w:rPr>
          <w:rFonts w:cstheme="minorHAnsi"/>
          <w:sz w:val="18"/>
          <w:szCs w:val="18"/>
        </w:rPr>
        <w:t>zd</w:t>
      </w:r>
      <w:proofErr w:type="spellEnd"/>
      <w:r w:rsidR="00CE6A9F">
        <w:rPr>
          <w:rFonts w:cstheme="minorHAnsi"/>
          <w:sz w:val="18"/>
          <w:szCs w:val="18"/>
        </w:rPr>
        <w:t xml:space="preserve">. 1 KPC </w:t>
      </w:r>
      <w:r w:rsidR="000304DF" w:rsidRPr="000304DF">
        <w:rPr>
          <w:rFonts w:cstheme="minorHAnsi"/>
          <w:sz w:val="18"/>
          <w:szCs w:val="18"/>
        </w:rPr>
        <w:t>w zw. z art. 579</w:t>
      </w:r>
      <w:r w:rsidRPr="000304DF">
        <w:rPr>
          <w:rFonts w:cstheme="minorHAnsi"/>
          <w:sz w:val="18"/>
          <w:szCs w:val="18"/>
        </w:rPr>
        <w:t xml:space="preserve"> ust. 2 ustawy Pzp). </w:t>
      </w:r>
    </w:p>
  </w:footnote>
  <w:footnote w:id="6">
    <w:p w:rsidR="00A80A6F" w:rsidRDefault="00A80A6F">
      <w:pPr>
        <w:pStyle w:val="Tekstprzypisudolnego"/>
      </w:pPr>
      <w:r>
        <w:rPr>
          <w:rStyle w:val="Odwoanieprzypisudolnego"/>
        </w:rPr>
        <w:footnoteRef/>
      </w:r>
      <w:r>
        <w:t xml:space="preserve"> </w:t>
      </w:r>
      <w:r>
        <w:rPr>
          <w:rFonts w:cstheme="minorHAnsi"/>
          <w:sz w:val="18"/>
          <w:szCs w:val="18"/>
        </w:rPr>
        <w:t xml:space="preserve">Na potrzeby niniejszego dokumentu przyjęto, że odpowiedź na skargę wnosi zamawiający. </w:t>
      </w:r>
    </w:p>
  </w:footnote>
  <w:footnote w:id="7">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Wskazać kto wniósł skargę, na którą jest udzielana odpowiedź.</w:t>
      </w:r>
    </w:p>
  </w:footnote>
  <w:footnote w:id="8">
    <w:p w:rsidR="0093672A" w:rsidRPr="000304DF" w:rsidRDefault="0093672A" w:rsidP="00C61A7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Wskazać jakiego rodzaju orzeczenia dotyczyła skarga (tj. wyroku KIO</w:t>
      </w:r>
      <w:r w:rsidR="00CE6A9F">
        <w:rPr>
          <w:rFonts w:cstheme="minorHAnsi"/>
          <w:sz w:val="18"/>
          <w:szCs w:val="18"/>
        </w:rPr>
        <w:t>,</w:t>
      </w:r>
      <w:r w:rsidR="00CE6A9F" w:rsidRPr="00CE6A9F">
        <w:rPr>
          <w:rFonts w:cstheme="minorHAnsi"/>
          <w:sz w:val="18"/>
          <w:szCs w:val="18"/>
        </w:rPr>
        <w:t xml:space="preserve"> </w:t>
      </w:r>
      <w:r w:rsidR="00CE6A9F" w:rsidRPr="000304DF">
        <w:rPr>
          <w:rFonts w:cstheme="minorHAnsi"/>
          <w:sz w:val="18"/>
          <w:szCs w:val="18"/>
        </w:rPr>
        <w:t xml:space="preserve">postanowienia </w:t>
      </w:r>
      <w:r w:rsidR="00CE6A9F">
        <w:rPr>
          <w:rFonts w:cstheme="minorHAnsi"/>
          <w:sz w:val="18"/>
          <w:szCs w:val="18"/>
        </w:rPr>
        <w:t xml:space="preserve">KIO </w:t>
      </w:r>
      <w:r w:rsidR="008500A0">
        <w:rPr>
          <w:rFonts w:cstheme="minorHAnsi"/>
          <w:sz w:val="18"/>
          <w:szCs w:val="18"/>
        </w:rPr>
        <w:t xml:space="preserve">czy </w:t>
      </w:r>
      <w:r w:rsidR="000304DF" w:rsidRPr="000304DF">
        <w:rPr>
          <w:rFonts w:cstheme="minorHAnsi"/>
          <w:sz w:val="18"/>
          <w:szCs w:val="18"/>
        </w:rPr>
        <w:t>postanowienia Prezesa KIO</w:t>
      </w:r>
      <w:r w:rsidRPr="000304DF">
        <w:rPr>
          <w:rFonts w:cstheme="minorHAnsi"/>
          <w:sz w:val="18"/>
          <w:szCs w:val="18"/>
        </w:rPr>
        <w:t xml:space="preserve">). </w:t>
      </w:r>
    </w:p>
  </w:footnote>
  <w:footnote w:id="9">
    <w:p w:rsidR="0093672A" w:rsidRPr="000304DF" w:rsidRDefault="0093672A" w:rsidP="00C61A7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Wskazać kto wniósł skargę, na którą jest udzielana odpowiedź.</w:t>
      </w:r>
    </w:p>
  </w:footnote>
  <w:footnote w:id="10">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Wskazać odpowiednie.</w:t>
      </w:r>
    </w:p>
  </w:footnote>
  <w:footnote w:id="11">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Określić orzeczenie KIO. </w:t>
      </w:r>
    </w:p>
  </w:footnote>
  <w:footnote w:id="12">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Należy wskazać, czego domaga się wnoszący odpowiedź na skargę. Wniosek musi być adekwatny do treści skargi i stanu faktycznego sprawy. Wskazano przykładowe możliwości.</w:t>
      </w:r>
    </w:p>
  </w:footnote>
  <w:footnote w:id="13">
    <w:p w:rsidR="00FE700E" w:rsidRDefault="00FE700E" w:rsidP="00FE700E">
      <w:pPr>
        <w:pStyle w:val="Tekstprzypisudolnego"/>
        <w:jc w:val="both"/>
      </w:pPr>
      <w:r>
        <w:rPr>
          <w:rStyle w:val="Odwoanieprzypisudolnego"/>
        </w:rPr>
        <w:footnoteRef/>
      </w:r>
      <w:r>
        <w:t xml:space="preserve"> </w:t>
      </w:r>
      <w:r w:rsidRPr="0002366C">
        <w:rPr>
          <w:rFonts w:cs="Arial"/>
          <w:bCs/>
          <w:sz w:val="18"/>
          <w:szCs w:val="18"/>
          <w:shd w:val="clear" w:color="auto" w:fill="FFFFFF"/>
        </w:rPr>
        <w:t xml:space="preserve">Sąd Zamówień Publicznych może rozpoznać sprawę na posiedzeniu niejawnym, jeżeli przeprowadzenie rozprawy nie jest konieczne. </w:t>
      </w:r>
      <w:r>
        <w:rPr>
          <w:rFonts w:cs="Arial"/>
          <w:bCs/>
          <w:sz w:val="18"/>
          <w:szCs w:val="18"/>
          <w:shd w:val="clear" w:color="auto" w:fill="FFFFFF"/>
        </w:rPr>
        <w:t>Jeśli skarżący nie złożył wniosku o przeprowadzenie rozprawy, Sąd Zamówień Publicznych będzie mógł rozpoznać skargę na posiedzeniu niejawnym. Aby temu zapobiec, wniosek o przeprowadzenie rozprawy powinien zostać złożony w odpowiedzi na skargę. Wówczas rozpoznanie sprawy na posiedzeniu niejawnym będzie niedopuszczalne</w:t>
      </w:r>
      <w:r w:rsidRPr="0002366C">
        <w:rPr>
          <w:rFonts w:cs="Arial"/>
          <w:bCs/>
          <w:sz w:val="18"/>
          <w:szCs w:val="18"/>
          <w:shd w:val="clear" w:color="auto" w:fill="FFFFFF"/>
        </w:rPr>
        <w:t>, chyba że cofnięto skargę albo zachodzi nieważność postępowania (por. art. 374 KPC w zw. z art. 579 ust. 2 ustawy Pzp).</w:t>
      </w:r>
    </w:p>
  </w:footnote>
  <w:footnote w:id="14">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Wskazać odpowiednie.</w:t>
      </w:r>
    </w:p>
  </w:footnote>
  <w:footnote w:id="15">
    <w:p w:rsidR="0093672A" w:rsidRPr="00620803"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w:t>
      </w:r>
      <w:r w:rsidRPr="00620803">
        <w:rPr>
          <w:rFonts w:cstheme="minorHAnsi"/>
          <w:sz w:val="18"/>
          <w:szCs w:val="18"/>
        </w:rPr>
        <w:t>Wskazać odpowiednie.</w:t>
      </w:r>
    </w:p>
  </w:footnote>
  <w:footnote w:id="16">
    <w:p w:rsidR="00620803" w:rsidRPr="00620803" w:rsidRDefault="00620803" w:rsidP="00C61A7F">
      <w:pPr>
        <w:pStyle w:val="Tekstprzypisudolnego"/>
        <w:jc w:val="both"/>
        <w:rPr>
          <w:sz w:val="18"/>
          <w:szCs w:val="18"/>
        </w:rPr>
      </w:pPr>
      <w:r w:rsidRPr="00620803">
        <w:rPr>
          <w:rStyle w:val="Odwoanieprzypisudolnego"/>
          <w:sz w:val="18"/>
          <w:szCs w:val="18"/>
        </w:rPr>
        <w:footnoteRef/>
      </w:r>
      <w:r w:rsidRPr="00620803">
        <w:rPr>
          <w:sz w:val="18"/>
          <w:szCs w:val="18"/>
        </w:rPr>
        <w:t xml:space="preserve"> W przypadku zgłoszenia wyłącznie takiego wniosku</w:t>
      </w:r>
      <w:r w:rsidR="00C61A7F">
        <w:rPr>
          <w:sz w:val="18"/>
          <w:szCs w:val="18"/>
        </w:rPr>
        <w:t xml:space="preserve"> i jego uwzględnienia</w:t>
      </w:r>
      <w:r w:rsidRPr="00620803">
        <w:rPr>
          <w:sz w:val="18"/>
          <w:szCs w:val="18"/>
        </w:rPr>
        <w:t>, Sąd Zamówień Publicznych na posiedzeniu niejawnym odrzuci skargę wniesioną po upływie terminu, dlatego w takim stanie f</w:t>
      </w:r>
      <w:r w:rsidR="00560AD0">
        <w:rPr>
          <w:sz w:val="18"/>
          <w:szCs w:val="18"/>
        </w:rPr>
        <w:t xml:space="preserve">aktycznym bezcelowy będzie </w:t>
      </w:r>
      <w:r w:rsidRPr="00620803">
        <w:rPr>
          <w:sz w:val="18"/>
          <w:szCs w:val="18"/>
        </w:rPr>
        <w:t xml:space="preserve">wniosek o przeprowadzenie rozprawy (por. przypis nr 13). </w:t>
      </w:r>
    </w:p>
  </w:footnote>
  <w:footnote w:id="17">
    <w:p w:rsidR="000304DF" w:rsidRPr="000304DF" w:rsidRDefault="000304DF" w:rsidP="00C61A7F">
      <w:pPr>
        <w:pStyle w:val="Tekstprzypisudolnego"/>
        <w:jc w:val="both"/>
        <w:rPr>
          <w:rFonts w:cstheme="minorHAnsi"/>
          <w:sz w:val="18"/>
          <w:szCs w:val="18"/>
        </w:rPr>
      </w:pPr>
      <w:r w:rsidRPr="00620803">
        <w:rPr>
          <w:rStyle w:val="Odwoanieprzypisudolnego"/>
          <w:rFonts w:cstheme="minorHAnsi"/>
          <w:sz w:val="18"/>
          <w:szCs w:val="18"/>
        </w:rPr>
        <w:footnoteRef/>
      </w:r>
      <w:r w:rsidRPr="00620803">
        <w:rPr>
          <w:rFonts w:cstheme="minorHAnsi"/>
          <w:sz w:val="18"/>
          <w:szCs w:val="18"/>
        </w:rPr>
        <w:t xml:space="preserve"> Wskazać odpowiednie</w:t>
      </w:r>
      <w:r w:rsidR="00620803">
        <w:rPr>
          <w:rFonts w:cstheme="minorHAnsi"/>
          <w:sz w:val="18"/>
          <w:szCs w:val="18"/>
        </w:rPr>
        <w:t>.</w:t>
      </w:r>
    </w:p>
  </w:footnote>
  <w:footnote w:id="18">
    <w:p w:rsidR="0093672A" w:rsidRPr="000304DF" w:rsidRDefault="0093672A" w:rsidP="000304DF">
      <w:pPr>
        <w:spacing w:after="0"/>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Dotyczy sytuacji w której w odpowiedzi na skargę zgłoszony zostanie wniosek o przeprowadzenie dowodu. Na podstawie art. 381 KPC w zw. z art. </w:t>
      </w:r>
      <w:r w:rsidR="000304DF" w:rsidRPr="000304DF">
        <w:rPr>
          <w:rFonts w:cstheme="minorHAnsi"/>
          <w:sz w:val="18"/>
          <w:szCs w:val="18"/>
        </w:rPr>
        <w:t xml:space="preserve">579 ust. 2 </w:t>
      </w:r>
      <w:r w:rsidRPr="000304DF">
        <w:rPr>
          <w:rFonts w:cstheme="minorHAnsi"/>
          <w:sz w:val="18"/>
          <w:szCs w:val="18"/>
        </w:rPr>
        <w:t xml:space="preserve">ustawy Pzp sąd drugiej instancji może pominąć nowe fakty i dowody, jeżeli strona mogła je powołać w postępowaniu przed sądem pierwszej instancji, chyba że potrzeba powołania się na nie wynikła później. Celem ograniczenia w powoływaniu "nowości" jest przeciwdziałanie celowej zwłoce strony w przedstawianiu nowych faktów i dowodów oraz potrzeba koncentracji materiału dowodowego w postępowaniu przed Krajową Izba Odwoławczą. Strona zgłaszająca wniosek dowodowy na etapie postępowania skargowego powinna uzasadnić przyczyny powołania faktów lub dowodów na tym etapie postępowania. </w:t>
      </w:r>
    </w:p>
  </w:footnote>
  <w:footnote w:id="19">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Odpowiedź na skargę winna zawierać uzasadnienie zgłaszanych wniosków i stanowiska strony w sprawie. </w:t>
      </w:r>
    </w:p>
  </w:footnote>
  <w:footnote w:id="20">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Jeżeli wnoszący odpowiedź na skargę jest reprezentowany przez profesjonalnego pełnomocnika winien przesłać bezpośrednio odpis odpowiedzi na skargę innym uczestnikom również reprezentowanym przez profesjonalnych pełnomocników. W treści odpowiedzi na skargę zamieszcza się oświadczenie o doręczeniu odpisu pisma drugiej stronie albo o nadaniu przesyłką poleconą (art. 132 § 1 </w:t>
      </w:r>
      <w:proofErr w:type="spellStart"/>
      <w:r w:rsidRPr="000304DF">
        <w:rPr>
          <w:rFonts w:cstheme="minorHAnsi"/>
          <w:sz w:val="18"/>
          <w:szCs w:val="18"/>
        </w:rPr>
        <w:t>zd</w:t>
      </w:r>
      <w:proofErr w:type="spellEnd"/>
      <w:r w:rsidRPr="000304DF">
        <w:rPr>
          <w:rFonts w:cstheme="minorHAnsi"/>
          <w:sz w:val="18"/>
          <w:szCs w:val="18"/>
        </w:rPr>
        <w:t xml:space="preserve">. 1 i 2 w zw. z art. 391 § 1 </w:t>
      </w:r>
      <w:proofErr w:type="spellStart"/>
      <w:r w:rsidRPr="000304DF">
        <w:rPr>
          <w:rFonts w:cstheme="minorHAnsi"/>
          <w:sz w:val="18"/>
          <w:szCs w:val="18"/>
        </w:rPr>
        <w:t>zd</w:t>
      </w:r>
      <w:proofErr w:type="spellEnd"/>
      <w:r w:rsidRPr="000304DF">
        <w:rPr>
          <w:rFonts w:cstheme="minorHAnsi"/>
          <w:sz w:val="18"/>
          <w:szCs w:val="18"/>
        </w:rPr>
        <w:t xml:space="preserve">. 1 KPC w zw. z art. </w:t>
      </w:r>
      <w:r w:rsidR="000304DF" w:rsidRPr="000304DF">
        <w:rPr>
          <w:rFonts w:cstheme="minorHAnsi"/>
          <w:sz w:val="18"/>
          <w:szCs w:val="18"/>
        </w:rPr>
        <w:t xml:space="preserve">579 </w:t>
      </w:r>
      <w:r w:rsidRPr="000304DF">
        <w:rPr>
          <w:rFonts w:cstheme="minorHAnsi"/>
          <w:sz w:val="18"/>
          <w:szCs w:val="18"/>
        </w:rPr>
        <w:t>ust. 2 ustawy Pzp).</w:t>
      </w:r>
    </w:p>
  </w:footnote>
  <w:footnote w:id="21">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Odpowiedź na skargę powinna zawierać podpis strony albo jej przedstawiciela ustawowego lub pełnomocnika (art. 126 § 1 pkt 4 w zw. z art. 391 § 1 </w:t>
      </w:r>
      <w:proofErr w:type="spellStart"/>
      <w:r w:rsidRPr="000304DF">
        <w:rPr>
          <w:rFonts w:cstheme="minorHAnsi"/>
          <w:sz w:val="18"/>
          <w:szCs w:val="18"/>
        </w:rPr>
        <w:t>zd</w:t>
      </w:r>
      <w:proofErr w:type="spellEnd"/>
      <w:r w:rsidRPr="000304DF">
        <w:rPr>
          <w:rFonts w:cstheme="minorHAnsi"/>
          <w:sz w:val="18"/>
          <w:szCs w:val="18"/>
        </w:rPr>
        <w:t xml:space="preserve">. 1 KPC w zw. z art. </w:t>
      </w:r>
      <w:r w:rsidR="000304DF" w:rsidRPr="000304DF">
        <w:rPr>
          <w:rFonts w:cstheme="minorHAnsi"/>
          <w:sz w:val="18"/>
          <w:szCs w:val="18"/>
        </w:rPr>
        <w:t xml:space="preserve">579 </w:t>
      </w:r>
      <w:r w:rsidRPr="000304DF">
        <w:rPr>
          <w:rFonts w:cstheme="minorHAnsi"/>
          <w:sz w:val="18"/>
          <w:szCs w:val="18"/>
        </w:rPr>
        <w:t>ust. 2 ustawy Pzp).</w:t>
      </w:r>
    </w:p>
  </w:footnote>
  <w:footnote w:id="22">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Odpowiedź na skargę powinna zawierać wymienienie załączników (art. 126 § 1 pkt 5 w zw. z art. 391 § 1 </w:t>
      </w:r>
      <w:proofErr w:type="spellStart"/>
      <w:r w:rsidRPr="000304DF">
        <w:rPr>
          <w:rFonts w:cstheme="minorHAnsi"/>
          <w:sz w:val="18"/>
          <w:szCs w:val="18"/>
        </w:rPr>
        <w:t>zd</w:t>
      </w:r>
      <w:proofErr w:type="spellEnd"/>
      <w:r w:rsidRPr="000304DF">
        <w:rPr>
          <w:rFonts w:cstheme="minorHAnsi"/>
          <w:sz w:val="18"/>
          <w:szCs w:val="18"/>
        </w:rPr>
        <w:t xml:space="preserve">. 1 KPC w zw. z art. </w:t>
      </w:r>
      <w:r w:rsidR="000304DF" w:rsidRPr="000304DF">
        <w:rPr>
          <w:rFonts w:cstheme="minorHAnsi"/>
          <w:sz w:val="18"/>
          <w:szCs w:val="18"/>
        </w:rPr>
        <w:t>579</w:t>
      </w:r>
      <w:r w:rsidRPr="000304DF">
        <w:rPr>
          <w:rFonts w:cstheme="minorHAnsi"/>
          <w:sz w:val="18"/>
          <w:szCs w:val="18"/>
        </w:rPr>
        <w:t xml:space="preserve"> ust. 2 ustawy Pzp).</w:t>
      </w:r>
    </w:p>
  </w:footnote>
  <w:footnote w:id="23">
    <w:p w:rsidR="00B91959" w:rsidRPr="00B91959" w:rsidRDefault="00B91959" w:rsidP="00B91959">
      <w:pPr>
        <w:pStyle w:val="Tekstprzypisudolnego"/>
        <w:jc w:val="both"/>
        <w:rPr>
          <w:rFonts w:cstheme="minorHAnsi"/>
          <w:sz w:val="18"/>
          <w:szCs w:val="18"/>
        </w:rPr>
      </w:pPr>
      <w:r>
        <w:rPr>
          <w:rStyle w:val="Odwoanieprzypisudolnego"/>
        </w:rPr>
        <w:footnoteRef/>
      </w:r>
      <w:r>
        <w:t xml:space="preserve"> </w:t>
      </w:r>
      <w:r w:rsidRPr="00B91959">
        <w:rPr>
          <w:rFonts w:cstheme="minorHAnsi"/>
          <w:sz w:val="18"/>
          <w:szCs w:val="18"/>
          <w:shd w:val="clear" w:color="auto" w:fill="FFFFFF"/>
        </w:rPr>
        <w:t>Do pisma należy dołączyć pełnomocnictwo albo uwierzytelniony odpis pełnomocnictwa, jeżeli pismo wnosi pełnomocnik, który wcześniej nie złożył pełnomocnictwa. Jeżeli pełnomocnik dokonał wyboru wnoszenia pism za pośrednictwem systemu teleinformatycznego, uwierzytelniony odpis pełnomocnictwa wnosi się za pośrednictwem tego systemu (art. 126 § 3 KP</w:t>
      </w:r>
      <w:r>
        <w:rPr>
          <w:rFonts w:cstheme="minorHAnsi"/>
          <w:sz w:val="18"/>
          <w:szCs w:val="18"/>
          <w:shd w:val="clear" w:color="auto" w:fill="FFFFFF"/>
        </w:rPr>
        <w:t xml:space="preserve">C </w:t>
      </w:r>
      <w:r w:rsidR="00FD2215" w:rsidRPr="00FD2215">
        <w:rPr>
          <w:rFonts w:cstheme="minorHAnsi"/>
          <w:sz w:val="18"/>
          <w:szCs w:val="18"/>
          <w:shd w:val="clear" w:color="auto" w:fill="FFFFFF"/>
        </w:rPr>
        <w:t xml:space="preserve">w zw. z art. 391 § 1 </w:t>
      </w:r>
      <w:proofErr w:type="spellStart"/>
      <w:r w:rsidR="00FD2215" w:rsidRPr="00FD2215">
        <w:rPr>
          <w:rFonts w:cstheme="minorHAnsi"/>
          <w:sz w:val="18"/>
          <w:szCs w:val="18"/>
          <w:shd w:val="clear" w:color="auto" w:fill="FFFFFF"/>
        </w:rPr>
        <w:t>zd</w:t>
      </w:r>
      <w:proofErr w:type="spellEnd"/>
      <w:r w:rsidR="00FD2215" w:rsidRPr="00FD2215">
        <w:rPr>
          <w:rFonts w:cstheme="minorHAnsi"/>
          <w:sz w:val="18"/>
          <w:szCs w:val="18"/>
          <w:shd w:val="clear" w:color="auto" w:fill="FFFFFF"/>
        </w:rPr>
        <w:t>. 1 KPC w zw. z art. 579 ust. 2 ustawy Pzp</w:t>
      </w:r>
      <w:bookmarkStart w:id="0" w:name="_GoBack"/>
      <w:bookmarkEnd w:id="0"/>
      <w:r>
        <w:rPr>
          <w:rFonts w:cstheme="minorHAnsi"/>
          <w:sz w:val="18"/>
          <w:szCs w:val="18"/>
          <w:shd w:val="clear" w:color="auto" w:fill="FFFFFF"/>
        </w:rPr>
        <w:t xml:space="preserve">). </w:t>
      </w:r>
      <w:r w:rsidRPr="00B91959">
        <w:rPr>
          <w:rFonts w:cstheme="minorHAnsi"/>
          <w:sz w:val="18"/>
          <w:szCs w:val="18"/>
          <w:shd w:val="clear" w:color="auto" w:fill="FFFFFF"/>
        </w:rPr>
        <w:t xml:space="preserve">Złożenie dokumentu wykazującego umocowanie lub jego uwierzytelnionego odpisu nie jest wymagane, jeżeli stwierdzenie przez sąd umocowania jest możliwe na podstawie wykazu lub innego rejestru, do którego sąd ma dostęp drogą elektroniczną (art. 89 § 1 </w:t>
      </w:r>
      <w:proofErr w:type="spellStart"/>
      <w:r w:rsidRPr="00B91959">
        <w:rPr>
          <w:rFonts w:cstheme="minorHAnsi"/>
          <w:sz w:val="18"/>
          <w:szCs w:val="18"/>
          <w:shd w:val="clear" w:color="auto" w:fill="FFFFFF"/>
        </w:rPr>
        <w:t>zd</w:t>
      </w:r>
      <w:proofErr w:type="spellEnd"/>
      <w:r w:rsidRPr="00B91959">
        <w:rPr>
          <w:rFonts w:cstheme="minorHAnsi"/>
          <w:sz w:val="18"/>
          <w:szCs w:val="18"/>
          <w:shd w:val="clear" w:color="auto" w:fill="FFFFFF"/>
        </w:rPr>
        <w:t>. 3 KPC</w:t>
      </w:r>
      <w:r w:rsidR="00CE6A9F" w:rsidRPr="00CE6A9F">
        <w:rPr>
          <w:rFonts w:cstheme="minorHAnsi"/>
          <w:sz w:val="18"/>
          <w:szCs w:val="18"/>
        </w:rPr>
        <w:t xml:space="preserve"> </w:t>
      </w:r>
      <w:r w:rsidR="00CE6A9F">
        <w:rPr>
          <w:rFonts w:cstheme="minorHAnsi"/>
          <w:sz w:val="18"/>
          <w:szCs w:val="18"/>
        </w:rPr>
        <w:t xml:space="preserve">w zw. z art. 391 § 1 </w:t>
      </w:r>
      <w:proofErr w:type="spellStart"/>
      <w:r w:rsidR="00CE6A9F">
        <w:rPr>
          <w:rFonts w:cstheme="minorHAnsi"/>
          <w:sz w:val="18"/>
          <w:szCs w:val="18"/>
        </w:rPr>
        <w:t>zd</w:t>
      </w:r>
      <w:proofErr w:type="spellEnd"/>
      <w:r w:rsidR="00CE6A9F">
        <w:rPr>
          <w:rFonts w:cstheme="minorHAnsi"/>
          <w:sz w:val="18"/>
          <w:szCs w:val="18"/>
        </w:rPr>
        <w:t xml:space="preserve">. 1 KPC </w:t>
      </w:r>
      <w:r w:rsidR="00CE6A9F" w:rsidRPr="000304DF">
        <w:rPr>
          <w:rFonts w:cstheme="minorHAnsi"/>
          <w:sz w:val="18"/>
          <w:szCs w:val="18"/>
        </w:rPr>
        <w:t>w zw. z art. 579</w:t>
      </w:r>
      <w:r w:rsidR="00CE6A9F">
        <w:rPr>
          <w:rFonts w:cstheme="minorHAnsi"/>
          <w:sz w:val="18"/>
          <w:szCs w:val="18"/>
        </w:rPr>
        <w:t xml:space="preserve"> ust. 2 ustawy Pzp</w:t>
      </w:r>
      <w:r w:rsidRPr="00B91959">
        <w:rPr>
          <w:rFonts w:cstheme="minorHAnsi"/>
          <w:sz w:val="18"/>
          <w:szCs w:val="18"/>
          <w:shd w:val="clear" w:color="auto" w:fill="FFFFFF"/>
        </w:rPr>
        <w:t>).</w:t>
      </w:r>
    </w:p>
  </w:footnote>
  <w:footnote w:id="24">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w:t>
      </w:r>
      <w:r w:rsidR="00B91959">
        <w:rPr>
          <w:rFonts w:cstheme="minorHAnsi"/>
          <w:sz w:val="18"/>
          <w:szCs w:val="18"/>
        </w:rPr>
        <w:t xml:space="preserve">Na potrzeby niniejszego dokumentu przyjęto, że </w:t>
      </w:r>
      <w:r w:rsidRPr="000304DF">
        <w:rPr>
          <w:rFonts w:cstheme="minorHAnsi"/>
          <w:sz w:val="18"/>
          <w:szCs w:val="18"/>
        </w:rPr>
        <w:t>odwołujący jest reprezentowany przez profesjonalnego pełnomocnika.</w:t>
      </w:r>
    </w:p>
  </w:footnote>
  <w:footnote w:id="25">
    <w:p w:rsidR="0093672A" w:rsidRPr="000304DF" w:rsidRDefault="0093672A" w:rsidP="000304DF">
      <w:pPr>
        <w:pStyle w:val="Tekstprzypisudolnego"/>
        <w:jc w:val="both"/>
        <w:rPr>
          <w:rFonts w:cstheme="minorHAnsi"/>
          <w:sz w:val="18"/>
          <w:szCs w:val="18"/>
        </w:rPr>
      </w:pPr>
      <w:r w:rsidRPr="000304DF">
        <w:rPr>
          <w:rStyle w:val="Odwoanieprzypisudolnego"/>
          <w:rFonts w:cstheme="minorHAnsi"/>
          <w:sz w:val="18"/>
          <w:szCs w:val="18"/>
        </w:rPr>
        <w:footnoteRef/>
      </w:r>
      <w:r w:rsidRPr="000304DF">
        <w:rPr>
          <w:rFonts w:cstheme="minorHAnsi"/>
          <w:sz w:val="18"/>
          <w:szCs w:val="18"/>
        </w:rPr>
        <w:t xml:space="preserve"> Odpisy pisma dla uczestników, którzy nie są reprezentowani przez profesjonalnych pełnomocników.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AE" w:rsidRDefault="00904B3C" w:rsidP="000309AE">
    <w:pPr>
      <w:pStyle w:val="Nagwek"/>
      <w:tabs>
        <w:tab w:val="clear" w:pos="4536"/>
        <w:tab w:val="clear" w:pos="9072"/>
      </w:tabs>
    </w:pPr>
    <w:r>
      <w:rPr>
        <w:noProof/>
        <w:lang w:eastAsia="pl-PL"/>
      </w:rPr>
      <w:drawing>
        <wp:anchor distT="0" distB="0" distL="114300" distR="114300" simplePos="0" relativeHeight="251658240" behindDoc="0" locked="0" layoutInCell="1" allowOverlap="1">
          <wp:simplePos x="0" y="0"/>
          <wp:positionH relativeFrom="page">
            <wp:posOffset>361950</wp:posOffset>
          </wp:positionH>
          <wp:positionV relativeFrom="page">
            <wp:posOffset>105397</wp:posOffset>
          </wp:positionV>
          <wp:extent cx="6861600" cy="1204755"/>
          <wp:effectExtent l="0" t="0" r="0" b="0"/>
          <wp:wrapNone/>
          <wp:docPr id="18" name="Obraz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POWER\! LOGOTYPY PROJEKTU\Logotypy z nazwą.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61600" cy="1204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262"/>
    <w:multiLevelType w:val="hybridMultilevel"/>
    <w:tmpl w:val="8C5E9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F35A6"/>
    <w:multiLevelType w:val="hybridMultilevel"/>
    <w:tmpl w:val="E6841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82CED"/>
    <w:multiLevelType w:val="hybridMultilevel"/>
    <w:tmpl w:val="3EC8EEB8"/>
    <w:lvl w:ilvl="0" w:tplc="A504361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CF0530"/>
    <w:multiLevelType w:val="hybridMultilevel"/>
    <w:tmpl w:val="EE5CF874"/>
    <w:lvl w:ilvl="0" w:tplc="C05041F6">
      <w:start w:val="1"/>
      <w:numFmt w:val="decimal"/>
      <w:lvlText w:val="%1."/>
      <w:lvlJc w:val="left"/>
      <w:pPr>
        <w:ind w:left="1068" w:hanging="708"/>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BC0BAA"/>
    <w:multiLevelType w:val="hybridMultilevel"/>
    <w:tmpl w:val="4F500FEA"/>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2F1F63C7"/>
    <w:multiLevelType w:val="hybridMultilevel"/>
    <w:tmpl w:val="FD426F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6077039"/>
    <w:multiLevelType w:val="hybridMultilevel"/>
    <w:tmpl w:val="DFCAF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166A00"/>
    <w:multiLevelType w:val="hybridMultilevel"/>
    <w:tmpl w:val="74429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845641"/>
    <w:multiLevelType w:val="hybridMultilevel"/>
    <w:tmpl w:val="01F8C6B4"/>
    <w:lvl w:ilvl="0" w:tplc="A5E0EF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C0B3888"/>
    <w:multiLevelType w:val="hybridMultilevel"/>
    <w:tmpl w:val="7E40F3BE"/>
    <w:lvl w:ilvl="0" w:tplc="26E0B176">
      <w:start w:val="1"/>
      <w:numFmt w:val="upperRoman"/>
      <w:lvlText w:val="%1."/>
      <w:lvlJc w:val="left"/>
      <w:pPr>
        <w:ind w:left="725" w:hanging="720"/>
      </w:pPr>
      <w:rPr>
        <w:strike w:val="0"/>
        <w:dstrike w:val="0"/>
        <w:u w:val="none"/>
        <w:effect w:val="none"/>
      </w:r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10" w15:restartNumberingAfterBreak="0">
    <w:nsid w:val="4FFB258B"/>
    <w:multiLevelType w:val="hybridMultilevel"/>
    <w:tmpl w:val="0018E8C8"/>
    <w:lvl w:ilvl="0" w:tplc="A9CEEC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EB045B"/>
    <w:multiLevelType w:val="hybridMultilevel"/>
    <w:tmpl w:val="1D14F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5020B8"/>
    <w:multiLevelType w:val="hybridMultilevel"/>
    <w:tmpl w:val="8E861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063831"/>
    <w:multiLevelType w:val="hybridMultilevel"/>
    <w:tmpl w:val="DD9C2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D292DA6"/>
    <w:multiLevelType w:val="hybridMultilevel"/>
    <w:tmpl w:val="970C4E34"/>
    <w:lvl w:ilvl="0" w:tplc="A6C0B1D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DCF0669"/>
    <w:multiLevelType w:val="hybridMultilevel"/>
    <w:tmpl w:val="49B28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366CEE"/>
    <w:multiLevelType w:val="hybridMultilevel"/>
    <w:tmpl w:val="08AAA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163EB7"/>
    <w:multiLevelType w:val="hybridMultilevel"/>
    <w:tmpl w:val="58D8A8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B584D07"/>
    <w:multiLevelType w:val="hybridMultilevel"/>
    <w:tmpl w:val="AB2EB5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45705C"/>
    <w:multiLevelType w:val="hybridMultilevel"/>
    <w:tmpl w:val="76E80F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FCF2F1A"/>
    <w:multiLevelType w:val="hybridMultilevel"/>
    <w:tmpl w:val="25FC91B6"/>
    <w:lvl w:ilvl="0" w:tplc="029214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00059E"/>
    <w:multiLevelType w:val="hybridMultilevel"/>
    <w:tmpl w:val="E0247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76369D"/>
    <w:multiLevelType w:val="hybridMultilevel"/>
    <w:tmpl w:val="4B2098D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0"/>
  </w:num>
  <w:num w:numId="2">
    <w:abstractNumId w:val="10"/>
  </w:num>
  <w:num w:numId="3">
    <w:abstractNumId w:val="2"/>
  </w:num>
  <w:num w:numId="4">
    <w:abstractNumId w:val="8"/>
  </w:num>
  <w:num w:numId="5">
    <w:abstractNumId w:val="21"/>
  </w:num>
  <w:num w:numId="6">
    <w:abstractNumId w:val="1"/>
  </w:num>
  <w:num w:numId="7">
    <w:abstractNumId w:val="12"/>
  </w:num>
  <w:num w:numId="8">
    <w:abstractNumId w:val="15"/>
  </w:num>
  <w:num w:numId="9">
    <w:abstractNumId w:val="7"/>
  </w:num>
  <w:num w:numId="10">
    <w:abstractNumId w:val="19"/>
  </w:num>
  <w:num w:numId="11">
    <w:abstractNumId w:val="6"/>
  </w:num>
  <w:num w:numId="12">
    <w:abstractNumId w:val="13"/>
  </w:num>
  <w:num w:numId="13">
    <w:abstractNumId w:val="16"/>
  </w:num>
  <w:num w:numId="14">
    <w:abstractNumId w:val="0"/>
  </w:num>
  <w:num w:numId="15">
    <w:abstractNumId w:val="22"/>
  </w:num>
  <w:num w:numId="16">
    <w:abstractNumId w:val="4"/>
  </w:num>
  <w:num w:numId="17">
    <w:abstractNumId w:val="5"/>
  </w:num>
  <w:num w:numId="18">
    <w:abstractNumId w:val="17"/>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AE"/>
    <w:rsid w:val="000304DF"/>
    <w:rsid w:val="000309AE"/>
    <w:rsid w:val="0003107D"/>
    <w:rsid w:val="000328CF"/>
    <w:rsid w:val="000A3988"/>
    <w:rsid w:val="000B142B"/>
    <w:rsid w:val="000C32F9"/>
    <w:rsid w:val="000C4B50"/>
    <w:rsid w:val="000E3689"/>
    <w:rsid w:val="000F53D9"/>
    <w:rsid w:val="000F64F5"/>
    <w:rsid w:val="000F7B58"/>
    <w:rsid w:val="00121617"/>
    <w:rsid w:val="00122125"/>
    <w:rsid w:val="00153E5C"/>
    <w:rsid w:val="0016779F"/>
    <w:rsid w:val="00182BDD"/>
    <w:rsid w:val="001F12B5"/>
    <w:rsid w:val="00214587"/>
    <w:rsid w:val="00217F77"/>
    <w:rsid w:val="0023302D"/>
    <w:rsid w:val="0024315A"/>
    <w:rsid w:val="002B0F49"/>
    <w:rsid w:val="002B65AC"/>
    <w:rsid w:val="002E4C2F"/>
    <w:rsid w:val="002F00CE"/>
    <w:rsid w:val="002F312A"/>
    <w:rsid w:val="00331236"/>
    <w:rsid w:val="0033248A"/>
    <w:rsid w:val="00343E65"/>
    <w:rsid w:val="00351F45"/>
    <w:rsid w:val="00367798"/>
    <w:rsid w:val="00385D1E"/>
    <w:rsid w:val="00391794"/>
    <w:rsid w:val="003B0550"/>
    <w:rsid w:val="003D3650"/>
    <w:rsid w:val="004068A4"/>
    <w:rsid w:val="004112BB"/>
    <w:rsid w:val="0041159F"/>
    <w:rsid w:val="00416BE9"/>
    <w:rsid w:val="00426F7A"/>
    <w:rsid w:val="00453166"/>
    <w:rsid w:val="004B22CB"/>
    <w:rsid w:val="00502D92"/>
    <w:rsid w:val="0050393C"/>
    <w:rsid w:val="00506BCA"/>
    <w:rsid w:val="0050724F"/>
    <w:rsid w:val="00521159"/>
    <w:rsid w:val="005221D7"/>
    <w:rsid w:val="0053336D"/>
    <w:rsid w:val="00537699"/>
    <w:rsid w:val="00551E41"/>
    <w:rsid w:val="00560AD0"/>
    <w:rsid w:val="00562E34"/>
    <w:rsid w:val="00565A87"/>
    <w:rsid w:val="00571465"/>
    <w:rsid w:val="00571FB5"/>
    <w:rsid w:val="00581061"/>
    <w:rsid w:val="00597BEC"/>
    <w:rsid w:val="005B31D7"/>
    <w:rsid w:val="00610F4E"/>
    <w:rsid w:val="00620803"/>
    <w:rsid w:val="006210A6"/>
    <w:rsid w:val="00622043"/>
    <w:rsid w:val="00681FB0"/>
    <w:rsid w:val="00694FCE"/>
    <w:rsid w:val="006958F7"/>
    <w:rsid w:val="006C2F8C"/>
    <w:rsid w:val="006D5C20"/>
    <w:rsid w:val="00753EDC"/>
    <w:rsid w:val="00771ACE"/>
    <w:rsid w:val="0077218E"/>
    <w:rsid w:val="00773E31"/>
    <w:rsid w:val="00780E96"/>
    <w:rsid w:val="007A0EFE"/>
    <w:rsid w:val="007C1D46"/>
    <w:rsid w:val="007D1995"/>
    <w:rsid w:val="007E0739"/>
    <w:rsid w:val="007F055C"/>
    <w:rsid w:val="007F4FA0"/>
    <w:rsid w:val="00814440"/>
    <w:rsid w:val="008152B4"/>
    <w:rsid w:val="00844994"/>
    <w:rsid w:val="008500A0"/>
    <w:rsid w:val="008565D1"/>
    <w:rsid w:val="00856A12"/>
    <w:rsid w:val="008658CC"/>
    <w:rsid w:val="00882DB9"/>
    <w:rsid w:val="00883F84"/>
    <w:rsid w:val="00896080"/>
    <w:rsid w:val="008968D4"/>
    <w:rsid w:val="008C06EF"/>
    <w:rsid w:val="008C6F93"/>
    <w:rsid w:val="00904B3C"/>
    <w:rsid w:val="009078D2"/>
    <w:rsid w:val="00914960"/>
    <w:rsid w:val="00917C49"/>
    <w:rsid w:val="00923CD9"/>
    <w:rsid w:val="00925728"/>
    <w:rsid w:val="0093672A"/>
    <w:rsid w:val="009401D5"/>
    <w:rsid w:val="00955E7F"/>
    <w:rsid w:val="00987C4E"/>
    <w:rsid w:val="0099672A"/>
    <w:rsid w:val="009B7D8F"/>
    <w:rsid w:val="009D68AF"/>
    <w:rsid w:val="009E6F55"/>
    <w:rsid w:val="009F451D"/>
    <w:rsid w:val="00A0315F"/>
    <w:rsid w:val="00A1070A"/>
    <w:rsid w:val="00A6159B"/>
    <w:rsid w:val="00A7591B"/>
    <w:rsid w:val="00A80A6F"/>
    <w:rsid w:val="00A8567F"/>
    <w:rsid w:val="00A91F6A"/>
    <w:rsid w:val="00AB0EBE"/>
    <w:rsid w:val="00AD0E2C"/>
    <w:rsid w:val="00AE5173"/>
    <w:rsid w:val="00AF7B04"/>
    <w:rsid w:val="00B648A5"/>
    <w:rsid w:val="00B80DCC"/>
    <w:rsid w:val="00B91959"/>
    <w:rsid w:val="00B949D8"/>
    <w:rsid w:val="00BB4CC5"/>
    <w:rsid w:val="00BC7B1E"/>
    <w:rsid w:val="00BD14E5"/>
    <w:rsid w:val="00BE0B1F"/>
    <w:rsid w:val="00C10C0A"/>
    <w:rsid w:val="00C12059"/>
    <w:rsid w:val="00C31ED3"/>
    <w:rsid w:val="00C44695"/>
    <w:rsid w:val="00C61A7F"/>
    <w:rsid w:val="00C7115B"/>
    <w:rsid w:val="00C7540A"/>
    <w:rsid w:val="00CA517C"/>
    <w:rsid w:val="00CB1995"/>
    <w:rsid w:val="00CC6258"/>
    <w:rsid w:val="00CE6A9F"/>
    <w:rsid w:val="00CF0E1C"/>
    <w:rsid w:val="00D0087B"/>
    <w:rsid w:val="00D2476F"/>
    <w:rsid w:val="00D31DAC"/>
    <w:rsid w:val="00D344A4"/>
    <w:rsid w:val="00D344ED"/>
    <w:rsid w:val="00D401F8"/>
    <w:rsid w:val="00D4429E"/>
    <w:rsid w:val="00D61D63"/>
    <w:rsid w:val="00D67E2E"/>
    <w:rsid w:val="00E112F9"/>
    <w:rsid w:val="00E20D59"/>
    <w:rsid w:val="00EA2F10"/>
    <w:rsid w:val="00EA33CF"/>
    <w:rsid w:val="00EB0E77"/>
    <w:rsid w:val="00F02649"/>
    <w:rsid w:val="00F02BB6"/>
    <w:rsid w:val="00F274D3"/>
    <w:rsid w:val="00F30FDC"/>
    <w:rsid w:val="00F4520E"/>
    <w:rsid w:val="00F52829"/>
    <w:rsid w:val="00F52918"/>
    <w:rsid w:val="00F54D14"/>
    <w:rsid w:val="00F56098"/>
    <w:rsid w:val="00F82A04"/>
    <w:rsid w:val="00F9192D"/>
    <w:rsid w:val="00F92858"/>
    <w:rsid w:val="00FD2215"/>
    <w:rsid w:val="00FD45BF"/>
    <w:rsid w:val="00FD6D71"/>
    <w:rsid w:val="00FE32F4"/>
    <w:rsid w:val="00FE6B0F"/>
    <w:rsid w:val="00FE700E"/>
    <w:rsid w:val="00FF7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1D0C5"/>
  <w15:chartTrackingRefBased/>
  <w15:docId w15:val="{54B8DD55-F502-40E3-B09E-2117251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1D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iPriority w:val="99"/>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F82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A04"/>
    <w:rPr>
      <w:rFonts w:ascii="Segoe UI" w:hAnsi="Segoe UI" w:cs="Segoe UI"/>
      <w:sz w:val="18"/>
      <w:szCs w:val="18"/>
    </w:rPr>
  </w:style>
  <w:style w:type="paragraph" w:styleId="Akapitzlist">
    <w:name w:val="List Paragraph"/>
    <w:basedOn w:val="Normalny"/>
    <w:uiPriority w:val="34"/>
    <w:qFormat/>
    <w:rsid w:val="00D2476F"/>
    <w:pPr>
      <w:ind w:left="720"/>
      <w:contextualSpacing/>
    </w:pPr>
  </w:style>
  <w:style w:type="paragraph" w:styleId="Tekstprzypisukocowego">
    <w:name w:val="endnote text"/>
    <w:basedOn w:val="Normalny"/>
    <w:link w:val="TekstprzypisukocowegoZnak"/>
    <w:uiPriority w:val="99"/>
    <w:semiHidden/>
    <w:unhideWhenUsed/>
    <w:rsid w:val="008152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52B4"/>
    <w:rPr>
      <w:sz w:val="20"/>
      <w:szCs w:val="20"/>
    </w:rPr>
  </w:style>
  <w:style w:type="character" w:styleId="Odwoanieprzypisukocowego">
    <w:name w:val="endnote reference"/>
    <w:basedOn w:val="Domylnaczcionkaakapitu"/>
    <w:uiPriority w:val="99"/>
    <w:semiHidden/>
    <w:unhideWhenUsed/>
    <w:rsid w:val="008152B4"/>
    <w:rPr>
      <w:vertAlign w:val="superscript"/>
    </w:rPr>
  </w:style>
  <w:style w:type="paragraph" w:styleId="Tekstprzypisudolnego">
    <w:name w:val="footnote text"/>
    <w:basedOn w:val="Normalny"/>
    <w:link w:val="TekstprzypisudolnegoZnak"/>
    <w:uiPriority w:val="99"/>
    <w:semiHidden/>
    <w:unhideWhenUsed/>
    <w:rsid w:val="00D31D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1DAC"/>
    <w:rPr>
      <w:sz w:val="20"/>
      <w:szCs w:val="20"/>
    </w:rPr>
  </w:style>
  <w:style w:type="character" w:styleId="Odwoanieprzypisudolnego">
    <w:name w:val="footnote reference"/>
    <w:aliases w:val="Footnote Reference Number,Footnote reference number,Footnote symbol,note TESI,SUPERS,EN Footnote Reference,Footnote number"/>
    <w:basedOn w:val="Domylnaczcionkaakapitu"/>
    <w:uiPriority w:val="99"/>
    <w:unhideWhenUsed/>
    <w:rsid w:val="00D31D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92825">
      <w:bodyDiv w:val="1"/>
      <w:marLeft w:val="0"/>
      <w:marRight w:val="0"/>
      <w:marTop w:val="0"/>
      <w:marBottom w:val="0"/>
      <w:divBdr>
        <w:top w:val="none" w:sz="0" w:space="0" w:color="auto"/>
        <w:left w:val="none" w:sz="0" w:space="0" w:color="auto"/>
        <w:bottom w:val="none" w:sz="0" w:space="0" w:color="auto"/>
        <w:right w:val="none" w:sz="0" w:space="0" w:color="auto"/>
      </w:divBdr>
    </w:div>
    <w:div w:id="1654065936">
      <w:bodyDiv w:val="1"/>
      <w:marLeft w:val="0"/>
      <w:marRight w:val="0"/>
      <w:marTop w:val="0"/>
      <w:marBottom w:val="0"/>
      <w:divBdr>
        <w:top w:val="none" w:sz="0" w:space="0" w:color="auto"/>
        <w:left w:val="none" w:sz="0" w:space="0" w:color="auto"/>
        <w:bottom w:val="none" w:sz="0" w:space="0" w:color="auto"/>
        <w:right w:val="none" w:sz="0" w:space="0" w:color="auto"/>
      </w:divBdr>
      <w:divsChild>
        <w:div w:id="1487747524">
          <w:marLeft w:val="0"/>
          <w:marRight w:val="0"/>
          <w:marTop w:val="0"/>
          <w:marBottom w:val="0"/>
          <w:divBdr>
            <w:top w:val="none" w:sz="0" w:space="0" w:color="auto"/>
            <w:left w:val="none" w:sz="0" w:space="0" w:color="auto"/>
            <w:bottom w:val="none" w:sz="0" w:space="0" w:color="auto"/>
            <w:right w:val="none" w:sz="0" w:space="0" w:color="auto"/>
          </w:divBdr>
        </w:div>
        <w:div w:id="656958596">
          <w:marLeft w:val="0"/>
          <w:marRight w:val="0"/>
          <w:marTop w:val="0"/>
          <w:marBottom w:val="0"/>
          <w:divBdr>
            <w:top w:val="none" w:sz="0" w:space="0" w:color="auto"/>
            <w:left w:val="none" w:sz="0" w:space="0" w:color="auto"/>
            <w:bottom w:val="none" w:sz="0" w:space="0" w:color="auto"/>
            <w:right w:val="none" w:sz="0" w:space="0" w:color="auto"/>
          </w:divBdr>
        </w:div>
        <w:div w:id="1269894463">
          <w:marLeft w:val="0"/>
          <w:marRight w:val="0"/>
          <w:marTop w:val="0"/>
          <w:marBottom w:val="0"/>
          <w:divBdr>
            <w:top w:val="none" w:sz="0" w:space="0" w:color="auto"/>
            <w:left w:val="none" w:sz="0" w:space="0" w:color="auto"/>
            <w:bottom w:val="none" w:sz="0" w:space="0" w:color="auto"/>
            <w:right w:val="none" w:sz="0" w:space="0" w:color="auto"/>
          </w:divBdr>
        </w:div>
        <w:div w:id="1057975796">
          <w:marLeft w:val="0"/>
          <w:marRight w:val="0"/>
          <w:marTop w:val="0"/>
          <w:marBottom w:val="0"/>
          <w:divBdr>
            <w:top w:val="none" w:sz="0" w:space="0" w:color="auto"/>
            <w:left w:val="none" w:sz="0" w:space="0" w:color="auto"/>
            <w:bottom w:val="none" w:sz="0" w:space="0" w:color="auto"/>
            <w:right w:val="none" w:sz="0" w:space="0" w:color="auto"/>
          </w:divBdr>
        </w:div>
        <w:div w:id="1107896151">
          <w:marLeft w:val="0"/>
          <w:marRight w:val="0"/>
          <w:marTop w:val="0"/>
          <w:marBottom w:val="0"/>
          <w:divBdr>
            <w:top w:val="none" w:sz="0" w:space="0" w:color="auto"/>
            <w:left w:val="none" w:sz="0" w:space="0" w:color="auto"/>
            <w:bottom w:val="none" w:sz="0" w:space="0" w:color="auto"/>
            <w:right w:val="none" w:sz="0" w:space="0" w:color="auto"/>
          </w:divBdr>
        </w:div>
        <w:div w:id="918056370">
          <w:marLeft w:val="0"/>
          <w:marRight w:val="0"/>
          <w:marTop w:val="0"/>
          <w:marBottom w:val="0"/>
          <w:divBdr>
            <w:top w:val="none" w:sz="0" w:space="0" w:color="auto"/>
            <w:left w:val="none" w:sz="0" w:space="0" w:color="auto"/>
            <w:bottom w:val="none" w:sz="0" w:space="0" w:color="auto"/>
            <w:right w:val="none" w:sz="0" w:space="0" w:color="auto"/>
          </w:divBdr>
        </w:div>
        <w:div w:id="1604067403">
          <w:marLeft w:val="0"/>
          <w:marRight w:val="0"/>
          <w:marTop w:val="0"/>
          <w:marBottom w:val="0"/>
          <w:divBdr>
            <w:top w:val="none" w:sz="0" w:space="0" w:color="auto"/>
            <w:left w:val="none" w:sz="0" w:space="0" w:color="auto"/>
            <w:bottom w:val="none" w:sz="0" w:space="0" w:color="auto"/>
            <w:right w:val="none" w:sz="0" w:space="0" w:color="auto"/>
          </w:divBdr>
        </w:div>
      </w:divsChild>
    </w:div>
    <w:div w:id="17728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4CA7-A3A6-4CDA-B926-A01E46F0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764</Words>
  <Characters>4589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Łącki Sylwester</dc:creator>
  <cp:keywords/>
  <dc:description/>
  <cp:lastModifiedBy>Starzyk Olga</cp:lastModifiedBy>
  <cp:revision>19</cp:revision>
  <cp:lastPrinted>2022-10-24T08:19:00Z</cp:lastPrinted>
  <dcterms:created xsi:type="dcterms:W3CDTF">2022-02-28T15:11:00Z</dcterms:created>
  <dcterms:modified xsi:type="dcterms:W3CDTF">2022-10-24T09:06:00Z</dcterms:modified>
</cp:coreProperties>
</file>