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39D44D55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</w:t>
      </w:r>
      <w:r w:rsidR="00C42080">
        <w:rPr>
          <w:rFonts w:ascii="Arial" w:hAnsi="Arial" w:cs="Arial"/>
          <w:b/>
          <w:color w:val="auto"/>
          <w:sz w:val="24"/>
          <w:szCs w:val="24"/>
        </w:rPr>
        <w:t>1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01F9DFC3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4278D164" w:rsidR="00CD7C2B" w:rsidRPr="00CA1A2A" w:rsidRDefault="00CD7C2B" w:rsidP="004B3691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 xml:space="preserve">Muzeum Historii Żydów Polskich POLIN, Muzeum </w:t>
            </w:r>
            <w:r w:rsidR="004B3691">
              <w:rPr>
                <w:rFonts w:cstheme="minorHAnsi"/>
              </w:rPr>
              <w:t>Narodowe</w:t>
            </w:r>
            <w:r w:rsidRPr="00CA1A2A">
              <w:rPr>
                <w:rFonts w:cstheme="minorHAnsi"/>
              </w:rPr>
              <w:t xml:space="preserve">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661C6438" w:rsidR="00CD7C2B" w:rsidRPr="00856047" w:rsidRDefault="006C48A8" w:rsidP="00C42080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</w:t>
            </w:r>
            <w:r w:rsidR="002B0FB3">
              <w:rPr>
                <w:rFonts w:cstheme="minorHAnsi"/>
                <w:lang w:eastAsia="pl-PL"/>
              </w:rPr>
              <w:t> 1</w:t>
            </w:r>
            <w:r w:rsidR="00C42080">
              <w:rPr>
                <w:rFonts w:cstheme="minorHAnsi"/>
                <w:lang w:eastAsia="pl-PL"/>
              </w:rPr>
              <w:t>42</w:t>
            </w:r>
            <w:r w:rsidR="002B0FB3">
              <w:rPr>
                <w:rFonts w:cstheme="minorHAnsi"/>
                <w:lang w:eastAsia="pl-PL"/>
              </w:rPr>
              <w:t> </w:t>
            </w:r>
            <w:r w:rsidR="00C42080">
              <w:rPr>
                <w:rFonts w:cstheme="minorHAnsi"/>
                <w:lang w:eastAsia="pl-PL"/>
              </w:rPr>
              <w:t>591</w:t>
            </w:r>
            <w:r w:rsidR="002B0FB3">
              <w:rPr>
                <w:rFonts w:cstheme="minorHAnsi"/>
                <w:lang w:eastAsia="pl-PL"/>
              </w:rPr>
              <w:t>,</w:t>
            </w:r>
            <w:r w:rsidR="00C42080">
              <w:rPr>
                <w:rFonts w:cstheme="minorHAnsi"/>
                <w:lang w:eastAsia="pl-PL"/>
              </w:rPr>
              <w:t>36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0A7113B9" w:rsidR="00915C7A" w:rsidRPr="0040169B" w:rsidRDefault="00C42080" w:rsidP="002B0FB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66,67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11BA04AC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C42080">
              <w:rPr>
                <w:rFonts w:cstheme="minorHAnsi"/>
                <w:szCs w:val="20"/>
              </w:rPr>
              <w:t>68,65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6BC5D871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C42080">
              <w:rPr>
                <w:rFonts w:cstheme="minorHAnsi"/>
                <w:szCs w:val="20"/>
              </w:rPr>
              <w:t>6</w:t>
            </w:r>
            <w:r w:rsidR="00F44172">
              <w:rPr>
                <w:rFonts w:cstheme="minorHAnsi"/>
                <w:szCs w:val="20"/>
              </w:rPr>
              <w:t>2</w:t>
            </w:r>
            <w:r w:rsidR="00C42080">
              <w:rPr>
                <w:rFonts w:cstheme="minorHAnsi"/>
                <w:szCs w:val="20"/>
              </w:rPr>
              <w:t>,</w:t>
            </w:r>
            <w:r w:rsidR="00F44172">
              <w:rPr>
                <w:rFonts w:cstheme="minorHAnsi"/>
                <w:szCs w:val="20"/>
              </w:rPr>
              <w:t>34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2DE53508" w:rsidR="0049731B" w:rsidRPr="0040169B" w:rsidRDefault="0049731B" w:rsidP="00C42080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C42080">
              <w:rPr>
                <w:rFonts w:cstheme="minorHAnsi"/>
                <w:szCs w:val="20"/>
              </w:rPr>
              <w:t>68,51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793E1CBF" w:rsidR="0049731B" w:rsidRPr="0040169B" w:rsidRDefault="00C42080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84,48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407E0E7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E3B99F3" w14:textId="3F65683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5CC1299B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1850010A" w14:textId="0269DF8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K3 - Zakończenie prac nad ujednoliceniem haseł słownikowych w zakresie udostępnianym we wspólnej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3D8E300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5DAC2FE0" w14:textId="41BE1A1A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31B58914" w14:textId="4705F9AF" w:rsidR="00AD07BB" w:rsidRPr="007A2E2A" w:rsidRDefault="007657B7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1E137FC1" w:rsidR="00AD07BB" w:rsidRPr="007A2E2A" w:rsidRDefault="00AD07BB" w:rsidP="004B369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K4 - Dostosowanie stron internetowych lub API stron instytucji: Muzeum Narodowego w Szczecinie, Muzeum </w:t>
            </w:r>
            <w:r w:rsidR="004B3691">
              <w:rPr>
                <w:rFonts w:ascii="Calibri" w:hAnsi="Calibri" w:cs="Calibri"/>
                <w:color w:val="000000"/>
              </w:rPr>
              <w:t>Narodowego</w:t>
            </w:r>
            <w:r>
              <w:rPr>
                <w:rFonts w:ascii="Calibri" w:hAnsi="Calibri" w:cs="Calibri"/>
                <w:color w:val="000000"/>
              </w:rPr>
              <w:t xml:space="preserve">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15247FCE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A44AE78" w:rsidR="00AD07BB" w:rsidRPr="007A2E2A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2 </w:t>
            </w:r>
            <w:r w:rsidR="00F56A72">
              <w:rPr>
                <w:rFonts w:ascii="Calibri" w:hAnsi="Calibri" w:cs="Calibri"/>
                <w:color w:val="000000"/>
              </w:rPr>
              <w:t>- 7173 szt.</w:t>
            </w:r>
            <w:r w:rsidR="00F56A72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1,0</w:t>
            </w:r>
            <w:r w:rsidR="00F56A72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22FB40B" w14:textId="5B91AFB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25F716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K7 – Zakończenie opracowywania 50% dokumentacji RTI i 50%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52EF8C15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4F6FBBCE" w14:textId="067890BB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0C849ACA" w14:textId="68834B20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5C6FFE67" w14:textId="77777777" w:rsidR="00FA2AD5" w:rsidRDefault="007657B7" w:rsidP="00FA2A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31924C0B" w14:textId="77777777" w:rsidR="00550137" w:rsidRDefault="00550137" w:rsidP="00FA2AD5">
            <w:pPr>
              <w:rPr>
                <w:rFonts w:ascii="Calibri" w:hAnsi="Calibri" w:cs="Calibri"/>
                <w:color w:val="000000"/>
              </w:rPr>
            </w:pPr>
          </w:p>
          <w:p w14:paraId="5632FFC3" w14:textId="49F49DE0" w:rsidR="00550137" w:rsidRPr="007A2E2A" w:rsidRDefault="00550137" w:rsidP="00550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został osiągnięty z opóźnieniem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>zacji zadania u lidera</w:t>
            </w:r>
            <w:r>
              <w:rPr>
                <w:rFonts w:ascii="Arial" w:hAnsi="Arial" w:cs="Arial"/>
                <w:sz w:val="20"/>
                <w:szCs w:val="20"/>
              </w:rPr>
              <w:t xml:space="preserve">. Na wymienione opóźnienia miała wpływ sytuacja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nadzwyczajna związana z epidemią covid-19.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Kamień milowy K8 – Zakończenie opracowywania i publikacja 100% dokumentacji RTI i 100%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617A88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8759027" w14:textId="37D0585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183E4749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F3C3DD" w14:textId="38BA7D7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1BD3C82F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98957ED" w14:textId="44657C04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2D576AA3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C8C7E49" w14:textId="706A6C3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4D5AEA2" w14:textId="7C2FE825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F5431C">
              <w:rPr>
                <w:rFonts w:ascii="Calibri" w:hAnsi="Calibri" w:cs="Calibri"/>
                <w:color w:val="000000"/>
              </w:rPr>
              <w:t>03-2021</w:t>
            </w:r>
          </w:p>
        </w:tc>
        <w:tc>
          <w:tcPr>
            <w:tcW w:w="1842" w:type="dxa"/>
          </w:tcPr>
          <w:p w14:paraId="444ECF28" w14:textId="77777777" w:rsidR="00AD07BB" w:rsidRDefault="00F5431C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534071D7" w14:textId="77777777" w:rsidR="00F5431C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9936D8" w14:textId="77671743" w:rsidR="00F5431C" w:rsidRPr="007A2E2A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F5431C">
              <w:rPr>
                <w:rFonts w:ascii="Arial" w:hAnsi="Arial" w:cs="Arial"/>
                <w:sz w:val="20"/>
                <w:szCs w:val="20"/>
              </w:rPr>
              <w:t>Kamień milowy został osiągnięty z opóźnieniem ze względu na opóźnienia wywołane stanem epidemii covid-19.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K12 – Publikacja map internetowych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Geoportalach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82CC171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0,06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1FBD1D47" w14:textId="7607CE3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74C11EEC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02406CE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  <w:p w14:paraId="5B2E8275" w14:textId="77777777" w:rsidR="00AD07BB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576FE" w14:textId="17689B13" w:rsidR="00F5431C" w:rsidRPr="007A2E2A" w:rsidRDefault="00F5431C" w:rsidP="00F5431C">
            <w:pPr>
              <w:rPr>
                <w:rFonts w:ascii="Arial" w:hAnsi="Arial" w:cs="Arial"/>
                <w:sz w:val="20"/>
                <w:szCs w:val="20"/>
              </w:rPr>
            </w:pPr>
            <w:r w:rsidRPr="00F5431C">
              <w:rPr>
                <w:rFonts w:ascii="Arial" w:hAnsi="Arial" w:cs="Arial"/>
                <w:sz w:val="20"/>
                <w:szCs w:val="20"/>
              </w:rPr>
              <w:t>Kamień milowy nie został osiągnięty ze względu na skierowanie sprawy do KIO na etapie wyboru wykonawcy. Realizacja całej umowy przesunęła się o 1,5 miesiąca. Planowany odbiór etapu 17.05.2021. Opóźnienie nie wpłynie na ostateczny termin zakończenia realizacji projektu.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0B15E90E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1 - 5 szt.</w:t>
            </w:r>
            <w:r>
              <w:rPr>
                <w:rFonts w:ascii="Calibri" w:hAnsi="Calibri" w:cs="Calibri"/>
                <w:color w:val="000000"/>
              </w:rPr>
              <w:br/>
              <w:t>KPI 3 - 9510 szt.</w:t>
            </w:r>
            <w:r>
              <w:rPr>
                <w:rFonts w:ascii="Calibri" w:hAnsi="Calibri" w:cs="Calibri"/>
                <w:color w:val="000000"/>
              </w:rPr>
              <w:br/>
              <w:t>KPI 4 - 1 szt.</w:t>
            </w:r>
            <w:r>
              <w:rPr>
                <w:rFonts w:ascii="Calibri" w:hAnsi="Calibri" w:cs="Calibri"/>
                <w:color w:val="000000"/>
              </w:rPr>
              <w:br/>
              <w:t>KPI 5 - 1 szt.</w:t>
            </w: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0,24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F1C123F" w14:textId="627B576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K15 – Konferencja prasowa kończąca kampanię </w:t>
            </w:r>
            <w:r>
              <w:rPr>
                <w:rFonts w:ascii="Calibri" w:hAnsi="Calibri" w:cs="Calibri"/>
                <w:color w:val="000000"/>
              </w:rPr>
              <w:lastRenderedPageBreak/>
              <w:t>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--</w:t>
            </w:r>
          </w:p>
        </w:tc>
        <w:tc>
          <w:tcPr>
            <w:tcW w:w="1559" w:type="dxa"/>
          </w:tcPr>
          <w:p w14:paraId="71C8162A" w14:textId="13F3C75D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0C58C48D" w:rsidR="00AD07BB" w:rsidRPr="007A2E2A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04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 w:rsidR="00AD07BB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3AF6B140" w:rsidR="00FA2AD5" w:rsidRPr="007A2E2A" w:rsidRDefault="00F5431C" w:rsidP="00765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został przesunięty aneksem nr 3 do umowy o dofinansowanie.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09EB371C" w:rsidR="00AD07BB" w:rsidRPr="00B63C28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</w:rPr>
              <w:t>09-2021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000A139E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  <w:p w14:paraId="1D9F4122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</w:p>
          <w:p w14:paraId="655BEAFE" w14:textId="019279B1" w:rsidR="00484BFF" w:rsidRPr="00B63C28" w:rsidRDefault="00F5431C" w:rsidP="00F543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został przesunięty aneksem nr 3 do umowy o dofinansowanie.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K18 – Publikacja treści edukacyjnych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C7BCDF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61967939" w:rsidR="007A2E2A" w:rsidRPr="00DF2665" w:rsidRDefault="00D1296A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4474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odtworzeń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lastRenderedPageBreak/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21170130" w:rsidR="007A2E2A" w:rsidRPr="00856047" w:rsidRDefault="00D1296A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4,231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Historii Żydów Polskich POLIN w Warszawie z zespołów: sztuka, komiks, etnografia, pamiątki rodzinne Żydów Polskich, Kolekcji “Sprawiedliwi”, Kolekcji “Gina i Marek Szwarcowie”, </w:t>
            </w:r>
            <w:r w:rsidRPr="00CA1A2A">
              <w:rPr>
                <w:rFonts w:cstheme="minorHAnsi"/>
                <w:sz w:val="20"/>
                <w:lang w:eastAsia="pl-PL"/>
              </w:rPr>
              <w:lastRenderedPageBreak/>
              <w:t xml:space="preserve">Kolekcji “Świat Teodora </w:t>
            </w:r>
            <w:proofErr w:type="spellStart"/>
            <w:r w:rsidRPr="00CA1A2A">
              <w:rPr>
                <w:rFonts w:cstheme="minorHAnsi"/>
                <w:sz w:val="20"/>
                <w:lang w:eastAsia="pl-PL"/>
              </w:rPr>
              <w:t>Boka</w:t>
            </w:r>
            <w:proofErr w:type="spellEnd"/>
            <w:r w:rsidRPr="00CA1A2A">
              <w:rPr>
                <w:rFonts w:cstheme="minorHAnsi"/>
                <w:sz w:val="20"/>
                <w:lang w:eastAsia="pl-PL"/>
              </w:rPr>
              <w:t>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4B7D8BB0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</w:t>
            </w:r>
            <w:r w:rsidR="004B3691">
              <w:rPr>
                <w:rFonts w:cstheme="minorHAnsi"/>
                <w:sz w:val="20"/>
                <w:lang w:eastAsia="pl-PL"/>
              </w:rPr>
              <w:t>Narodowego</w:t>
            </w:r>
            <w:r w:rsidRPr="00CA1A2A">
              <w:rPr>
                <w:rFonts w:cstheme="minorHAnsi"/>
                <w:sz w:val="20"/>
                <w:lang w:eastAsia="pl-PL"/>
              </w:rPr>
              <w:t xml:space="preserve">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Strona internetowa z multiwyszukiwarką pozwalającą na przeszukiwanie baz danych wszystkich instytucji partnerskich i zintegrowanie publikowanych zasobów (2D, 3D, RTI,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Gigapixel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>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67B77CD" w14:textId="5D48FC8B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 w:rsidR="007A2E2A" w:rsidRPr="00CA1A2A">
              <w:rPr>
                <w:rFonts w:cstheme="minorHAnsi"/>
                <w:sz w:val="20"/>
              </w:rPr>
              <w:t xml:space="preserve"> </w:t>
            </w:r>
          </w:p>
          <w:p w14:paraId="7355CF00" w14:textId="77777777" w:rsidR="007A2E2A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="007A2E2A" w:rsidRPr="00CA1A2A">
              <w:rPr>
                <w:rFonts w:cstheme="minorHAnsi"/>
                <w:sz w:val="20"/>
              </w:rPr>
              <w:t>podłączenie baz danych wdrożonego u Partnerów systemu do multiwyszukiwarki</w:t>
            </w:r>
          </w:p>
          <w:p w14:paraId="6EF0731B" w14:textId="0788BB90" w:rsidR="00985A5B" w:rsidRPr="00CA1A2A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4FAB26C1" w14:textId="051835E2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gis.muzeum-wilanow.pl</w:t>
            </w:r>
          </w:p>
          <w:p w14:paraId="13B78170" w14:textId="77777777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Pr="00CA1A2A">
              <w:rPr>
                <w:rFonts w:cstheme="minorHAnsi"/>
                <w:sz w:val="20"/>
              </w:rPr>
              <w:t>zasilenie danymi i integracja z istniejącym systemem</w:t>
            </w:r>
            <w:r>
              <w:rPr>
                <w:rFonts w:cstheme="minorHAnsi"/>
                <w:sz w:val="20"/>
              </w:rPr>
              <w:t xml:space="preserve"> </w:t>
            </w:r>
          </w:p>
          <w:p w14:paraId="15B7C64B" w14:textId="74AC5EA3" w:rsidR="00985A5B" w:rsidRPr="00CA1A2A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33F80AF" w14:textId="07C33E14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</w:t>
            </w:r>
            <w:r w:rsidR="004B55FF" w:rsidRPr="00CA1A2A">
              <w:rPr>
                <w:rFonts w:cstheme="minorHAnsi"/>
                <w:sz w:val="20"/>
              </w:rPr>
              <w:t>strona www</w:t>
            </w:r>
            <w:r w:rsidR="004B55FF">
              <w:rPr>
                <w:rFonts w:cstheme="minorHAnsi"/>
                <w:sz w:val="20"/>
              </w:rPr>
              <w:t xml:space="preserve"> MNS</w:t>
            </w:r>
          </w:p>
          <w:p w14:paraId="063887CE" w14:textId="33BDAABE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="004B55FF" w:rsidRPr="00CA1A2A">
              <w:rPr>
                <w:rFonts w:cstheme="minorHAnsi"/>
                <w:sz w:val="20"/>
              </w:rPr>
              <w:t>dostosowanie strony www do publikacji zbiorów</w:t>
            </w:r>
          </w:p>
          <w:p w14:paraId="3C7F3684" w14:textId="106FF497" w:rsidR="00985A5B" w:rsidRPr="00CA1A2A" w:rsidRDefault="00985A5B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BB4E6F">
              <w:rPr>
                <w:rFonts w:cstheme="minorHAnsi"/>
                <w:sz w:val="20"/>
              </w:rPr>
              <w:t>wdrażanie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2EFC2625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Zbiory cyfrowe Muzeum </w:t>
            </w:r>
            <w:r w:rsidR="004B3691">
              <w:rPr>
                <w:rFonts w:cstheme="minorHAnsi"/>
                <w:sz w:val="20"/>
                <w:szCs w:val="18"/>
              </w:rPr>
              <w:t>Narodowego</w:t>
            </w:r>
            <w:r w:rsidRPr="00CA1A2A">
              <w:rPr>
                <w:rFonts w:cstheme="minorHAnsi"/>
                <w:sz w:val="20"/>
                <w:szCs w:val="18"/>
              </w:rPr>
              <w:t xml:space="preserve"> w Lublinie – </w:t>
            </w:r>
            <w:r w:rsidRPr="00CA1A2A">
              <w:rPr>
                <w:rFonts w:cstheme="minorHAnsi"/>
                <w:sz w:val="20"/>
                <w:szCs w:val="18"/>
              </w:rPr>
              <w:lastRenderedPageBreak/>
              <w:t>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27495F6" w14:textId="3D185F64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strona www</w:t>
            </w:r>
            <w:r>
              <w:rPr>
                <w:rFonts w:cstheme="minorHAnsi"/>
                <w:sz w:val="20"/>
              </w:rPr>
              <w:t xml:space="preserve"> ML</w:t>
            </w:r>
          </w:p>
          <w:p w14:paraId="7DA9EC49" w14:textId="77777777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Opis zależności: </w:t>
            </w:r>
            <w:r w:rsidRPr="00CA1A2A">
              <w:rPr>
                <w:rFonts w:cstheme="minorHAnsi"/>
                <w:sz w:val="20"/>
              </w:rPr>
              <w:t>dostosowanie strony www do publikacji zbiorów</w:t>
            </w:r>
          </w:p>
          <w:p w14:paraId="559CD010" w14:textId="68D0102F" w:rsidR="007A2E2A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</w:t>
            </w:r>
            <w:r w:rsidR="004B3691">
              <w:rPr>
                <w:rFonts w:cstheme="minorHAnsi"/>
                <w:sz w:val="20"/>
              </w:rPr>
              <w:t xml:space="preserve"> wdrażanie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07EF32AF" w14:textId="79405949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strona www</w:t>
            </w:r>
            <w:r>
              <w:rPr>
                <w:rFonts w:cstheme="minorHAnsi"/>
                <w:sz w:val="20"/>
              </w:rPr>
              <w:t xml:space="preserve"> MZŁ</w:t>
            </w:r>
          </w:p>
          <w:p w14:paraId="7E7809EF" w14:textId="77777777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Pr="00CA1A2A">
              <w:rPr>
                <w:rFonts w:cstheme="minorHAnsi"/>
                <w:sz w:val="20"/>
              </w:rPr>
              <w:t>dostosowanie strony www do publikacji zbiorów</w:t>
            </w:r>
          </w:p>
          <w:p w14:paraId="5B02F787" w14:textId="037DBDA9" w:rsidR="007A2E2A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</w:t>
            </w:r>
            <w:r w:rsidR="00EF79B6">
              <w:rPr>
                <w:rFonts w:cstheme="minorHAnsi"/>
                <w:sz w:val="20"/>
              </w:rPr>
              <w:t xml:space="preserve"> specyfikacja wymagań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BC0F12D" w14:textId="24BD05C4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Sketchfab.com</w:t>
            </w:r>
          </w:p>
          <w:p w14:paraId="73F12B2E" w14:textId="3A7DA1CC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Pr="00CA1A2A">
              <w:rPr>
                <w:rFonts w:cstheme="minorHAnsi"/>
                <w:sz w:val="20"/>
              </w:rPr>
              <w:t>wykorzystanie istniejącego systemu, w którym Muzeum Pałacu Króla Jana III w Wilanowie publikuje modele 3D</w:t>
            </w:r>
          </w:p>
          <w:p w14:paraId="6E5B978B" w14:textId="29066E99" w:rsidR="004B55FF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62D305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B0CA78E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minimalizację nakładów; </w:t>
            </w:r>
          </w:p>
          <w:p w14:paraId="543B349C" w14:textId="16E2BA5F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9FCBA1C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C0D6C3A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467ECD03" w14:textId="04EC851C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3EE1074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D0A7D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425566D9" w14:textId="21423407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6C347B17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3E527505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79E0B484" w14:textId="62AAFC13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761117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D7DE89F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797AA994" w14:textId="5D9D5B8A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92FB0B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49B0C5C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020F9852" w14:textId="1687BB94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8885FDB" w14:textId="2FC5949D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DF61C4D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43411C69" w14:textId="25D3F4EB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CA5BDB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0D08CA9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6E042601" w14:textId="1B9C0429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20076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8816D1A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lastRenderedPageBreak/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202FA676" w14:textId="37C2BF70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5FE372B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02859D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5CBBEC1A" w14:textId="098834EA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3271359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34300F40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68CF212D" w14:textId="303FA875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17B9794A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FFDF1AB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465FC9C0" w14:textId="02CE033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2D45435F" w14:textId="77777777" w:rsidTr="00852DB4">
        <w:tc>
          <w:tcPr>
            <w:tcW w:w="2665" w:type="dxa"/>
          </w:tcPr>
          <w:p w14:paraId="7A9F5DD4" w14:textId="32BD997E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465DD098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50AF4EE" w14:textId="36A1B9F1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5C073D33" w14:textId="52198D64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zapewnienie narzędzi i rozwiązań do zdalnej realizacji części procesu digitalizacji (</w:t>
            </w:r>
            <w:proofErr w:type="spellStart"/>
            <w:r w:rsidR="00852DB4">
              <w:rPr>
                <w:rFonts w:cstheme="minorHAnsi"/>
                <w:sz w:val="20"/>
                <w:szCs w:val="20"/>
              </w:rPr>
              <w:t>postprodukcja</w:t>
            </w:r>
            <w:proofErr w:type="spellEnd"/>
            <w:r w:rsidR="00852DB4">
              <w:rPr>
                <w:rFonts w:cstheme="minorHAnsi"/>
                <w:sz w:val="20"/>
                <w:szCs w:val="20"/>
              </w:rPr>
              <w:t>)</w:t>
            </w:r>
          </w:p>
          <w:p w14:paraId="23090D05" w14:textId="4372EAFB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54CB991" w14:textId="0F026B1D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661C8025" w14:textId="244AD7FF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7AE2AB83" w14:textId="2E65BFF8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78327847" w14:textId="77777777" w:rsidTr="00852DB4">
        <w:tc>
          <w:tcPr>
            <w:tcW w:w="2665" w:type="dxa"/>
          </w:tcPr>
          <w:p w14:paraId="2C682D8E" w14:textId="4FC6E750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3B623DC" w14:textId="15B7F08F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A717698" w14:textId="46BE80F3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73755B0A" w14:textId="574969B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9D4E6F3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D713A30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57E56D6C" w14:textId="63FA9B89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013410A4" w14:textId="326F1685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E367A4" w:rsidRPr="005F244D" w14:paraId="0CA8D2EE" w14:textId="77777777" w:rsidTr="007A0FF0">
        <w:tc>
          <w:tcPr>
            <w:tcW w:w="2665" w:type="dxa"/>
            <w:shd w:val="clear" w:color="auto" w:fill="auto"/>
          </w:tcPr>
          <w:p w14:paraId="11EB662F" w14:textId="1D23EB27" w:rsidR="00E367A4" w:rsidRPr="007A0FF0" w:rsidRDefault="00E367A4" w:rsidP="00E367A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wydłużenie postępowań </w:t>
            </w:r>
            <w:proofErr w:type="spellStart"/>
            <w:r w:rsidRPr="00E367A4">
              <w:rPr>
                <w:rFonts w:cstheme="minorHAnsi"/>
                <w:color w:val="000000"/>
                <w:sz w:val="20"/>
                <w:szCs w:val="20"/>
              </w:rPr>
              <w:t>pzp</w:t>
            </w:r>
            <w:proofErr w:type="spellEnd"/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 wskutek zmiany ustawy prawo zamówień publicznych od stycznia 2021</w:t>
            </w:r>
          </w:p>
        </w:tc>
        <w:tc>
          <w:tcPr>
            <w:tcW w:w="1417" w:type="dxa"/>
            <w:shd w:val="clear" w:color="auto" w:fill="auto"/>
          </w:tcPr>
          <w:p w14:paraId="0EBBC0F0" w14:textId="5ED0D189" w:rsidR="00E367A4" w:rsidRDefault="00E367A4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niska</w:t>
            </w:r>
          </w:p>
        </w:tc>
        <w:tc>
          <w:tcPr>
            <w:tcW w:w="1701" w:type="dxa"/>
            <w:shd w:val="clear" w:color="auto" w:fill="auto"/>
          </w:tcPr>
          <w:p w14:paraId="53E582F0" w14:textId="05D02FBC" w:rsidR="00E367A4" w:rsidRDefault="00E367A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008AD290" w14:textId="77777777" w:rsidR="00E367A4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E367A4">
              <w:rPr>
                <w:rFonts w:cstheme="minorHAnsi"/>
                <w:color w:val="000000"/>
                <w:sz w:val="20"/>
                <w:szCs w:val="20"/>
              </w:rPr>
              <w:t>rzygotowanie specyfikacji zamówień z wyprzedzeniem, przeszkolenie pracowników</w:t>
            </w:r>
          </w:p>
          <w:p w14:paraId="26DD2388" w14:textId="3675F68E" w:rsidR="00E367A4" w:rsidRPr="005A45F7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Zmiana: identyfikacja ryzyka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lastRenderedPageBreak/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CE3A3" w14:textId="77777777" w:rsidR="0009735C" w:rsidRDefault="0009735C" w:rsidP="00BB2420">
      <w:pPr>
        <w:spacing w:after="0" w:line="240" w:lineRule="auto"/>
      </w:pPr>
      <w:r>
        <w:separator/>
      </w:r>
    </w:p>
  </w:endnote>
  <w:endnote w:type="continuationSeparator" w:id="0">
    <w:p w14:paraId="712842B7" w14:textId="77777777" w:rsidR="0009735C" w:rsidRDefault="000973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707A668D" w:rsidR="00985A5B" w:rsidRDefault="00985A5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4E6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6BB23AF3" w14:textId="77777777" w:rsidR="00985A5B" w:rsidRDefault="00985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6733A" w14:textId="77777777" w:rsidR="0009735C" w:rsidRDefault="0009735C" w:rsidP="00BB2420">
      <w:pPr>
        <w:spacing w:after="0" w:line="240" w:lineRule="auto"/>
      </w:pPr>
      <w:r>
        <w:separator/>
      </w:r>
    </w:p>
  </w:footnote>
  <w:footnote w:type="continuationSeparator" w:id="0">
    <w:p w14:paraId="3972252E" w14:textId="77777777" w:rsidR="0009735C" w:rsidRDefault="0009735C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985A5B" w:rsidRDefault="00985A5B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9735C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56386"/>
    <w:rsid w:val="00263392"/>
    <w:rsid w:val="00265194"/>
    <w:rsid w:val="00276C00"/>
    <w:rsid w:val="00293351"/>
    <w:rsid w:val="00294349"/>
    <w:rsid w:val="002A3C02"/>
    <w:rsid w:val="002A5452"/>
    <w:rsid w:val="002B0FB3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26CDA"/>
    <w:rsid w:val="004350B8"/>
    <w:rsid w:val="00444AAB"/>
    <w:rsid w:val="00450089"/>
    <w:rsid w:val="00463B28"/>
    <w:rsid w:val="004729D1"/>
    <w:rsid w:val="00484BFF"/>
    <w:rsid w:val="00485FD0"/>
    <w:rsid w:val="0049731B"/>
    <w:rsid w:val="004B3691"/>
    <w:rsid w:val="004B46E4"/>
    <w:rsid w:val="004B55FF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44DFE"/>
    <w:rsid w:val="00550137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3BB5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657B7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DB4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5A5B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22B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37F5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0A5E"/>
    <w:rsid w:val="00BB2420"/>
    <w:rsid w:val="00BB49AC"/>
    <w:rsid w:val="00BB4E6F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080"/>
    <w:rsid w:val="00C42AEA"/>
    <w:rsid w:val="00C50541"/>
    <w:rsid w:val="00C57985"/>
    <w:rsid w:val="00C6751B"/>
    <w:rsid w:val="00CA1A2A"/>
    <w:rsid w:val="00CA516B"/>
    <w:rsid w:val="00CB0744"/>
    <w:rsid w:val="00CB7CF0"/>
    <w:rsid w:val="00CC7510"/>
    <w:rsid w:val="00CC7E21"/>
    <w:rsid w:val="00CD7C2B"/>
    <w:rsid w:val="00CE53E0"/>
    <w:rsid w:val="00CE74F9"/>
    <w:rsid w:val="00CE7777"/>
    <w:rsid w:val="00CF2E64"/>
    <w:rsid w:val="00D02F6D"/>
    <w:rsid w:val="00D064C6"/>
    <w:rsid w:val="00D1296A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67A4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4A0"/>
    <w:rsid w:val="00E9220B"/>
    <w:rsid w:val="00E97A1E"/>
    <w:rsid w:val="00EA0B4F"/>
    <w:rsid w:val="00EA3136"/>
    <w:rsid w:val="00EA6C3E"/>
    <w:rsid w:val="00EC2AFC"/>
    <w:rsid w:val="00ED1149"/>
    <w:rsid w:val="00EF79B6"/>
    <w:rsid w:val="00F138F7"/>
    <w:rsid w:val="00F2008A"/>
    <w:rsid w:val="00F20732"/>
    <w:rsid w:val="00F21D9E"/>
    <w:rsid w:val="00F25348"/>
    <w:rsid w:val="00F44172"/>
    <w:rsid w:val="00F45506"/>
    <w:rsid w:val="00F53DBC"/>
    <w:rsid w:val="00F5431C"/>
    <w:rsid w:val="00F56A72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70F3A-9033-4A3D-AC2C-CBA4188F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2488</Words>
  <Characters>14932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2021-05-06T13:01:00Z</dcterms:created>
  <dcterms:modified xsi:type="dcterms:W3CDTF">2021-05-06T13:01:00Z</dcterms:modified>
</cp:coreProperties>
</file>