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9BF5F" w14:textId="2E2BFBAC" w:rsidR="006501FD" w:rsidRPr="00C66DA9" w:rsidRDefault="002A253A" w:rsidP="006501FD">
      <w:pPr>
        <w:tabs>
          <w:tab w:val="left" w:pos="586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Załącznik</w:t>
      </w:r>
      <w:r w:rsidR="006501FD" w:rsidRPr="00C66DA9">
        <w:rPr>
          <w:rFonts w:ascii="Times New Roman" w:eastAsia="Times New Roman" w:hAnsi="Times New Roman" w:cs="Times New Roman"/>
          <w:lang w:eastAsia="pl-PL"/>
        </w:rPr>
        <w:t xml:space="preserve"> B.96.</w:t>
      </w:r>
    </w:p>
    <w:p w14:paraId="748F5EF9" w14:textId="77777777" w:rsidR="006501FD" w:rsidRPr="00C66DA9" w:rsidRDefault="006501FD" w:rsidP="006501FD">
      <w:pPr>
        <w:tabs>
          <w:tab w:val="left" w:pos="586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B3B70E4" w14:textId="183A3855" w:rsidR="009B6E4C" w:rsidRPr="00C66DA9" w:rsidRDefault="009B6E4C" w:rsidP="00C66DA9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  <w:r w:rsidRPr="00C66DA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LECZENIE </w:t>
      </w:r>
      <w:r w:rsidR="00FA6765" w:rsidRPr="00C66DA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CHORYCH Z </w:t>
      </w:r>
      <w:r w:rsidR="008E3C9B" w:rsidRPr="00C66DA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NOCN</w:t>
      </w:r>
      <w:r w:rsidR="00FA6765" w:rsidRPr="00C66DA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Ą</w:t>
      </w:r>
      <w:r w:rsidR="008E3C9B" w:rsidRPr="00C66DA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NAPADOW</w:t>
      </w:r>
      <w:r w:rsidR="00FA6765" w:rsidRPr="00C66DA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Ą</w:t>
      </w:r>
      <w:r w:rsidR="008E3C9B" w:rsidRPr="00C66DA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HEMOGLOBINURI</w:t>
      </w:r>
      <w:r w:rsidR="00FA6765" w:rsidRPr="00C66DA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Ą</w:t>
      </w:r>
      <w:r w:rsidR="000B54B9" w:rsidRPr="00C66DA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(PNH)</w:t>
      </w:r>
      <w:r w:rsidR="008E3C9B" w:rsidRPr="00C66DA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(ICD-10</w:t>
      </w:r>
      <w:r w:rsidRPr="00C66DA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8E3C9B" w:rsidRPr="00C66DA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D59.5</w:t>
      </w:r>
      <w:r w:rsidRPr="00C66DA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)</w:t>
      </w:r>
    </w:p>
    <w:tbl>
      <w:tblPr>
        <w:tblStyle w:val="Tabela-Siatka"/>
        <w:tblW w:w="4974" w:type="pct"/>
        <w:tblLook w:val="04A0" w:firstRow="1" w:lastRow="0" w:firstColumn="1" w:lastColumn="0" w:noHBand="0" w:noVBand="1"/>
      </w:tblPr>
      <w:tblGrid>
        <w:gridCol w:w="5100"/>
        <w:gridCol w:w="5104"/>
        <w:gridCol w:w="5104"/>
      </w:tblGrid>
      <w:tr w:rsidR="00097CEA" w:rsidRPr="006977EB" w14:paraId="680E62B9" w14:textId="77777777" w:rsidTr="00C66DA9">
        <w:trPr>
          <w:trHeight w:val="567"/>
        </w:trPr>
        <w:tc>
          <w:tcPr>
            <w:tcW w:w="5000" w:type="pct"/>
            <w:gridSpan w:val="3"/>
            <w:vAlign w:val="center"/>
          </w:tcPr>
          <w:p w14:paraId="7266AD2C" w14:textId="77777777" w:rsidR="00097CEA" w:rsidRPr="00C66DA9" w:rsidRDefault="00097CEA" w:rsidP="00C66DA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DA9">
              <w:rPr>
                <w:rFonts w:ascii="Times New Roman" w:hAnsi="Times New Roman" w:cs="Times New Roman"/>
                <w:b/>
                <w:sz w:val="20"/>
                <w:szCs w:val="20"/>
              </w:rPr>
              <w:t>ZAKRES ŚWIADCZENIA GWARANTOWANEGO</w:t>
            </w:r>
          </w:p>
        </w:tc>
      </w:tr>
      <w:tr w:rsidR="00097CEA" w:rsidRPr="006977EB" w14:paraId="28FF4927" w14:textId="77777777" w:rsidTr="00C66DA9">
        <w:tc>
          <w:tcPr>
            <w:tcW w:w="1666" w:type="pct"/>
            <w:vAlign w:val="center"/>
          </w:tcPr>
          <w:p w14:paraId="0AEE4939" w14:textId="77777777" w:rsidR="00097CEA" w:rsidRPr="00C66DA9" w:rsidRDefault="00097CEA" w:rsidP="00C66DA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DA9">
              <w:rPr>
                <w:rFonts w:ascii="Times New Roman" w:hAnsi="Times New Roman" w:cs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1667" w:type="pct"/>
            <w:vAlign w:val="center"/>
          </w:tcPr>
          <w:p w14:paraId="727BC667" w14:textId="7676765C" w:rsidR="00097CEA" w:rsidRPr="00C66DA9" w:rsidRDefault="00097CEA" w:rsidP="00C66DA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DA9">
              <w:rPr>
                <w:rFonts w:ascii="Times New Roman" w:hAnsi="Times New Roman" w:cs="Times New Roman"/>
                <w:b/>
                <w:sz w:val="20"/>
                <w:szCs w:val="20"/>
              </w:rPr>
              <w:t>SCHEMAT DAWKOWANIA LEK</w:t>
            </w:r>
            <w:r w:rsidR="00C66DA9">
              <w:rPr>
                <w:rFonts w:ascii="Times New Roman" w:hAnsi="Times New Roman" w:cs="Times New Roman"/>
                <w:b/>
                <w:sz w:val="20"/>
                <w:szCs w:val="20"/>
              </w:rPr>
              <w:t>ÓW</w:t>
            </w:r>
            <w:r w:rsidRPr="00C66D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66DA9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C66DA9">
              <w:rPr>
                <w:rFonts w:ascii="Times New Roman" w:hAnsi="Times New Roman" w:cs="Times New Roman"/>
                <w:b/>
                <w:sz w:val="20"/>
                <w:szCs w:val="20"/>
              </w:rPr>
              <w:t>W PROGRAMIE</w:t>
            </w:r>
          </w:p>
        </w:tc>
        <w:tc>
          <w:tcPr>
            <w:tcW w:w="1667" w:type="pct"/>
            <w:vAlign w:val="center"/>
          </w:tcPr>
          <w:p w14:paraId="11774E30" w14:textId="155EF1FF" w:rsidR="00097CEA" w:rsidRPr="00C66DA9" w:rsidRDefault="00097CEA" w:rsidP="00C66DA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D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BADANIA DIAGNOSTYCZNE WYKONYWANE </w:t>
            </w:r>
            <w:r w:rsidR="00C66DA9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C66DA9">
              <w:rPr>
                <w:rFonts w:ascii="Times New Roman" w:hAnsi="Times New Roman" w:cs="Times New Roman"/>
                <w:b/>
                <w:sz w:val="20"/>
                <w:szCs w:val="20"/>
              </w:rPr>
              <w:t>W RAMACH PROGRAMU</w:t>
            </w:r>
          </w:p>
        </w:tc>
      </w:tr>
      <w:tr w:rsidR="00097CEA" w:rsidRPr="009440F9" w14:paraId="11D93CF6" w14:textId="77777777" w:rsidTr="00C66DA9">
        <w:tc>
          <w:tcPr>
            <w:tcW w:w="1666" w:type="pct"/>
          </w:tcPr>
          <w:p w14:paraId="308C7F32" w14:textId="77777777" w:rsidR="003359C3" w:rsidRPr="003359C3" w:rsidRDefault="003359C3" w:rsidP="001E7C9A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359C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ramach programu lekowego udostępnia się terapie:</w:t>
            </w:r>
          </w:p>
          <w:p w14:paraId="18F86846" w14:textId="303DC548" w:rsidR="003359C3" w:rsidRPr="006E5693" w:rsidRDefault="003359C3" w:rsidP="00A72CE9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6E5693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ekulizumabem</w:t>
            </w:r>
            <w:proofErr w:type="spellEnd"/>
            <w:r w:rsidRPr="006E5693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7F9E4227" w14:textId="6BC0010E" w:rsidR="00164B87" w:rsidRPr="006E5693" w:rsidRDefault="003359C3" w:rsidP="00A72CE9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6E5693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rawulizumabem</w:t>
            </w:r>
            <w:proofErr w:type="spellEnd"/>
            <w:r w:rsidRPr="006E5693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4E5FB7A6" w14:textId="29CC8E6D" w:rsidR="00164B87" w:rsidRPr="00164B87" w:rsidRDefault="00164B87" w:rsidP="00A72CE9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6E5693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pegcetakoplanem</w:t>
            </w:r>
            <w:proofErr w:type="spellEnd"/>
            <w:r w:rsidRPr="006E5693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7DB874FD" w14:textId="77777777" w:rsidR="003359C3" w:rsidRPr="003359C3" w:rsidRDefault="003359C3" w:rsidP="001E7C9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359C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zgodnie ze wskazanymi w opisie programu warunkami i kryteriami.</w:t>
            </w:r>
          </w:p>
          <w:p w14:paraId="286D17EE" w14:textId="77777777" w:rsidR="003359C3" w:rsidRPr="003359C3" w:rsidRDefault="003359C3" w:rsidP="001E7C9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346F63C8" w14:textId="1B7ED5A8" w:rsidR="003359C3" w:rsidRDefault="003359C3" w:rsidP="001E7C9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359C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Kwalifikacja świadczeniobiorców do programu przeprowadzana jest przez Zespół Koordynacyjny </w:t>
            </w:r>
            <w:r w:rsidR="00164B87" w:rsidRPr="00164B8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 Spraw Leczenia Nocnej Napadowej Hemoglobinurii</w:t>
            </w:r>
            <w:r w:rsidRPr="003359C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powoływany przez Prezesa Narodowego Funduszu Zdrowia.</w:t>
            </w:r>
          </w:p>
          <w:p w14:paraId="4E8FC99A" w14:textId="67B68DB3" w:rsidR="0006667C" w:rsidRDefault="00205A84" w:rsidP="001E7C9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E55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Kwalifikacja do programu oraz weryfikacja skuteczności leczenia odbywa się w oparciu o ocenę stanu klinicznego świadczeniobiorcy oraz ocenę efektywności zastosowanej terapii.</w:t>
            </w:r>
          </w:p>
          <w:p w14:paraId="3309A699" w14:textId="77777777" w:rsidR="009352B8" w:rsidRPr="009E5589" w:rsidRDefault="009352B8" w:rsidP="001E7C9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020E6C41" w14:textId="77777777" w:rsidR="0006667C" w:rsidRDefault="0006667C" w:rsidP="00A72CE9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318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ekulizumabem</w:t>
            </w:r>
            <w:proofErr w:type="spellEnd"/>
          </w:p>
          <w:p w14:paraId="64A61C1B" w14:textId="5CD70941" w:rsidR="00097CEA" w:rsidRDefault="00097CEA" w:rsidP="00A72CE9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318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6667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 kwalifikacji</w:t>
            </w:r>
            <w:r w:rsidR="00AF2FCC" w:rsidRPr="0006667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  <w:p w14:paraId="0DFB22D1" w14:textId="4E684F9C" w:rsidR="00647A32" w:rsidRPr="00647A32" w:rsidRDefault="00647A32" w:rsidP="001E7C9A">
            <w:pPr>
              <w:autoSpaceDE w:val="0"/>
              <w:autoSpaceDN w:val="0"/>
              <w:adjustRightInd w:val="0"/>
              <w:spacing w:after="60" w:line="276" w:lineRule="auto"/>
              <w:ind w:left="-42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47A3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Do programu kwalifikowani są pacjenci spełniający łącznie następujące kryteria:</w:t>
            </w:r>
          </w:p>
          <w:p w14:paraId="02B1B8B3" w14:textId="69F6D039" w:rsidR="00097CEA" w:rsidRPr="00FB43FF" w:rsidRDefault="008E35C6" w:rsidP="00A72CE9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20E06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diagnozowana nocna napadowa hemoglobinuria z obecności</w:t>
            </w:r>
            <w:r w:rsidR="00B8422E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ą</w:t>
            </w:r>
            <w:r w:rsidR="00367687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klonu </w:t>
            </w:r>
            <w:r w:rsidR="0026595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61367F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NH &gt;1% oznaczon</w:t>
            </w:r>
            <w:r w:rsidR="00230B01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ego</w:t>
            </w:r>
            <w:r w:rsidR="00B8422E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 </w:t>
            </w:r>
            <w:r w:rsidR="00242455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badani</w:t>
            </w:r>
            <w:r w:rsidR="00FA0578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B8422E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B8422E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cytometrii</w:t>
            </w:r>
            <w:proofErr w:type="spellEnd"/>
            <w:r w:rsidR="00B8422E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przepływowej</w:t>
            </w:r>
            <w:r w:rsidR="00367687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</w:t>
            </w:r>
            <w:r w:rsidR="006103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367687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6103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367687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najmniej jeden z poniższych:</w:t>
            </w:r>
          </w:p>
          <w:p w14:paraId="770765D8" w14:textId="35461F86" w:rsidR="00367687" w:rsidRPr="00FB43FF" w:rsidRDefault="00367687" w:rsidP="00A72CE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objawy hemolizy</w:t>
            </w:r>
            <w:r w:rsidR="00133F4C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54496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związane z </w:t>
            </w:r>
            <w:r w:rsidR="00105F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E54496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NH oraz (łącznie)</w:t>
            </w:r>
            <w:r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1A473AAE" w14:textId="51D599CC" w:rsidR="00514AA5" w:rsidRDefault="00133F4C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aktywnością </w:t>
            </w:r>
            <w:r w:rsidR="00B74261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dehydrogenazy mleczanowej (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LDH</w:t>
            </w:r>
            <w:r w:rsidR="00B74261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≥1,5 </w:t>
            </w:r>
            <w:r w:rsidR="00230B01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przekraczająca górną granicę normy (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GGN</w:t>
            </w:r>
            <w:r w:rsidR="00230B01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79969D85" w14:textId="04786855" w:rsidR="009434BE" w:rsidRPr="00514AA5" w:rsidRDefault="00133F4C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14AA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co najmniej jedno z powikłań związanych z hemolizą: </w:t>
            </w:r>
          </w:p>
          <w:p w14:paraId="2225E83C" w14:textId="1AE5D7EE" w:rsidR="009434BE" w:rsidRPr="00F45ED6" w:rsidRDefault="00133F4C" w:rsidP="00A72CE9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964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niewydolność nerek,</w:t>
            </w:r>
          </w:p>
          <w:p w14:paraId="234B1573" w14:textId="77777777" w:rsidR="009434BE" w:rsidRPr="00F45ED6" w:rsidRDefault="00133F4C" w:rsidP="00A72CE9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964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nadciśnienie płucne, </w:t>
            </w:r>
          </w:p>
          <w:p w14:paraId="1282937A" w14:textId="77777777" w:rsidR="00367687" w:rsidRPr="00F45ED6" w:rsidRDefault="00133F4C" w:rsidP="00A72CE9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964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znaczne </w:t>
            </w:r>
            <w:r w:rsidR="00E54496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zmęczenie ocenione wg FACIT upośledzające codzienną 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aktywność</w:t>
            </w:r>
            <w:r w:rsidR="00440404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66079BA" w14:textId="557EA0BF" w:rsidR="00966741" w:rsidRPr="00514AA5" w:rsidRDefault="00863FA2" w:rsidP="00A72CE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14AA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33F4C" w:rsidRPr="00514AA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akrzepica lub poważne zdarzenie naczyniowe w tym</w:t>
            </w:r>
            <w:r w:rsidR="005733DB" w:rsidRPr="00514AA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2E2A9635" w14:textId="77777777" w:rsidR="005733DB" w:rsidRPr="00F45ED6" w:rsidRDefault="00863FA2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zakrzepowe zapalenie żył głębokich</w:t>
            </w:r>
            <w:r w:rsidR="001F319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/</w:t>
            </w:r>
            <w:r w:rsidR="002A4ECE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zakrzepica</w:t>
            </w:r>
            <w:r w:rsidR="00133F4C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ż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ył głębokich, </w:t>
            </w:r>
          </w:p>
          <w:p w14:paraId="32D14D97" w14:textId="77777777" w:rsidR="005733DB" w:rsidRPr="00F45ED6" w:rsidRDefault="00863FA2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zator tętnicy płucnej, </w:t>
            </w:r>
          </w:p>
          <w:p w14:paraId="229A67A2" w14:textId="77777777" w:rsidR="005733DB" w:rsidRPr="00F45ED6" w:rsidRDefault="00863FA2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zdarzenia mózgowo-naczyniowe, </w:t>
            </w:r>
          </w:p>
          <w:p w14:paraId="18867A29" w14:textId="77777777" w:rsidR="005733DB" w:rsidRPr="00F45ED6" w:rsidRDefault="00863FA2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amputacj</w:t>
            </w:r>
            <w:r w:rsidR="005733DB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7A09353B" w14:textId="77777777" w:rsidR="005733DB" w:rsidRPr="00F45ED6" w:rsidRDefault="00863FA2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zawał mięśnia sercowego</w:t>
            </w:r>
            <w:r w:rsidR="00133F4C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</w:p>
          <w:p w14:paraId="4E4C1D6E" w14:textId="77777777" w:rsidR="005733DB" w:rsidRPr="00F45ED6" w:rsidRDefault="00230B01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napad </w:t>
            </w:r>
            <w:r w:rsidR="00863FA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przemijaj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ącego </w:t>
            </w:r>
            <w:r w:rsidR="005733DB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</w:t>
            </w:r>
            <w:r w:rsidR="00863FA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iedokrwien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ia</w:t>
            </w:r>
            <w:r w:rsidR="00863FA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</w:p>
          <w:p w14:paraId="5911EEAF" w14:textId="77777777" w:rsidR="005733DB" w:rsidRPr="00F45ED6" w:rsidRDefault="00863FA2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niestabilna dławica piersiowa, </w:t>
            </w:r>
          </w:p>
          <w:p w14:paraId="1FFE94BB" w14:textId="77777777" w:rsidR="005733DB" w:rsidRPr="00F45ED6" w:rsidRDefault="00863FA2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zakrzepica</w:t>
            </w:r>
            <w:r w:rsidR="00133F4C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żyły nerkowej</w:t>
            </w:r>
            <w:r w:rsidR="002A4ECE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</w:p>
          <w:p w14:paraId="049C85A8" w14:textId="77777777" w:rsidR="005733DB" w:rsidRPr="00F45ED6" w:rsidRDefault="002A4ECE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zakrzepica</w:t>
            </w:r>
            <w:r w:rsidR="00133F4C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żył </w:t>
            </w:r>
            <w:r w:rsidR="00863FA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krezkow</w:t>
            </w:r>
            <w:r w:rsidR="00230B01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ych</w:t>
            </w:r>
            <w:r w:rsidR="00863FA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</w:p>
          <w:p w14:paraId="03C02898" w14:textId="77777777" w:rsidR="005733DB" w:rsidRPr="00F45ED6" w:rsidRDefault="00863FA2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zakrzepica żyły wrotnej, </w:t>
            </w:r>
          </w:p>
          <w:p w14:paraId="7DE20949" w14:textId="77777777" w:rsidR="005733DB" w:rsidRPr="00F45ED6" w:rsidRDefault="00863FA2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zgorzel</w:t>
            </w:r>
            <w:r w:rsidR="00133F4C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</w:p>
          <w:p w14:paraId="638B2CF4" w14:textId="77777777" w:rsidR="003D7CCF" w:rsidRPr="00F45ED6" w:rsidRDefault="00133F4C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ostre zamknięcia naczyń</w:t>
            </w:r>
            <w:r w:rsidR="00863FA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obwodowych</w:t>
            </w:r>
            <w:r w:rsidR="003D7CC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0A9AAAA" w14:textId="5A829B48" w:rsidR="00C02F73" w:rsidRDefault="00BD08EF" w:rsidP="00A72CE9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wykonanie obowiązkowego szczepienia przeciw meningokokom, w</w:t>
            </w:r>
            <w:r w:rsidR="0006667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przypadku konieczności wdrożenia 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leczenia przed upływem 2</w:t>
            </w:r>
            <w:r w:rsidR="006103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tygodni po wykonaniu szczepienia przeciw </w:t>
            </w:r>
            <w:proofErr w:type="spellStart"/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menigokokom</w:t>
            </w:r>
            <w:proofErr w:type="spellEnd"/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- profilaktyka antybiotykowa</w:t>
            </w:r>
            <w:r w:rsidR="00164B8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E97B7FF" w14:textId="021F8A29" w:rsidR="00164B87" w:rsidRPr="00665AC7" w:rsidRDefault="00164B87" w:rsidP="00A72CE9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665AC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przypadku kobiet wymagana jest zgoda na świadomą kontrolę urodzeń, zgodnie z aktualną Charakterystyką Produktu Leczniczego (zwanej dalej </w:t>
            </w:r>
            <w:proofErr w:type="spellStart"/>
            <w:r w:rsidRPr="00665AC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ChPL</w:t>
            </w:r>
            <w:proofErr w:type="spellEnd"/>
            <w:r w:rsidRPr="00665AC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 leku, którym odbywa się leczenie w programie lekowym</w:t>
            </w:r>
            <w:r w:rsidR="00C36BE5" w:rsidRPr="00665AC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48FD31B" w14:textId="0F0404DD" w:rsidR="00164B87" w:rsidRPr="00665AC7" w:rsidRDefault="00164B87" w:rsidP="00A72CE9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665AC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nieobecność istotnych schorzeń współistniejących stanowiących przeciwskazanie do terapii stwierdzonych przez lekarza prowadzącego w oparciu o aktualną </w:t>
            </w:r>
            <w:proofErr w:type="spellStart"/>
            <w:r w:rsidRPr="00665AC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ChPL</w:t>
            </w:r>
            <w:proofErr w:type="spellEnd"/>
            <w:r w:rsidR="00C36BE5" w:rsidRPr="00665AC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CA253A1" w14:textId="77777777" w:rsidR="00164B87" w:rsidRPr="00665AC7" w:rsidRDefault="00164B87" w:rsidP="00A72CE9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665AC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brak przeciwwskazań do stosowania określonej w aktualnej </w:t>
            </w:r>
            <w:proofErr w:type="spellStart"/>
            <w:r w:rsidRPr="00665AC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ChPL</w:t>
            </w:r>
            <w:proofErr w:type="spellEnd"/>
            <w:r w:rsidRPr="00665AC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substancji czynnej ujętej w programie lekowym.</w:t>
            </w:r>
          </w:p>
          <w:p w14:paraId="1903FAA5" w14:textId="55D54F2C" w:rsidR="00164B87" w:rsidRDefault="00164B87" w:rsidP="001E7C9A">
            <w:pPr>
              <w:spacing w:after="60" w:line="276" w:lineRule="auto"/>
              <w:jc w:val="both"/>
              <w:rPr>
                <w:rFonts w:ascii="Times New Roman" w:eastAsia="Malgun Gothic" w:hAnsi="Times New Roman" w:cs="Times New Roman"/>
                <w:sz w:val="20"/>
                <w:szCs w:val="20"/>
              </w:rPr>
            </w:pPr>
            <w:r w:rsidRPr="00164B87">
              <w:rPr>
                <w:rFonts w:ascii="Times New Roman" w:eastAsia="Malgun Gothic" w:hAnsi="Times New Roman" w:cs="Times New Roman"/>
                <w:sz w:val="20"/>
                <w:szCs w:val="20"/>
              </w:rPr>
              <w:t>Ponadto do programu lekowego kwalifikowani są również pacjenci wymagający kontynuacji leczenia, którzy byli leczeni substancjami czynnymi finansowanymi w programie lekowym w ramach innego sposobu finansowania terapii (za wyjątkiem trwających badań klinicznych tych leków), pod warunkiem, że w chwili rozpoczęcia leczenia spełniali kryteria kwalifikacji do programu lekowego.</w:t>
            </w:r>
          </w:p>
          <w:p w14:paraId="43C12CA3" w14:textId="77777777" w:rsidR="00665AC7" w:rsidRPr="00164B87" w:rsidRDefault="00665AC7" w:rsidP="001E7C9A">
            <w:pPr>
              <w:spacing w:after="60" w:line="276" w:lineRule="auto"/>
              <w:jc w:val="both"/>
              <w:rPr>
                <w:rFonts w:ascii="Times New Roman" w:eastAsia="Malgun Gothic" w:hAnsi="Times New Roman" w:cs="Times New Roman"/>
                <w:sz w:val="20"/>
                <w:szCs w:val="20"/>
              </w:rPr>
            </w:pPr>
          </w:p>
          <w:p w14:paraId="5804FC6B" w14:textId="305C84B8" w:rsidR="00097CEA" w:rsidRPr="00514AA5" w:rsidRDefault="00097CEA" w:rsidP="00A72CE9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317" w:hanging="357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14AA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 czasu leczenia w programie</w:t>
            </w:r>
          </w:p>
          <w:p w14:paraId="52548BB5" w14:textId="090CB337" w:rsidR="00D40121" w:rsidRPr="00F45ED6" w:rsidRDefault="001E7C9A" w:rsidP="00A72CE9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</w:t>
            </w:r>
            <w:r w:rsidR="00AD07CA" w:rsidRPr="00AD07C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eczenie trwa do czasu podjęcia przez Zespół Koordynacyjny lub lekarza prowadzącego decyzji o wyłączeniu świadczeniobiorcy z programu, zgodnie z kryteriami wyłączenia</w:t>
            </w:r>
            <w:r w:rsidR="00514AA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0807BBE" w14:textId="167CC838" w:rsidR="00D40121" w:rsidRPr="00F45ED6" w:rsidRDefault="001E7C9A" w:rsidP="00A72CE9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40121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espół koordynacyjny ds. Leczenia Nocnej Napadowej Hemoglobinurii podejmuje decyzje o możliwości czasowego przerwania profilaktycznego leczenia </w:t>
            </w:r>
            <w:proofErr w:type="spellStart"/>
            <w:r w:rsidR="00D40121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ekulizumabem</w:t>
            </w:r>
            <w:proofErr w:type="spellEnd"/>
            <w:r w:rsidR="00D40121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po 6 miesiącach leczenia u chorych z </w:t>
            </w:r>
            <w:r w:rsidR="00D40121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niższym ryzykiem nawrotu choroby, u których uzyskano remisję objawów i powrót prawidłowej funkcji narządów wewnętrznych</w:t>
            </w:r>
            <w:r w:rsidR="00130D1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 Z</w:t>
            </w:r>
            <w:r w:rsidR="00130D12" w:rsidRPr="00F875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awieszenie leczenia w każdym czasie wymaga zgłoszenia przez ośrodek leczący i akceptacji przez Zespół</w:t>
            </w:r>
            <w:r w:rsidR="00130D1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30D1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koordynacyjny ds. Leczenia Nocnej Napadowej Hemoglobinurii</w:t>
            </w:r>
            <w:r w:rsid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C17EB76" w14:textId="16FF9D80" w:rsidR="00C166A1" w:rsidRDefault="001E7C9A" w:rsidP="00A72CE9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</w:t>
            </w:r>
            <w:r w:rsidR="00D40121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horzy, u których konieczne jest ponowne włączenie leczenia po decyzji Zespołu koordynacyjnego ds. Nocnej Napadowej Hemoglobinurii </w:t>
            </w:r>
            <w:r w:rsidR="00130D1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będą </w:t>
            </w:r>
            <w:r w:rsidR="00130D12" w:rsidRPr="00F875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ponownie </w:t>
            </w:r>
            <w:r w:rsidR="0012196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włączani</w:t>
            </w:r>
            <w:r w:rsidR="00130D12" w:rsidRPr="00F875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do podawania </w:t>
            </w:r>
            <w:proofErr w:type="spellStart"/>
            <w:r w:rsidR="00130D12" w:rsidRPr="00F875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ekulizumabu</w:t>
            </w:r>
            <w:proofErr w:type="spellEnd"/>
            <w:r w:rsidR="00130D12" w:rsidRPr="00F875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 podstawie zgłoszenia lekarza prowadzącego do </w:t>
            </w:r>
            <w:r w:rsidR="00735EC9" w:rsidRPr="00735E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elektronicz</w:t>
            </w:r>
            <w:r w:rsidR="00735E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nego</w:t>
            </w:r>
            <w:r w:rsidR="00735EC9" w:rsidRPr="00735E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system</w:t>
            </w:r>
            <w:r w:rsidR="00735E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735EC9" w:rsidRPr="00735E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monitorowania programów lekowych</w:t>
            </w:r>
            <w:r w:rsidR="00130D1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130D1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C755926" w14:textId="77777777" w:rsidR="00665AC7" w:rsidRPr="00665AC7" w:rsidRDefault="00665AC7" w:rsidP="001E7C9A">
            <w:pPr>
              <w:autoSpaceDE w:val="0"/>
              <w:autoSpaceDN w:val="0"/>
              <w:adjustRightInd w:val="0"/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2CB0D3A0" w14:textId="7F68A4E0" w:rsidR="00097CEA" w:rsidRPr="00514AA5" w:rsidRDefault="00097CEA" w:rsidP="00A72CE9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318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14AA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 wyłączenia</w:t>
            </w:r>
          </w:p>
          <w:p w14:paraId="625D6737" w14:textId="44032205" w:rsidR="00B47F02" w:rsidRDefault="00B47F02" w:rsidP="00A72CE9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brak efektu leczenia </w:t>
            </w:r>
            <w:r w:rsidR="00091FE7" w:rsidRPr="00091FE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weryfikowanego </w:t>
            </w:r>
            <w:r w:rsidR="001D297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 3 miesiącach od rozpoczęcia terapii, a następnie po każdych kolejnych </w:t>
            </w:r>
            <w:r w:rsidR="00091FE7" w:rsidRPr="00091FE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 miesi</w:t>
            </w:r>
            <w:r w:rsidR="001D297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ącach</w:t>
            </w:r>
            <w:r w:rsidR="00091FE7" w:rsidRPr="00091FE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 oparciu o ocenę stanu klinicznego świadczeniobiorcy</w:t>
            </w:r>
            <w:r w:rsidR="00EA62A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r w:rsidR="002D485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np. </w:t>
            </w:r>
            <w:r w:rsidR="00EA62A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utrzymywanie się objawów </w:t>
            </w:r>
            <w:r w:rsidR="00733B5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aktywnej </w:t>
            </w:r>
            <w:r w:rsidR="00EA62A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hemolizy, brak stabilizacji stężenia hemoglobiny, utrzymywanie się</w:t>
            </w:r>
            <w:r w:rsidR="006D432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E0DC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znacznego zmęczenia i brak</w:t>
            </w:r>
            <w:r w:rsidR="00EA62A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poprawy jakości życia</w:t>
            </w:r>
            <w:r w:rsidR="009D37F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091FE7" w:rsidRPr="00091FE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6B37F17" w14:textId="665B9484" w:rsidR="00DA42F4" w:rsidRPr="00F45ED6" w:rsidRDefault="00F20A3A" w:rsidP="00A72CE9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ciąża – jeśli dalsze leczenie nie jest bezwzględnie konieczne;</w:t>
            </w:r>
          </w:p>
          <w:p w14:paraId="7F1F4049" w14:textId="77777777" w:rsidR="003D7CCF" w:rsidRDefault="003D7CCF" w:rsidP="00A72CE9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karmienie piersią</w:t>
            </w:r>
            <w:r w:rsidR="00FA1D9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25F2D48" w14:textId="611E927D" w:rsidR="003072DA" w:rsidRDefault="00222625" w:rsidP="00A72CE9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przeszczepieni</w:t>
            </w:r>
            <w:r w:rsidR="00E6576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allogenicznych krwiotwórczych komórek macierzystych (</w:t>
            </w:r>
            <w:proofErr w:type="spellStart"/>
            <w:r w:rsidR="003072DA"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allo</w:t>
            </w:r>
            <w:proofErr w:type="spellEnd"/>
            <w:r w:rsidR="003072DA"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-HSCT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3072DA"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19D2B99" w14:textId="77777777" w:rsidR="003072DA" w:rsidRDefault="00DE1992" w:rsidP="00A72CE9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413AA5"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ystąpienie chorób lub stanów, które w opinii Zespołu Koordynacyjnego lub lekarza prowadzącego uniemożliwiają dalsze prowadzenie leczenia;</w:t>
            </w:r>
          </w:p>
          <w:p w14:paraId="4B4A4B77" w14:textId="77777777" w:rsidR="003072DA" w:rsidRDefault="00DE1992" w:rsidP="00A72CE9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413AA5"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ystąpienie objawów nadwrażliwości na którąkolwiek substancję czynną lub substancję pomocniczą;</w:t>
            </w:r>
          </w:p>
          <w:p w14:paraId="5F472628" w14:textId="77777777" w:rsidR="003072DA" w:rsidRDefault="00DE1992" w:rsidP="00A72CE9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w</w:t>
            </w:r>
            <w:r w:rsidR="00413AA5"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ystąpienie toksyczności wymagającej zakończenia leczenia w opinii Zespołu Koordynacyjnego lub lekarza prowadzącego zgodnie z aktualną </w:t>
            </w:r>
            <w:proofErr w:type="spellStart"/>
            <w:r w:rsidR="00413AA5"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ChPL</w:t>
            </w:r>
            <w:proofErr w:type="spellEnd"/>
            <w:r w:rsidR="00413AA5"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966E20B" w14:textId="77777777" w:rsidR="003072DA" w:rsidRDefault="00DE1992" w:rsidP="00A72CE9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413AA5"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ogorszenie jakości życia o istotnym znaczeniu według oceny lekarza;</w:t>
            </w:r>
          </w:p>
          <w:p w14:paraId="156580D1" w14:textId="0D748033" w:rsidR="00413AA5" w:rsidRPr="003072DA" w:rsidRDefault="00DE1992" w:rsidP="00A72CE9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413AA5"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rak współpracy lub nieprzestrzeganie zaleceń lekarskich, w tym zwłaszcza dotyczących okresowych badań kontrolnych oceniających skuteczność i bezpieczeństwo leczenia ze strony świadczeniobiorcy lub jego opiekuna prawnego.</w:t>
            </w:r>
          </w:p>
          <w:p w14:paraId="182D688E" w14:textId="1502A410" w:rsidR="0006667C" w:rsidRPr="00665AC7" w:rsidRDefault="0006667C" w:rsidP="001E7C9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20856424" w14:textId="760904E0" w:rsidR="00514AA5" w:rsidRDefault="00514AA5" w:rsidP="00A72CE9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318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r</w:t>
            </w:r>
            <w:r w:rsidRPr="00514AA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a</w:t>
            </w:r>
            <w:r w:rsidR="00130D1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Pr="00514AA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ulizumab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em</w:t>
            </w:r>
            <w:proofErr w:type="spellEnd"/>
          </w:p>
          <w:p w14:paraId="7E89C52C" w14:textId="54A48A88" w:rsidR="0006667C" w:rsidRDefault="00514AA5" w:rsidP="00A72CE9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318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K</w:t>
            </w:r>
            <w:r w:rsidR="0006667C" w:rsidRPr="00514AA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ryteria kwalifikacji </w:t>
            </w:r>
          </w:p>
          <w:p w14:paraId="5E8864F2" w14:textId="6D774934" w:rsidR="00647A32" w:rsidRPr="00647A32" w:rsidRDefault="00647A32" w:rsidP="001E7C9A">
            <w:pPr>
              <w:autoSpaceDE w:val="0"/>
              <w:autoSpaceDN w:val="0"/>
              <w:adjustRightInd w:val="0"/>
              <w:spacing w:after="60" w:line="276" w:lineRule="auto"/>
              <w:ind w:left="-42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47A3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Do programu kwalifikowani są pacjenci spełniający łącznie następujące kryteria:</w:t>
            </w:r>
          </w:p>
          <w:p w14:paraId="6592A5DB" w14:textId="20DE3401" w:rsidR="0006667C" w:rsidRPr="00514AA5" w:rsidRDefault="000F34A8" w:rsidP="00A72CE9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ind w:left="72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C</w:t>
            </w:r>
            <w:r w:rsidR="0006667C" w:rsidRPr="00514AA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horzy nieleczeni uprzednio </w:t>
            </w:r>
            <w:proofErr w:type="spellStart"/>
            <w:r w:rsidR="0006667C" w:rsidRPr="00514AA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ekulizumabem</w:t>
            </w:r>
            <w:proofErr w:type="spellEnd"/>
            <w:r w:rsidR="0006667C" w:rsidRPr="00514AA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:</w:t>
            </w:r>
          </w:p>
          <w:p w14:paraId="557D622A" w14:textId="402883C0" w:rsidR="000F34A8" w:rsidRDefault="008E35C6" w:rsidP="00A72CE9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iek </w:t>
            </w:r>
            <w:r w:rsidR="000F34A8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≥ 18 lat;</w:t>
            </w:r>
          </w:p>
          <w:p w14:paraId="45F1A577" w14:textId="319290BF" w:rsidR="0006667C" w:rsidRPr="00514AA5" w:rsidRDefault="00AD07CA" w:rsidP="00A72CE9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6667C" w:rsidRPr="00514AA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diagnozowana nocna napadowa hemoglobinuria z obecnością klonu PNH &gt;1% oznaczonego w badaniu </w:t>
            </w:r>
            <w:proofErr w:type="spellStart"/>
            <w:r w:rsidR="0006667C" w:rsidRPr="00514AA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cytometrii</w:t>
            </w:r>
            <w:proofErr w:type="spellEnd"/>
            <w:r w:rsidR="0006667C" w:rsidRPr="00514AA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przepływowej i co najmniej jeden z poniższych:</w:t>
            </w:r>
          </w:p>
          <w:p w14:paraId="62659714" w14:textId="6F56979E" w:rsidR="0006667C" w:rsidRPr="00B07A86" w:rsidRDefault="0006667C" w:rsidP="00A72CE9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ind w:left="811" w:hanging="35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objawy hemolizy związane z PNH oraz (łącznie):</w:t>
            </w:r>
          </w:p>
          <w:p w14:paraId="6E61B3BA" w14:textId="674A00A1" w:rsidR="0006667C" w:rsidRPr="00B07A86" w:rsidRDefault="0006667C" w:rsidP="00A72CE9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aktywnością dehydrogenazy mleczanowej (LDH) ≥1,5 przekraczająca górną granicę normy (GGN)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3538E221" w14:textId="77777777" w:rsidR="0006667C" w:rsidRPr="00B07A86" w:rsidRDefault="0006667C" w:rsidP="00A72CE9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co najmniej jedno z powikłań związanych z hemolizą: </w:t>
            </w:r>
          </w:p>
          <w:p w14:paraId="6247D3B1" w14:textId="3766AD15" w:rsidR="0006667C" w:rsidRPr="00B07A86" w:rsidRDefault="0006667C" w:rsidP="00A72CE9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964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niewydolność nerek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789126FB" w14:textId="30B79E6A" w:rsidR="0006667C" w:rsidRPr="00B07A86" w:rsidRDefault="0006667C" w:rsidP="00A72CE9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964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nadciśnienie płucne lub duszność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73916AC9" w14:textId="6638B08F" w:rsidR="0006667C" w:rsidRPr="00B07A86" w:rsidRDefault="0006667C" w:rsidP="00A72CE9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964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znaczne zmęczenie ocenione wg FACIT upośledzające codzienną aktywność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2CBA87BF" w14:textId="7D66A657" w:rsidR="0006667C" w:rsidRPr="00B07A86" w:rsidRDefault="0006667C" w:rsidP="00A72CE9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964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hemoglobinuria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0AF6856E" w14:textId="67460727" w:rsidR="0006667C" w:rsidRPr="00B07A86" w:rsidRDefault="0006667C" w:rsidP="00A72CE9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964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bóle brzucha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2E6974AD" w14:textId="3DF0B348" w:rsidR="0006667C" w:rsidRPr="00B07A86" w:rsidRDefault="006D4329" w:rsidP="00A72CE9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964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niedokrwistość </w:t>
            </w:r>
            <w:r w:rsidR="0006667C"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06667C"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hemoglobiny &lt; 10g/</w:t>
            </w:r>
            <w:proofErr w:type="spellStart"/>
            <w:r w:rsidR="0006667C"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dL</w:t>
            </w:r>
            <w:proofErr w:type="spellEnd"/>
            <w:r w:rsidR="0006667C"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1EADCEAA" w14:textId="56613E5A" w:rsidR="0006667C" w:rsidRPr="00B07A86" w:rsidRDefault="0006667C" w:rsidP="00A72CE9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964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dysfagia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0CDE23FB" w14:textId="3F423B27" w:rsidR="0006667C" w:rsidRPr="00B07A86" w:rsidRDefault="0006667C" w:rsidP="00A72CE9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964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zaburzenia erekc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ji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41170DF4" w14:textId="684807E8" w:rsidR="0006667C" w:rsidRPr="00514AA5" w:rsidRDefault="0006667C" w:rsidP="00A72CE9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14AA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zakrzepica lub poważne zdarzenie naczyniowe w tym:</w:t>
            </w:r>
          </w:p>
          <w:p w14:paraId="2C7F2534" w14:textId="328DFD19" w:rsidR="0006667C" w:rsidRPr="00B07A86" w:rsidRDefault="0006667C" w:rsidP="00A72CE9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zakrzepowe zapalenie żył głębokich/zakrzepica żył głębokich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24C31462" w14:textId="0031B069" w:rsidR="0006667C" w:rsidRPr="00B07A86" w:rsidRDefault="0006667C" w:rsidP="00A72CE9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zator tętnicy płucnej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6AF1BAEE" w14:textId="31A86F36" w:rsidR="0006667C" w:rsidRPr="00B07A86" w:rsidRDefault="0006667C" w:rsidP="00A72CE9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zdarzenia mózgowo-naczyniowe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569D39AA" w14:textId="35B4EE0C" w:rsidR="0006667C" w:rsidRPr="00B07A86" w:rsidRDefault="0006667C" w:rsidP="00A72CE9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amputacja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68BA1CAD" w14:textId="2DC71CAA" w:rsidR="0006667C" w:rsidRPr="00B07A86" w:rsidRDefault="0006667C" w:rsidP="00A72CE9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zawał mięśnia sercowego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46EB0498" w14:textId="2CE34D06" w:rsidR="0006667C" w:rsidRPr="00B07A86" w:rsidRDefault="0006667C" w:rsidP="00A72CE9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napad przemijającego niedokrwienia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411C1CB3" w14:textId="077E33C9" w:rsidR="0006667C" w:rsidRPr="00B07A86" w:rsidRDefault="0006667C" w:rsidP="00A72CE9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niestabilna dławica piersiowa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6E85E4ED" w14:textId="17943E71" w:rsidR="0006667C" w:rsidRPr="00B07A86" w:rsidRDefault="0006667C" w:rsidP="00A72CE9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zakrzepica żyły nerkowej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21AC5980" w14:textId="6C40DFF0" w:rsidR="0006667C" w:rsidRPr="00B07A86" w:rsidRDefault="0006667C" w:rsidP="00A72CE9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zakrzepica żył krezkowych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6BF251A6" w14:textId="51457AA4" w:rsidR="0006667C" w:rsidRPr="00B07A86" w:rsidRDefault="0006667C" w:rsidP="00A72CE9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zakrzepica żyły wrotnej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4A333874" w14:textId="262C2C76" w:rsidR="0006667C" w:rsidRPr="00B07A86" w:rsidRDefault="0006667C" w:rsidP="00A72CE9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zgorzel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2A098A64" w14:textId="77777777" w:rsidR="0006667C" w:rsidRPr="00B07A86" w:rsidRDefault="0006667C" w:rsidP="00A72CE9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ostre zamknięcia naczyń obwodowych;</w:t>
            </w:r>
          </w:p>
          <w:p w14:paraId="7F83D2AD" w14:textId="062F442A" w:rsidR="00AD07CA" w:rsidRDefault="0006667C" w:rsidP="00A72CE9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wykonanie obowiązkowego szczepienia przeciw meningokokom, w</w:t>
            </w:r>
            <w:r w:rsidR="006103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przypadku konieczności wdrożenia leczenia przed upływem 2</w:t>
            </w:r>
            <w:r w:rsidR="006103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tygodni po wykonaniu szczepienia przeciw </w:t>
            </w:r>
            <w:proofErr w:type="spellStart"/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menigokokom</w:t>
            </w:r>
            <w:proofErr w:type="spellEnd"/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- profilaktyka </w:t>
            </w:r>
            <w:r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antybiotykowa przez okres 2 tygodni od momentu zaszczepienia</w:t>
            </w:r>
            <w:r w:rsid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618AA4F" w14:textId="5E56AC23" w:rsidR="00AD07CA" w:rsidRDefault="00AD07CA" w:rsidP="00A72CE9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D07C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przypadku kobiet oraz poddanych leczeniu mężczyzn będących partnerami kobiet w wieku rozrodczym wymagana jest zgoda na świadomą kontrolę urodzeń, zgodnie z aktualną Charakterystyką Produktu Leczniczego (zwanej dalej </w:t>
            </w:r>
            <w:proofErr w:type="spellStart"/>
            <w:r w:rsidRPr="00AD07C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ChPL</w:t>
            </w:r>
            <w:proofErr w:type="spellEnd"/>
            <w:r w:rsidRPr="00AD07C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 leku, którym odbywa się leczenie w programie lekowym</w:t>
            </w:r>
            <w:r w:rsid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C4B1EE9" w14:textId="3E16B35A" w:rsidR="00AD07CA" w:rsidRDefault="00AD07CA" w:rsidP="00A72CE9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D07C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nieobecność istotnych schorzeń współistniejących stanowiących przeciwskazanie do terapii stwierdzonych przez lekarza prowadzącego w oparciu o aktualną </w:t>
            </w:r>
            <w:proofErr w:type="spellStart"/>
            <w:r w:rsidRPr="00AD07C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ChPL</w:t>
            </w:r>
            <w:proofErr w:type="spellEnd"/>
            <w:r w:rsid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0C4E91B" w14:textId="4D95F0FE" w:rsidR="00AD07CA" w:rsidRPr="00AD07CA" w:rsidRDefault="00AD07CA" w:rsidP="00A72CE9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D07C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brak przeciwwskazań do stosowania określonej w aktualnej </w:t>
            </w:r>
            <w:proofErr w:type="spellStart"/>
            <w:r w:rsidRPr="00AD07C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ChPL</w:t>
            </w:r>
            <w:proofErr w:type="spellEnd"/>
            <w:r w:rsidRPr="00AD07C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substancji czynnej ujętej w programie lekowym.</w:t>
            </w:r>
          </w:p>
          <w:p w14:paraId="1008341B" w14:textId="12425C98" w:rsidR="00AD07CA" w:rsidRPr="00A86A02" w:rsidRDefault="00AD07CA" w:rsidP="001E7C9A">
            <w:pPr>
              <w:autoSpaceDE w:val="0"/>
              <w:autoSpaceDN w:val="0"/>
              <w:adjustRightInd w:val="0"/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01246C63" w14:textId="0450C9FA" w:rsidR="0006667C" w:rsidRDefault="000F34A8" w:rsidP="00A72CE9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ind w:left="72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C</w:t>
            </w:r>
            <w:r w:rsidR="0006667C" w:rsidRPr="00514AA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horzy stabilni klinicznie po terapii </w:t>
            </w:r>
            <w:proofErr w:type="spellStart"/>
            <w:r w:rsidR="0006667C" w:rsidRPr="00514AA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ekulizumabem</w:t>
            </w:r>
            <w:proofErr w:type="spellEnd"/>
            <w:r w:rsidR="0006667C" w:rsidRPr="00514AA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:</w:t>
            </w:r>
          </w:p>
          <w:p w14:paraId="7FA9F8C7" w14:textId="638ACA34" w:rsidR="00647A32" w:rsidRPr="00647A32" w:rsidRDefault="00647A32" w:rsidP="001E7C9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47A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 programu kwalifikowani są pacjenci spełniający łącznie następujące kryteria:</w:t>
            </w:r>
          </w:p>
          <w:p w14:paraId="002A78C9" w14:textId="3C23BA69" w:rsidR="000F34A8" w:rsidRDefault="008E35C6" w:rsidP="00A72CE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F34A8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iek ≥ 18 lat</w:t>
            </w:r>
            <w:r w:rsid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D5ED459" w14:textId="07EB481C" w:rsidR="0006667C" w:rsidRPr="00B07A86" w:rsidRDefault="00AD07CA" w:rsidP="00A72CE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6667C"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diagnozowana nocna napadowa hemoglobinuria z obecnością klonu PNH &gt;1% oznaczonego w badaniu </w:t>
            </w:r>
            <w:proofErr w:type="spellStart"/>
            <w:r w:rsidR="0006667C"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cytometrii</w:t>
            </w:r>
            <w:proofErr w:type="spellEnd"/>
            <w:r w:rsidR="0006667C"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przepływowej</w:t>
            </w:r>
            <w:r w:rsid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A0557FC" w14:textId="683A076D" w:rsidR="0006667C" w:rsidRPr="00B07A86" w:rsidRDefault="00AD07CA" w:rsidP="00A72CE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</w:t>
            </w:r>
            <w:r w:rsidR="0006667C"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tosowanie </w:t>
            </w:r>
            <w:proofErr w:type="spellStart"/>
            <w:r w:rsidR="0006667C"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ekulizumabu</w:t>
            </w:r>
            <w:proofErr w:type="spellEnd"/>
            <w:r w:rsidR="0006667C"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przez co najmniej 6 </w:t>
            </w:r>
            <w:r w:rsidR="004A0A7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ostatnich</w:t>
            </w:r>
            <w:r w:rsidR="004A0A74" w:rsidRPr="00B07A86" w:rsidDel="004A0A7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6667C"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D7A431D" w14:textId="153BD5B7" w:rsidR="0006667C" w:rsidRDefault="00AD07CA" w:rsidP="00A72CE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6667C"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ktywność dehydrogenazy mleczanowej (LDH) ≤1,5 górnej granicy normy (GGN)</w:t>
            </w:r>
            <w:r w:rsid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EE57B48" w14:textId="33827D49" w:rsidR="00AD07CA" w:rsidRPr="00AD07CA" w:rsidRDefault="00AD07CA" w:rsidP="00A72CE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D07C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przypadku kobiet oraz poddanych leczeniu mężczyzn będących partnerami kobiet w wieku rozrodczym wymagana jest zgoda na świadomą kontrolę urodzeń, zgodnie z aktualną Charakterystyką Produktu </w:t>
            </w:r>
            <w:r w:rsidRPr="00AD07C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Leczniczego (zwanej dalej </w:t>
            </w:r>
            <w:proofErr w:type="spellStart"/>
            <w:r w:rsidRPr="00AD07C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ChPL</w:t>
            </w:r>
            <w:proofErr w:type="spellEnd"/>
            <w:r w:rsidRPr="00AD07C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 leku, którym odbywa się leczenie w programie lekowym</w:t>
            </w:r>
            <w:r w:rsid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4B637CF" w14:textId="300D2F04" w:rsidR="00AD07CA" w:rsidRPr="00AD07CA" w:rsidRDefault="00AD07CA" w:rsidP="00A72CE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D07C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nieobecność istotnych schorzeń współistniejących stanowiących przeciwskazanie do terapii stwierdzonych przez lekarza prowadzącego w oparciu o aktualną </w:t>
            </w:r>
            <w:proofErr w:type="spellStart"/>
            <w:r w:rsidRPr="00AD07C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ChPL</w:t>
            </w:r>
            <w:proofErr w:type="spellEnd"/>
            <w:r w:rsid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822E01F" w14:textId="0A6FE2BE" w:rsidR="00AD07CA" w:rsidRDefault="00AD07CA" w:rsidP="00A72CE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D07C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brak przeciwwskazań do stosowania określonej w aktualnej </w:t>
            </w:r>
            <w:proofErr w:type="spellStart"/>
            <w:r w:rsidRPr="00AD07C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ChPL</w:t>
            </w:r>
            <w:proofErr w:type="spellEnd"/>
            <w:r w:rsidRPr="00AD07C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substancji czynnej ujętej w programie lekowym</w:t>
            </w:r>
            <w:r w:rsid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448E17A5" w14:textId="11713563" w:rsidR="00A86A02" w:rsidRPr="00A86A02" w:rsidRDefault="00CE74AD" w:rsidP="001E7C9A">
            <w:pPr>
              <w:autoSpaceDE w:val="0"/>
              <w:autoSpaceDN w:val="0"/>
              <w:adjustRightInd w:val="0"/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E74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Ponadto do programu lekowego kwalifikowani są również pacjenci wymagający kontynuacji leczenia, którzy byli leczeni substancjami czynnymi finansowanymi w programie lekowym w ramach innego sposobu finansowania terapii (za wyjątkiem trwających badań klinicznych tych leków), pod warunkiem, że w chwili rozpoczęcia leczenia spełniali kryteria kwalifikacji do programu lekowego.</w:t>
            </w:r>
          </w:p>
          <w:p w14:paraId="766D7E6F" w14:textId="22497766" w:rsidR="0006667C" w:rsidRPr="00514AA5" w:rsidRDefault="0006667C" w:rsidP="00A72CE9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318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14AA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 czasu leczenia w programie</w:t>
            </w:r>
          </w:p>
          <w:p w14:paraId="61984C6D" w14:textId="63276D21" w:rsidR="0006667C" w:rsidRPr="00B07A86" w:rsidRDefault="001E7C9A" w:rsidP="00A72CE9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</w:t>
            </w:r>
            <w:r w:rsidR="00AD07CA" w:rsidRPr="00AD07C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eczenie trwa do czasu podjęcia przez Zespół Koordynacyjny lub lekarza prowadzącego decyzji o wyłączeniu świadczeniobiorcy z programu, zgodnie z kryteriami wyłączenia</w:t>
            </w:r>
            <w:r w:rsidR="00514AA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AB8E537" w14:textId="5D020CE2" w:rsidR="0006667C" w:rsidRPr="00B07A86" w:rsidRDefault="001E7C9A" w:rsidP="00A72CE9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6667C"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espół koordynacyjny ds. </w:t>
            </w:r>
            <w:r w:rsidR="0006667C" w:rsidRPr="0096682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Leczenia Nocnej Napadowej Hemoglobinurii podejmuje decyzje o możliwości czasowego przerwania profilaktycznego leczenia</w:t>
            </w:r>
            <w:r w:rsidR="0006667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06667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rawulizumabem</w:t>
            </w:r>
            <w:proofErr w:type="spellEnd"/>
            <w:r w:rsidR="0006667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6667C" w:rsidRPr="0096682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 6</w:t>
            </w:r>
            <w:r w:rsidR="006103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06667C" w:rsidRPr="0096682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miesiącach leczenia u chorych z niższym ryzykiem nawrotu choroby, u których uzyskano remisję objawów i powrót prawidłowej funkcji</w:t>
            </w:r>
            <w:r w:rsidR="0006667C"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narządów wewnętrznych</w:t>
            </w:r>
            <w:r w:rsidR="00510D9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. </w:t>
            </w:r>
            <w:r w:rsidR="00510D96" w:rsidRPr="00510D9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Zawieszenie leczenia w każdym czasie wymaga zgłoszenia przez ośrodek leczący i akceptacji przez Zespół koordynacyjny ds. Leczenia Nocnej Napadowej Hemoglobinurii</w:t>
            </w:r>
            <w:r w:rsidR="00514AA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23E2CE0" w14:textId="6C7C6029" w:rsidR="0006667C" w:rsidRPr="004B3C7F" w:rsidRDefault="001E7C9A" w:rsidP="00A72CE9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c</w:t>
            </w:r>
            <w:r w:rsidR="0006667C" w:rsidRPr="00B07A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horzy, u których konieczne jest ponowne włączenie leczenia po decyzji Zespołu koordynacyjnego ds. Nocnej Napadowej Hemoglobinurii będą </w:t>
            </w:r>
            <w:r w:rsidR="004A0A74" w:rsidRPr="00F875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ponownie </w:t>
            </w:r>
            <w:r w:rsidR="008E67C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włączani</w:t>
            </w:r>
            <w:r w:rsidR="004A0A74" w:rsidRPr="00F875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do podawania </w:t>
            </w:r>
            <w:proofErr w:type="spellStart"/>
            <w:r w:rsidR="004A0A7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rawulizumabu</w:t>
            </w:r>
            <w:proofErr w:type="spellEnd"/>
            <w:r w:rsidR="004A0A74" w:rsidRPr="00F875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 podstawie zgłoszenia lekarza prowadzącego do </w:t>
            </w:r>
            <w:r w:rsidR="002673C9" w:rsidRPr="002673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elektroniczn</w:t>
            </w:r>
            <w:r w:rsidR="002673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ego</w:t>
            </w:r>
            <w:r w:rsidR="002673C9" w:rsidRPr="002673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system</w:t>
            </w:r>
            <w:r w:rsidR="002673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2673C9" w:rsidRPr="002673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monitorowania programów lekowych</w:t>
            </w:r>
            <w:r w:rsidR="004A0A7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. </w:t>
            </w:r>
          </w:p>
          <w:p w14:paraId="764C4232" w14:textId="50E84854" w:rsidR="0006667C" w:rsidRPr="004B3C7F" w:rsidRDefault="0006667C" w:rsidP="00A72CE9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/>
              <w:ind w:left="318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B3C7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 wyłączenia</w:t>
            </w:r>
          </w:p>
          <w:p w14:paraId="2CFDC10E" w14:textId="05F80141" w:rsidR="00B47F02" w:rsidRPr="00B47F02" w:rsidRDefault="00B47F02" w:rsidP="00A72CE9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47F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brak efektu leczenia </w:t>
            </w:r>
            <w:r w:rsidR="00091FE7" w:rsidRPr="00091FE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weryfikowanego </w:t>
            </w:r>
            <w:r w:rsidR="001D297C" w:rsidRPr="001D297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 3 miesiącach od rozpoczęcia terapii, a następnie po każdych kolejnych </w:t>
            </w:r>
            <w:r w:rsidR="00091FE7" w:rsidRPr="00091FE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 miesi</w:t>
            </w:r>
            <w:r w:rsidR="001D297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ącach</w:t>
            </w:r>
            <w:r w:rsidR="00091FE7" w:rsidRPr="00091FE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 oparciu o ocenę stanu klinicznego świadczeniobiorcy</w:t>
            </w:r>
            <w:r w:rsidR="00C21A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(np. utrzymywanie się objawów </w:t>
            </w:r>
            <w:r w:rsidR="00733B5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aktywnej </w:t>
            </w:r>
            <w:r w:rsidR="00C21A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hemolizy, brak stabilizacji stężenia hemoglobiny, utrzymywanie się znacznego zmęczenia i brak poprawy jakości życia)</w:t>
            </w:r>
            <w:r w:rsidR="00091FE7" w:rsidRPr="00091FE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2491E50" w14:textId="055F1D90" w:rsidR="00105F86" w:rsidRDefault="0006667C" w:rsidP="00A72CE9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05F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ciąża – jeśli dalsze leczenie nie jest bezwzględnie konieczne;</w:t>
            </w:r>
          </w:p>
          <w:p w14:paraId="3CF16AC2" w14:textId="77777777" w:rsidR="00105F86" w:rsidRDefault="0006667C" w:rsidP="00A72CE9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05F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karmienie piersią;</w:t>
            </w:r>
          </w:p>
          <w:p w14:paraId="0FC8E33B" w14:textId="77777777" w:rsidR="00105F86" w:rsidRDefault="0006667C" w:rsidP="00A72CE9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05F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masa ciała poniżej 40 kg;</w:t>
            </w:r>
          </w:p>
          <w:p w14:paraId="7A412EB7" w14:textId="0CBB1231" w:rsidR="003072DA" w:rsidRPr="003072DA" w:rsidRDefault="00222625" w:rsidP="00A72CE9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przeszczepieni</w:t>
            </w:r>
            <w:r w:rsidR="00E6576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allogenicznych krwiotwórczych komórek macierzystych (</w:t>
            </w:r>
            <w:proofErr w:type="spellStart"/>
            <w:r w:rsidR="003072DA"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allo</w:t>
            </w:r>
            <w:proofErr w:type="spellEnd"/>
            <w:r w:rsidR="003072DA"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-HSCT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3072DA"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6E57FCE" w14:textId="77777777" w:rsidR="002673C9" w:rsidRPr="002673C9" w:rsidRDefault="002673C9" w:rsidP="00A72CE9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2673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wystąpienie chorób lub stanów, które w opinii Zespołu Koordynacyjnego lub lekarza prowadzącego uniemożliwiają dalsze prowadzenie leczenia;</w:t>
            </w:r>
          </w:p>
          <w:p w14:paraId="3D64EF15" w14:textId="77777777" w:rsidR="002673C9" w:rsidRPr="002673C9" w:rsidRDefault="002673C9" w:rsidP="00A72CE9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2673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wystąpienie objawów nadwrażliwości na którąkolwiek substancję czynną lub substancję pomocniczą;</w:t>
            </w:r>
          </w:p>
          <w:p w14:paraId="6434CC06" w14:textId="77777777" w:rsidR="002673C9" w:rsidRPr="002673C9" w:rsidRDefault="002673C9" w:rsidP="00A72CE9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2673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wystąpienie toksyczności wymagającej zakończenia leczenia w opinii Zespołu Koordynacyjnego lub lekarza prowadzącego zgodnie z aktualną </w:t>
            </w:r>
            <w:proofErr w:type="spellStart"/>
            <w:r w:rsidRPr="002673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ChPL</w:t>
            </w:r>
            <w:proofErr w:type="spellEnd"/>
            <w:r w:rsidRPr="002673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883E263" w14:textId="77777777" w:rsidR="002673C9" w:rsidRPr="002673C9" w:rsidRDefault="002673C9" w:rsidP="00A72CE9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2673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pogorszenie jakości życia o istotnym znaczeniu według oceny lekarza;</w:t>
            </w:r>
          </w:p>
          <w:p w14:paraId="7DC7251B" w14:textId="77777777" w:rsidR="002673C9" w:rsidRDefault="002673C9" w:rsidP="00A72CE9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2673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brak współpracy lub nieprzestrzeganie zaleceń lekarskich, w tym zwłaszcza dotyczących okresowych badań kontrolnych oceniających skuteczność i bezpieczeństwo leczenia ze strony świadczeniobiorcy lub jego opiekuna prawnego.</w:t>
            </w:r>
          </w:p>
          <w:p w14:paraId="4896657D" w14:textId="77777777" w:rsidR="00A86A02" w:rsidRPr="00A86A02" w:rsidRDefault="00A86A02" w:rsidP="001E7C9A">
            <w:pPr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20771F09" w14:textId="40404313" w:rsidR="002540F9" w:rsidRDefault="002540F9" w:rsidP="00A72CE9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318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540F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pegcetakoplan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em</w:t>
            </w:r>
            <w:proofErr w:type="spellEnd"/>
          </w:p>
          <w:p w14:paraId="14EE71D7" w14:textId="77777777" w:rsidR="002540F9" w:rsidRDefault="002540F9" w:rsidP="00A72CE9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318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6667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Kryteria kwalifikacji </w:t>
            </w:r>
          </w:p>
          <w:p w14:paraId="1A920938" w14:textId="77777777" w:rsidR="002540F9" w:rsidRPr="00647A32" w:rsidRDefault="002540F9" w:rsidP="001E7C9A">
            <w:pPr>
              <w:autoSpaceDE w:val="0"/>
              <w:autoSpaceDN w:val="0"/>
              <w:adjustRightInd w:val="0"/>
              <w:spacing w:after="60" w:line="276" w:lineRule="auto"/>
              <w:ind w:left="-42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47A3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Do programu kwalifikowani są pacjenci spełniający łącznie następujące kryteria:</w:t>
            </w:r>
          </w:p>
          <w:p w14:paraId="0320F3B5" w14:textId="04D16999" w:rsidR="008E35C6" w:rsidRPr="00C36BE5" w:rsidRDefault="00F564E7" w:rsidP="00A72CE9">
            <w:pPr>
              <w:pStyle w:val="Akapitzlist"/>
              <w:numPr>
                <w:ilvl w:val="0"/>
                <w:numId w:val="30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2540F9" w:rsidRP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diagnozowana nocna napadowa hemoglobinuria z obecnością klonu PNH &gt;1% oznaczonego w badaniu </w:t>
            </w:r>
            <w:proofErr w:type="spellStart"/>
            <w:r w:rsidR="002540F9" w:rsidRP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cytometrii</w:t>
            </w:r>
            <w:proofErr w:type="spellEnd"/>
            <w:r w:rsidR="002540F9" w:rsidRP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przepływowej</w:t>
            </w:r>
            <w:r w:rsid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1C7D56A" w14:textId="70CCCE72" w:rsidR="00C70BA5" w:rsidRPr="00C36BE5" w:rsidRDefault="002540F9" w:rsidP="00A72CE9">
            <w:pPr>
              <w:pStyle w:val="Akapitzlist"/>
              <w:numPr>
                <w:ilvl w:val="0"/>
                <w:numId w:val="30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wiek ≥18 lat</w:t>
            </w:r>
            <w:r w:rsid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  <w:r w:rsidRP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F390501" w14:textId="3B30A4B6" w:rsidR="002540F9" w:rsidRPr="00C36BE5" w:rsidRDefault="002540F9" w:rsidP="00A72CE9">
            <w:pPr>
              <w:pStyle w:val="Akapitzlist"/>
              <w:numPr>
                <w:ilvl w:val="0"/>
                <w:numId w:val="30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obecność niedokrwistości w trakcie leczenia inhibitorem C5 przez co najmniej 3 miesiące</w:t>
            </w:r>
            <w:r w:rsidR="008E35C6"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35C6" w:rsidRP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 pacjentów, którzy w chwili rozpoczęcia leczenia inhibitorem C5 spełniali kryteria kwalifikacji do programu lekowego</w:t>
            </w:r>
            <w:r w:rsid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0D6AD3F" w14:textId="542B9FF3" w:rsidR="00FE53DE" w:rsidRPr="00C36BE5" w:rsidRDefault="00CC4E84" w:rsidP="00A72CE9">
            <w:pPr>
              <w:pStyle w:val="Akapitzlist"/>
              <w:numPr>
                <w:ilvl w:val="0"/>
                <w:numId w:val="30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763D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nieobecność niewyleczonego zakażenia wywołanego przez bakterie otoczkowe, w tym </w:t>
            </w:r>
            <w:proofErr w:type="spellStart"/>
            <w:r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Neisseria</w:t>
            </w:r>
            <w:proofErr w:type="spellEnd"/>
            <w:r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meningitidis</w:t>
            </w:r>
            <w:proofErr w:type="spellEnd"/>
            <w:r w:rsidRPr="001763D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Streptococcus</w:t>
            </w:r>
            <w:proofErr w:type="spellEnd"/>
            <w:r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pneumoniae</w:t>
            </w:r>
            <w:proofErr w:type="spellEnd"/>
            <w:r w:rsidRPr="001763D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Haemophilus</w:t>
            </w:r>
            <w:proofErr w:type="spellEnd"/>
            <w:r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influenzae</w:t>
            </w:r>
            <w:proofErr w:type="spellEnd"/>
            <w:r w:rsidR="00C36BE5"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DD9C7A9" w14:textId="7A820864" w:rsidR="00FE53DE" w:rsidRPr="00C36BE5" w:rsidRDefault="00FE53DE" w:rsidP="00A72CE9">
            <w:pPr>
              <w:pStyle w:val="Akapitzlist"/>
              <w:numPr>
                <w:ilvl w:val="0"/>
                <w:numId w:val="30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wykonanie obowiązkowego szczepienia przeciw </w:t>
            </w:r>
            <w:proofErr w:type="spellStart"/>
            <w:r w:rsidRPr="00E45FC7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Neisseria</w:t>
            </w:r>
            <w:proofErr w:type="spellEnd"/>
            <w:r w:rsidRPr="00E45FC7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45FC7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meningitidis</w:t>
            </w:r>
            <w:proofErr w:type="spellEnd"/>
            <w:r w:rsidR="00A92F41"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(o ile wymagane jest powtórzenie kolejnego szczepienia)</w:t>
            </w:r>
            <w:r w:rsidRPr="001763D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E45FC7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Streptococcus</w:t>
            </w:r>
            <w:proofErr w:type="spellEnd"/>
            <w:r w:rsidRPr="00E45FC7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45FC7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pneumoniae</w:t>
            </w:r>
            <w:proofErr w:type="spellEnd"/>
            <w:r w:rsidRPr="00E45FC7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E45FC7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Haemophilus</w:t>
            </w:r>
            <w:proofErr w:type="spellEnd"/>
            <w:r w:rsidRPr="00E45FC7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45FC7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influenzae</w:t>
            </w:r>
            <w:proofErr w:type="spellEnd"/>
            <w:r w:rsidRPr="001763D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P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 przypadku konieczności wdrożenia leczenia przed upływem 2 tygodni po wykonaniu szczepień - profilaktyka antybiotykowa przez okres 2 tygodni od momentu zaszczepienia</w:t>
            </w:r>
            <w:r w:rsid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F7383FF" w14:textId="28A41235" w:rsidR="002540F9" w:rsidRPr="00C36BE5" w:rsidRDefault="002540F9" w:rsidP="00A72CE9">
            <w:pPr>
              <w:pStyle w:val="Akapitzlist"/>
              <w:numPr>
                <w:ilvl w:val="0"/>
                <w:numId w:val="30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w przypadku kobiet wymagana jest zgoda na świadomą kontrolę urodzeń, zgodnie z aktualną Charakterystyką Produktu Leczniczego (zwanej dalej </w:t>
            </w:r>
            <w:proofErr w:type="spellStart"/>
            <w:r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ChPL</w:t>
            </w:r>
            <w:proofErr w:type="spellEnd"/>
            <w:r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 leku, którym odbywa się leczenie w programie lekowym</w:t>
            </w:r>
            <w:r w:rsidR="00C36BE5"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66028E9" w14:textId="395B486E" w:rsidR="002540F9" w:rsidRPr="00C36BE5" w:rsidRDefault="002540F9" w:rsidP="00A72CE9">
            <w:pPr>
              <w:pStyle w:val="Akapitzlist"/>
              <w:numPr>
                <w:ilvl w:val="0"/>
                <w:numId w:val="30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nieobecność istotnych schorzeń współistniejących stanowiących przeciwskazanie do terapii stwierdzonych przez lekarza prowadzącego w oparciu o aktualną </w:t>
            </w:r>
            <w:proofErr w:type="spellStart"/>
            <w:r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ChPL</w:t>
            </w:r>
            <w:proofErr w:type="spellEnd"/>
            <w:r w:rsidR="00C36BE5"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C155D6E" w14:textId="752D4FED" w:rsidR="002540F9" w:rsidRPr="00C36BE5" w:rsidRDefault="002540F9" w:rsidP="00A72CE9">
            <w:pPr>
              <w:pStyle w:val="Akapitzlist"/>
              <w:numPr>
                <w:ilvl w:val="0"/>
                <w:numId w:val="30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brak przeciwwskazań do stosowania określonej w aktualnej </w:t>
            </w:r>
            <w:proofErr w:type="spellStart"/>
            <w:r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ChPL</w:t>
            </w:r>
            <w:proofErr w:type="spellEnd"/>
            <w:r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substancji czynnej ujętej w programie lekowym.</w:t>
            </w:r>
          </w:p>
          <w:p w14:paraId="1AAE2A0B" w14:textId="77777777" w:rsidR="002540F9" w:rsidRDefault="002540F9" w:rsidP="001E7C9A">
            <w:pPr>
              <w:spacing w:after="60" w:line="276" w:lineRule="auto"/>
              <w:jc w:val="both"/>
              <w:rPr>
                <w:rFonts w:ascii="Times New Roman" w:eastAsia="Malgun Gothic" w:hAnsi="Times New Roman" w:cs="Times New Roman"/>
                <w:sz w:val="20"/>
                <w:szCs w:val="20"/>
              </w:rPr>
            </w:pPr>
            <w:r w:rsidRPr="00C36BE5">
              <w:rPr>
                <w:rFonts w:ascii="Times New Roman" w:eastAsia="Malgun Gothic" w:hAnsi="Times New Roman" w:cs="Times New Roman"/>
                <w:sz w:val="20"/>
                <w:szCs w:val="20"/>
              </w:rPr>
              <w:t>Ponadto do programu lekowego kwalifikowani są również pacjenci wymagający kontynuacji leczenia, którzy byli leczeni substancjami czynnymi finansowanymi w programie lekowym w ramach innego sposobu finansowania terapii (za wyjątkiem trwających badań klinicznych tych leków), pod warunkiem, że w chwili rozpoczęcia leczenia spełniali kryteria kwalifikacji do programu lekowego.</w:t>
            </w:r>
          </w:p>
          <w:p w14:paraId="608894EC" w14:textId="77777777" w:rsidR="001823BC" w:rsidRPr="00C36BE5" w:rsidRDefault="001823BC" w:rsidP="001E7C9A">
            <w:pPr>
              <w:spacing w:after="60" w:line="276" w:lineRule="auto"/>
              <w:jc w:val="both"/>
              <w:rPr>
                <w:rFonts w:ascii="Times New Roman" w:eastAsia="Malgun Gothic" w:hAnsi="Times New Roman" w:cs="Times New Roman"/>
                <w:sz w:val="20"/>
                <w:szCs w:val="20"/>
              </w:rPr>
            </w:pPr>
          </w:p>
          <w:p w14:paraId="12FFFE8E" w14:textId="77777777" w:rsidR="002540F9" w:rsidRPr="00514AA5" w:rsidRDefault="002540F9" w:rsidP="00A72CE9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318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14AA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 czasu leczenia w programie</w:t>
            </w:r>
          </w:p>
          <w:p w14:paraId="01D558AB" w14:textId="427215A3" w:rsidR="002540F9" w:rsidRPr="00F45ED6" w:rsidRDefault="001E7C9A" w:rsidP="00A72CE9">
            <w:pPr>
              <w:pStyle w:val="Akapitzlist"/>
              <w:numPr>
                <w:ilvl w:val="0"/>
                <w:numId w:val="3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</w:t>
            </w:r>
            <w:r w:rsidR="002540F9" w:rsidRPr="00AD07C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eczenie trwa do czasu podjęcia przez Zespół Koordynacyjny lub lekarza prowadzącego decyzji o wyłączeniu świadczeniobiorcy z programu, zgodnie z kryteriami wyłączenia</w:t>
            </w:r>
            <w:r w:rsidR="002540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0B74BBE" w14:textId="70E9FD54" w:rsidR="002540F9" w:rsidRPr="00F45ED6" w:rsidRDefault="001E7C9A" w:rsidP="00A72CE9">
            <w:pPr>
              <w:pStyle w:val="Akapitzlist"/>
              <w:numPr>
                <w:ilvl w:val="0"/>
                <w:numId w:val="3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2540F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espół koordynacyjny ds. Leczenia Nocnej Napadowej Hemoglobinurii podejmuje decyzje o możliwości czasowego przerwania profilaktycznego leczenia </w:t>
            </w:r>
            <w:proofErr w:type="spellStart"/>
            <w:r w:rsidR="009265C2" w:rsidRPr="009265C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pegcetakoplanem</w:t>
            </w:r>
            <w:proofErr w:type="spellEnd"/>
            <w:r w:rsidR="009265C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40F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 6 miesiącach leczenia u chorych z niższym ryzykiem nawrotu choroby, u których uzyskano remisję objawów i powrót prawidłowej funkcji narządów wewnętrznych</w:t>
            </w:r>
            <w:r w:rsidR="002540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 Z</w:t>
            </w:r>
            <w:r w:rsidR="002540F9" w:rsidRPr="00F875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awieszenie leczenia </w:t>
            </w:r>
            <w:r w:rsidR="002540F9" w:rsidRPr="00F875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w każdym czasie wymaga zgłoszenia przez ośrodek leczący i akceptacji przez Zespół</w:t>
            </w:r>
            <w:r w:rsidR="002540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40F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koordynacyjny ds. Leczenia Nocnej Napadowej Hemoglobinurii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2E1BDFF" w14:textId="4F3EF8C2" w:rsidR="002540F9" w:rsidRDefault="001E7C9A" w:rsidP="00A72CE9">
            <w:pPr>
              <w:pStyle w:val="Akapitzlist"/>
              <w:numPr>
                <w:ilvl w:val="0"/>
                <w:numId w:val="3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</w:t>
            </w:r>
            <w:r w:rsidR="002540F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horzy, u których konieczne jest ponowne włączenie leczenia po decyzji Zespołu koordynacyjnego ds. Nocnej Napadowej Hemoglobinurii </w:t>
            </w:r>
            <w:r w:rsidR="002540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będą </w:t>
            </w:r>
            <w:r w:rsidR="002540F9" w:rsidRPr="00F875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ponownie </w:t>
            </w:r>
            <w:r w:rsidR="002540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włączani</w:t>
            </w:r>
            <w:r w:rsidR="002540F9" w:rsidRPr="00F875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do podawania </w:t>
            </w:r>
            <w:proofErr w:type="spellStart"/>
            <w:r w:rsidR="009265C2" w:rsidRPr="009265C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pegcetakoplan</w:t>
            </w:r>
            <w:r w:rsidR="009265C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</w:t>
            </w:r>
            <w:proofErr w:type="spellEnd"/>
            <w:r w:rsidR="002540F9" w:rsidRPr="00F875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 podstawie zgłoszenia lekarza prowadzącego do </w:t>
            </w:r>
            <w:r w:rsidR="002540F9" w:rsidRPr="00735E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elektronicz</w:t>
            </w:r>
            <w:r w:rsidR="002540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nego</w:t>
            </w:r>
            <w:r w:rsidR="002540F9" w:rsidRPr="00735E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system</w:t>
            </w:r>
            <w:r w:rsidR="002540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2540F9" w:rsidRPr="00735E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monitorowania programów lekowych</w:t>
            </w:r>
            <w:r w:rsidR="002540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2540F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DBFC469" w14:textId="77777777" w:rsidR="001823BC" w:rsidRPr="001823BC" w:rsidRDefault="001823BC" w:rsidP="001E7C9A">
            <w:pPr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38372691" w14:textId="77777777" w:rsidR="009265C2" w:rsidRPr="00514AA5" w:rsidRDefault="009265C2" w:rsidP="00A72CE9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14AA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 wyłączenia</w:t>
            </w:r>
          </w:p>
          <w:p w14:paraId="43D87BBB" w14:textId="4DB282B1" w:rsidR="00B47F02" w:rsidRPr="00B47F02" w:rsidRDefault="00B47F02" w:rsidP="00A72CE9">
            <w:pPr>
              <w:pStyle w:val="Akapitzlist"/>
              <w:numPr>
                <w:ilvl w:val="0"/>
                <w:numId w:val="31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47F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brak efektu leczenia </w:t>
            </w:r>
            <w:r w:rsidR="00091FE7" w:rsidRPr="00091FE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weryfik</w:t>
            </w:r>
            <w:r w:rsidR="00091FE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owanego</w:t>
            </w:r>
            <w:r w:rsidR="001378F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378F3" w:rsidRPr="001378F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 3 miesiącach od rozpoczęcia terapii, a następnie po każdych kolejnych</w:t>
            </w:r>
            <w:r w:rsidR="00091FE7" w:rsidRPr="00091FE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6 miesi</w:t>
            </w:r>
            <w:r w:rsidR="001378F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ącach</w:t>
            </w:r>
            <w:r w:rsidR="00091FE7" w:rsidRPr="00091FE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 oparciu o ocenę stanu klinicznego świadczeniobiorcy</w:t>
            </w:r>
            <w:r w:rsidR="00733B5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(np. utrzymywanie się objawów aktywnej </w:t>
            </w:r>
            <w:r w:rsidR="00E45FC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hemolizy, </w:t>
            </w:r>
            <w:r w:rsidR="00733B5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brak stabilizacji stężenia hemoglobiny, utrzymywanie się znacznego zmęczenia i brak poprawy jakości życia)</w:t>
            </w:r>
            <w:r w:rsidR="00733B56" w:rsidRPr="00091FE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5380C75" w14:textId="63CCD371" w:rsidR="009265C2" w:rsidRDefault="009265C2" w:rsidP="00A72CE9">
            <w:pPr>
              <w:pStyle w:val="Akapitzlist"/>
              <w:numPr>
                <w:ilvl w:val="0"/>
                <w:numId w:val="31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ciąża – jeśli dalsze leczenie nie jest bezwzględnie konieczne;</w:t>
            </w:r>
          </w:p>
          <w:p w14:paraId="1A5E41A5" w14:textId="77777777" w:rsidR="009265C2" w:rsidRDefault="009265C2" w:rsidP="00A72CE9">
            <w:pPr>
              <w:pStyle w:val="Akapitzlist"/>
              <w:numPr>
                <w:ilvl w:val="0"/>
                <w:numId w:val="31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265C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karmienie piersią;</w:t>
            </w:r>
          </w:p>
          <w:p w14:paraId="7518835F" w14:textId="397D97BB" w:rsidR="003072DA" w:rsidRPr="00FB029C" w:rsidRDefault="00057345" w:rsidP="00A72CE9">
            <w:pPr>
              <w:pStyle w:val="Akapitzlist"/>
              <w:numPr>
                <w:ilvl w:val="0"/>
                <w:numId w:val="31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B029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przeszczepienie allogenicznych krwiotwórczych komórek macierzystych (</w:t>
            </w:r>
            <w:proofErr w:type="spellStart"/>
            <w:r w:rsidR="003072DA" w:rsidRPr="00FB029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allo</w:t>
            </w:r>
            <w:proofErr w:type="spellEnd"/>
            <w:r w:rsidR="003072DA" w:rsidRPr="00FB029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-HSCT</w:t>
            </w:r>
            <w:r w:rsidRPr="00FB029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3072DA" w:rsidRPr="00FB029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B98B48F" w14:textId="77777777" w:rsidR="009265C2" w:rsidRDefault="009265C2" w:rsidP="00A72CE9">
            <w:pPr>
              <w:pStyle w:val="Akapitzlist"/>
              <w:numPr>
                <w:ilvl w:val="0"/>
                <w:numId w:val="31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265C2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>wystąpienie chorób lub stanów, które w opinii Zespołu Koordynacyjnego lub lekarza prowadzącego uniemożliwiają dalsze prowadzenie leczenia;</w:t>
            </w:r>
          </w:p>
          <w:p w14:paraId="13604AEB" w14:textId="77777777" w:rsidR="009265C2" w:rsidRDefault="009265C2" w:rsidP="00A72CE9">
            <w:pPr>
              <w:pStyle w:val="Akapitzlist"/>
              <w:numPr>
                <w:ilvl w:val="0"/>
                <w:numId w:val="31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265C2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>wystąpienie objawów nadwrażliwości na którąkolwiek substancję czynną lub substancję pomocniczą;</w:t>
            </w:r>
          </w:p>
          <w:p w14:paraId="284B5927" w14:textId="77777777" w:rsidR="009265C2" w:rsidRDefault="009265C2" w:rsidP="00A72CE9">
            <w:pPr>
              <w:pStyle w:val="Akapitzlist"/>
              <w:numPr>
                <w:ilvl w:val="0"/>
                <w:numId w:val="31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265C2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>wystąpienie toksyczności wymagającej zakończenia leczenia w opinii Zespołu Koordynacyjnego lub lekarza prowadzącego zgodnie z aktualną ChPL;</w:t>
            </w:r>
          </w:p>
          <w:p w14:paraId="77F55153" w14:textId="77777777" w:rsidR="009265C2" w:rsidRDefault="009265C2" w:rsidP="00A72CE9">
            <w:pPr>
              <w:pStyle w:val="Akapitzlist"/>
              <w:numPr>
                <w:ilvl w:val="0"/>
                <w:numId w:val="31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265C2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lastRenderedPageBreak/>
              <w:t>pogorszenie jakości życia o istotnym znaczeniu według oceny lekarza;</w:t>
            </w:r>
          </w:p>
          <w:p w14:paraId="7BB92A4C" w14:textId="77777777" w:rsidR="002540F9" w:rsidRDefault="009265C2" w:rsidP="00A72CE9">
            <w:pPr>
              <w:pStyle w:val="Akapitzlist"/>
              <w:numPr>
                <w:ilvl w:val="0"/>
                <w:numId w:val="31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265C2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>brak współpracy lub nieprzestrzeganie zaleceń lekarskich, w tym zwłaszcza dotyczących okresowych badań kontrolnych oceniających skuteczność i bezpieczeństwo leczenia ze strony świadczeniobiorcy lub jego opiekuna prawnego.</w:t>
            </w:r>
          </w:p>
          <w:p w14:paraId="08AF6F67" w14:textId="66335D40" w:rsidR="001823BC" w:rsidRPr="001823BC" w:rsidRDefault="001823BC" w:rsidP="001823BC">
            <w:pPr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67" w:type="pct"/>
          </w:tcPr>
          <w:p w14:paraId="25442B77" w14:textId="3BE6BFF8" w:rsidR="00B83FC5" w:rsidRPr="00FE4A89" w:rsidRDefault="008D7754" w:rsidP="001E7C9A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4A8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  <w:r w:rsidRPr="00FE4A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E4A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ekulizumabu</w:t>
            </w:r>
            <w:proofErr w:type="spellEnd"/>
            <w:r w:rsidR="00C74648" w:rsidRPr="00FE4A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="00C74648" w:rsidRPr="00FE4A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</w:t>
            </w:r>
            <w:r w:rsidRPr="00FE4A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awulizumabu</w:t>
            </w:r>
            <w:proofErr w:type="spellEnd"/>
            <w:r w:rsidR="00C74648" w:rsidRPr="00FE4A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</w:t>
            </w:r>
            <w:r w:rsidRPr="00FE4A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C74648" w:rsidRPr="00FE4A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pegcetakoplanu</w:t>
            </w:r>
            <w:proofErr w:type="spellEnd"/>
            <w:r w:rsidR="00C74648" w:rsidRPr="00FE4A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E4A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zgodnie z aktualną na dzień wydania decyzji Charakterystyką Produktu Leczniczego.</w:t>
            </w:r>
            <w:r w:rsidR="00B83FC5" w:rsidRPr="00FE4A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4DD9799" w14:textId="52084E39" w:rsidR="008D7754" w:rsidRPr="00FE4A89" w:rsidRDefault="00B83FC5" w:rsidP="001E7C9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E4A8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FE4A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ydłużenie czasu między dawkami lub przerwanie podawania możliwe na podstawie </w:t>
            </w:r>
            <w:r w:rsidR="00A16F5B" w:rsidRPr="00FE4A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decyzji </w:t>
            </w:r>
            <w:r w:rsidRPr="00FE4A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Zespołu Koordynacyjnego pod warunkiem monitorowania skuteczności leczenia.</w:t>
            </w:r>
          </w:p>
          <w:p w14:paraId="040D941D" w14:textId="77C5387A" w:rsidR="008D7754" w:rsidRPr="001763D3" w:rsidRDefault="00D23D33" w:rsidP="00A72CE9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C123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e</w:t>
            </w:r>
            <w:r w:rsidR="008D7754" w:rsidRPr="00C123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kulizumab</w:t>
            </w:r>
            <w:proofErr w:type="spellEnd"/>
            <w:r w:rsidRPr="001763D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Pr="00063493">
              <w:t xml:space="preserve"> </w:t>
            </w:r>
            <w:r w:rsidRPr="001763D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podawane dawki należy określić w oparciu o masę ciała pacjenta zgodnie z aktualną Charakterystyką Produktu Leczniczego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17F7D39C" w14:textId="65B21BA2" w:rsidR="008D7754" w:rsidRPr="008D7754" w:rsidRDefault="008D7754" w:rsidP="00A72CE9">
            <w:pPr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dawka początkowa </w:t>
            </w:r>
            <w:r w:rsidR="008E35C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maksymalna </w:t>
            </w:r>
            <w:r w:rsidR="00212A1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to </w:t>
            </w:r>
            <w:r w:rsidR="001372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00 mg</w:t>
            </w:r>
            <w:r w:rsidR="00A16F5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 infuzji dożylnej</w:t>
            </w: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 co tydzień przez pierwsze 4 tygodnie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197DCE8F" w14:textId="06DB9671" w:rsidR="008D7754" w:rsidRDefault="008D7754" w:rsidP="00A72CE9">
            <w:pPr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dawka podtrzymująca maksymalna</w:t>
            </w:r>
            <w:r w:rsidR="008E35C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to </w:t>
            </w:r>
            <w:r w:rsidR="00466B9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9</w:t>
            </w: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00 mg </w:t>
            </w:r>
            <w:r w:rsidR="00A16F5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infuzji dożylnej </w:t>
            </w: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piątym tygodniu, a następnie dawka </w:t>
            </w:r>
            <w:r w:rsidR="00466B9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9</w:t>
            </w: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00 mg </w:t>
            </w:r>
            <w:r w:rsidR="00A16F5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infuzji dożylnej </w:t>
            </w: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co 14 ± 2 dni.</w:t>
            </w:r>
          </w:p>
          <w:p w14:paraId="0013BF4C" w14:textId="77777777" w:rsidR="00FE4A89" w:rsidRPr="008D7754" w:rsidRDefault="00FE4A89" w:rsidP="001E7C9A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0A69F0FC" w14:textId="043CDF01" w:rsidR="008D7754" w:rsidRPr="008D7754" w:rsidRDefault="008D7754" w:rsidP="00A72CE9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8D775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rawulizumab</w:t>
            </w:r>
            <w:proofErr w:type="spellEnd"/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- podawane dawki należy określić w oparciu o masę ciała pacjenta</w:t>
            </w:r>
            <w:r w:rsidR="0058658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zgodnie z aktualną </w:t>
            </w:r>
            <w:r w:rsidR="00586582"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Charakterystyką Produktu Leczniczego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1D4EAD65" w14:textId="7A11F194" w:rsidR="008D7754" w:rsidRPr="008D7754" w:rsidRDefault="00E65769" w:rsidP="00A72CE9">
            <w:pPr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maksymalna </w:t>
            </w:r>
            <w:r w:rsidR="008D7754"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dawka nasycająca </w:t>
            </w:r>
            <w:r w:rsidR="0058658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to </w:t>
            </w:r>
            <w:r w:rsidR="008D7754"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3000 mg</w:t>
            </w:r>
            <w:r w:rsidR="0058658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podana w infuzji dożylnej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3ABF0736" w14:textId="6173A1F7" w:rsidR="00071DE2" w:rsidRDefault="00586582" w:rsidP="00A72CE9">
            <w:pPr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maksymalna </w:t>
            </w:r>
            <w:r w:rsidR="008D7754"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dawka podtrzymująca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to </w:t>
            </w: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3600 mg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podana w infuzji dożylnej. Pierwszą dawkę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podtrzymującą należy podać </w:t>
            </w: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D7754"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 tygodnie po dawce nasycającej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 a kolejne dawki podtrzymujące należy podawać w infuzji dożylnej</w:t>
            </w:r>
            <w:r w:rsidR="008D7754"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co 8 tygodni.</w:t>
            </w:r>
          </w:p>
          <w:p w14:paraId="27BC1254" w14:textId="77777777" w:rsidR="00FE4A89" w:rsidRPr="008D7754" w:rsidRDefault="00FE4A89" w:rsidP="001E7C9A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79715154" w14:textId="544CA142" w:rsidR="00071DE2" w:rsidRPr="008D7754" w:rsidRDefault="00675B39" w:rsidP="00A72CE9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p</w:t>
            </w:r>
            <w:r w:rsidR="00C74648" w:rsidRPr="00C746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egcetakoplan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– podanie zgodn</w:t>
            </w:r>
            <w:r w:rsidR="00AA42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ie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z aktualną Charakterystyką Produktu Leczniczego</w:t>
            </w:r>
          </w:p>
          <w:p w14:paraId="42C0474B" w14:textId="1AD33C77" w:rsidR="008D7754" w:rsidRPr="00143700" w:rsidRDefault="00071DE2" w:rsidP="00A72CE9">
            <w:pPr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FA40A3" w:rsidRPr="00FA40A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108</w:t>
            </w: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0 mg</w:t>
            </w:r>
            <w:r w:rsidR="00FA40A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12A1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podawana w infuzj</w:t>
            </w:r>
            <w:r w:rsidR="00AA423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212A1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podskórnej </w:t>
            </w:r>
            <w:r w:rsidR="00FA40A3" w:rsidRPr="00FA40A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dwa razy na tydzień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39761530" w14:textId="4829EEF2" w:rsidR="00143700" w:rsidRPr="00143700" w:rsidRDefault="00143700" w:rsidP="00A72CE9">
            <w:pPr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</w:t>
            </w:r>
            <w:r w:rsidRPr="00143700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acjentom, którzy zmieniają leczenie inhibitorem C5 na </w:t>
            </w:r>
            <w:proofErr w:type="spellStart"/>
            <w:r w:rsidRPr="00143700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pegcetakoplan</w:t>
            </w:r>
            <w:proofErr w:type="spellEnd"/>
            <w:r w:rsidRPr="00143700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należy przez pierwsze 4 tygodnie podawać </w:t>
            </w:r>
            <w:proofErr w:type="spellStart"/>
            <w:r w:rsidRPr="00143700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pegcetakoplan</w:t>
            </w:r>
            <w:proofErr w:type="spellEnd"/>
            <w:r w:rsidRPr="00143700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dwa razy na tydzień </w:t>
            </w:r>
            <w:r w:rsidR="00212A19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w infuzji </w:t>
            </w:r>
            <w:r w:rsidRPr="00143700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podskórn</w:t>
            </w:r>
            <w:r w:rsidR="00212A19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ej</w:t>
            </w:r>
            <w:r w:rsidRPr="00143700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w dawce 1080 mg dodatkowo do aktualnie przyjmowanej dawki inhibitora C5 w celu zminimalizowania ryzyka hemolizy po nagłym przerwaniu leczenia. Po 4 tygodniach należy przerwać stosowanie inhibitora C5, a następnie kontynuować</w:t>
            </w:r>
            <w:r w:rsidR="00B42A5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43700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przyjmowanie</w:t>
            </w:r>
            <w:r w:rsidR="00B42A5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43700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pegcetakoplanu</w:t>
            </w:r>
            <w:proofErr w:type="spellEnd"/>
            <w:r w:rsidR="00212A19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w takiej samej dawce</w:t>
            </w:r>
            <w:r w:rsidR="001E7C9A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,</w:t>
            </w:r>
          </w:p>
          <w:p w14:paraId="427D3DC3" w14:textId="71128E24" w:rsidR="00B42A57" w:rsidRDefault="00B42A57" w:rsidP="00A72CE9">
            <w:pPr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</w:t>
            </w:r>
            <w:r w:rsidRPr="00B42A5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acjent odbywa w ośrodku minimum trzy wizyty monitorujące (z wynikami badań i oceną efektywności leczenia) od początku leczenia</w:t>
            </w:r>
            <w:r w:rsidR="00B346FE">
              <w:t xml:space="preserve"> </w:t>
            </w:r>
            <w:r w:rsidR="00B346FE" w:rsidRPr="00B346F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 odstępach zgodnych z punktami monitorowania leczenia</w:t>
            </w:r>
            <w:r w:rsidRPr="00B42A5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. </w:t>
            </w:r>
            <w:r w:rsidRPr="001763D3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Po uzyskaniu</w:t>
            </w:r>
            <w:r w:rsidRPr="00063493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C33D4B" w:rsidRPr="001763D3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efektu</w:t>
            </w:r>
            <w:r w:rsidR="00C33D4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2A5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leczenia (niskiej aktywności </w:t>
            </w:r>
            <w:r w:rsidR="00212A19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choroby </w:t>
            </w:r>
            <w:r w:rsidRPr="00B42A5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lub remisji) i utrzymywania się tego stanu minimum </w:t>
            </w:r>
            <w:r w:rsidR="00450FF9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3</w:t>
            </w:r>
            <w:r w:rsidR="00450FF9" w:rsidRPr="00B42A5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2A5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miesięcy możliwe jest wydawanie leku </w:t>
            </w:r>
            <w:r w:rsidR="00B346FE" w:rsidRPr="00B346F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na okres pomiędzy wizytami w ośrodku.</w:t>
            </w:r>
            <w:r w:rsidRPr="00B42A5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Leczenie </w:t>
            </w:r>
            <w:proofErr w:type="spellStart"/>
            <w:r w:rsidRPr="00B42A5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pegcetakoplanem</w:t>
            </w:r>
            <w:proofErr w:type="spellEnd"/>
            <w:r w:rsidRPr="00B42A5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może być kontynuowane w warunkach domowych, jeśli lekarz i pacjent uznają to za właściwe. Na pierwszej wizycie z podaniem leku w ośrodku pacjent lub opiekunowie prawni pacjenta otrzymują wyczerpującą informację na temat techniki podawania lek</w:t>
            </w:r>
            <w:r w:rsidR="00212A19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u</w:t>
            </w:r>
            <w:r w:rsidRPr="00B42A5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stosowan</w:t>
            </w:r>
            <w:r w:rsidR="00AA423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ego</w:t>
            </w:r>
            <w:r w:rsidRPr="00B42A5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A423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podskórnie</w:t>
            </w:r>
            <w:r w:rsidR="00AA423E" w:rsidRPr="00B42A5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2A5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oraz potencjalnych objawach niepożądanych związanych ze stosowanym leczeniem.</w:t>
            </w:r>
          </w:p>
          <w:p w14:paraId="0B3F4BBE" w14:textId="77777777" w:rsidR="001E7C9A" w:rsidRDefault="001E7C9A" w:rsidP="001E7C9A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4E03B21E" w14:textId="59B731B6" w:rsidR="00143700" w:rsidRPr="008D7754" w:rsidRDefault="00B42A57" w:rsidP="001E7C9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B42A5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Pacjent otrzymuje leki dla celów terapii domowej w ośrodku prowadzącym terapię w programie lekowym danego pacjenta na okres pomiędzy wizytami w ośrodku.</w:t>
            </w:r>
          </w:p>
          <w:p w14:paraId="1020B804" w14:textId="2C8A385D" w:rsidR="008D7754" w:rsidRPr="00E76F51" w:rsidRDefault="008D7754" w:rsidP="008D7754">
            <w:pPr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67" w:type="pct"/>
          </w:tcPr>
          <w:p w14:paraId="6D0FCBE6" w14:textId="318924C4" w:rsidR="000F34A8" w:rsidRDefault="000F34A8" w:rsidP="001E7C9A">
            <w:pPr>
              <w:pStyle w:val="Akapitzlist"/>
              <w:numPr>
                <w:ilvl w:val="0"/>
                <w:numId w:val="1"/>
              </w:numPr>
              <w:spacing w:before="120" w:after="60" w:line="276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Leczenie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ekulizumabem</w:t>
            </w:r>
            <w:proofErr w:type="spellEnd"/>
          </w:p>
          <w:p w14:paraId="52403856" w14:textId="68D70256" w:rsidR="00097CEA" w:rsidRPr="000F34A8" w:rsidRDefault="00097CEA" w:rsidP="00A72CE9">
            <w:pPr>
              <w:pStyle w:val="Akapitzlist"/>
              <w:numPr>
                <w:ilvl w:val="1"/>
                <w:numId w:val="25"/>
              </w:numPr>
              <w:spacing w:after="60" w:line="276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b/>
                <w:sz w:val="20"/>
                <w:szCs w:val="20"/>
              </w:rPr>
              <w:t>Badania przy kwalifikacji</w:t>
            </w:r>
            <w:r w:rsidR="00986B20" w:rsidRPr="000F34A8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04BE0EA4" w14:textId="77777777" w:rsidR="009A2A0C" w:rsidRPr="00F45ED6" w:rsidRDefault="004003FF" w:rsidP="00A72CE9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FA0578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adanie granulocytów </w:t>
            </w:r>
            <w:r w:rsidR="000A3B50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02328C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erytrocytów </w:t>
            </w:r>
            <w:r w:rsidR="00FA0578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</w:t>
            </w:r>
            <w:proofErr w:type="spellStart"/>
            <w:r w:rsidR="00FA0578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cytometrze</w:t>
            </w:r>
            <w:proofErr w:type="spellEnd"/>
            <w:r w:rsidR="00FA0578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przepływowym</w:t>
            </w:r>
            <w:r w:rsidR="002D5B0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</w:t>
            </w:r>
            <w:r w:rsidR="00FA0578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od katem obecności klon</w:t>
            </w:r>
            <w:r w:rsidR="006F4E84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FA0578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PNH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A44636D" w14:textId="5E3A0DBB" w:rsidR="00CA1D97" w:rsidRPr="00F45ED6" w:rsidRDefault="006301AC" w:rsidP="00A72CE9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test ciążowy </w:t>
            </w:r>
            <w:r w:rsidR="00F866BC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 kobiet w wieku rozrodczym</w:t>
            </w:r>
            <w:r w:rsidR="00CA1D97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CA708C3" w14:textId="77777777" w:rsidR="00EF4B76" w:rsidRPr="00F45ED6" w:rsidRDefault="004003FF" w:rsidP="00A72CE9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61367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ktywność</w:t>
            </w:r>
            <w:r w:rsidR="001122F3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15E4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dehydrogenazy mleczanowej </w:t>
            </w:r>
            <w:r w:rsidR="00986B20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="001122F3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LDH</w:t>
            </w:r>
            <w:r w:rsidR="00986B20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  <w:r w:rsidR="002D5B0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F081B93" w14:textId="77777777" w:rsidR="001122F3" w:rsidRPr="00F45ED6" w:rsidRDefault="004003FF" w:rsidP="00A72CE9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1122F3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orfologia krwi obwodowej z rozmazem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5169E42" w14:textId="77777777" w:rsidR="004605DF" w:rsidRPr="00F45ED6" w:rsidRDefault="00B750CC" w:rsidP="00A72CE9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czas częściowej tromboplastyny po aktywacji (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APTT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4003F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FC22B3C" w14:textId="77777777" w:rsidR="004605DF" w:rsidRPr="00F45ED6" w:rsidRDefault="00B750CC" w:rsidP="00A72CE9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czas </w:t>
            </w:r>
            <w:proofErr w:type="spellStart"/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protrombinowy</w:t>
            </w:r>
            <w:proofErr w:type="spellEnd"/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PT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4003F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7016DCB" w14:textId="77777777" w:rsidR="004605DF" w:rsidRPr="00F45ED6" w:rsidRDefault="004003FF" w:rsidP="00A72CE9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f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ibrynogen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CDDEC26" w14:textId="77777777" w:rsidR="00B07645" w:rsidRPr="00F45ED6" w:rsidRDefault="004003FF" w:rsidP="00A72CE9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B07645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dczyn </w:t>
            </w:r>
            <w:proofErr w:type="spellStart"/>
            <w:r w:rsidR="00B07645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Coombsa</w:t>
            </w:r>
            <w:proofErr w:type="spellEnd"/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8B93AC2" w14:textId="77777777" w:rsidR="004605DF" w:rsidRPr="00F45ED6" w:rsidRDefault="004003FF" w:rsidP="00A72CE9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znaczenie grupy krwi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50FECDB" w14:textId="59CD104A" w:rsidR="004605DF" w:rsidRPr="00F45ED6" w:rsidRDefault="004003FF" w:rsidP="00A72CE9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tężenie kreatyniny w surowicy</w:t>
            </w:r>
            <w:r w:rsidR="00DD04F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krwi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EFE793C" w14:textId="3D9A73E9" w:rsidR="004605DF" w:rsidRPr="00F45ED6" w:rsidRDefault="004003FF" w:rsidP="00A72CE9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tężenie mocznika w surowicy</w:t>
            </w:r>
            <w:r w:rsidR="00DD04F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krwi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37DA6F2" w14:textId="412A99D8" w:rsidR="00986B20" w:rsidRPr="00F45ED6" w:rsidRDefault="00937E84" w:rsidP="00A72CE9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aktywność </w:t>
            </w:r>
            <w:r w:rsidR="00D2480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D2480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D2480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asparagino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</w:t>
            </w:r>
            <w:proofErr w:type="spellEnd"/>
            <w:r w:rsidR="00D2480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="004605D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AspAT</w:t>
            </w:r>
            <w:proofErr w:type="spellEnd"/>
            <w:r w:rsidR="00D2480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4003F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67A7BF1" w14:textId="75A1BCD7" w:rsidR="004605DF" w:rsidRPr="00F45ED6" w:rsidRDefault="00937E84" w:rsidP="00A72CE9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aktywność </w:t>
            </w:r>
            <w:r w:rsidR="00D2480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D2480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alaninow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</w:t>
            </w:r>
            <w:r w:rsidR="00D2480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="004605D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AlAT</w:t>
            </w:r>
            <w:proofErr w:type="spellEnd"/>
            <w:r w:rsidR="00D2480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4003F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3F180D9" w14:textId="1E10271C" w:rsidR="004605DF" w:rsidRPr="00F45ED6" w:rsidRDefault="00937E84" w:rsidP="00A72CE9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stężenie </w:t>
            </w:r>
            <w:r w:rsidR="004003F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ilirubin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całkowit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 bezpośredni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 w surowicy krwi</w:t>
            </w:r>
            <w:r w:rsidR="004003F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2E8FCCC" w14:textId="382942C7" w:rsidR="004605DF" w:rsidRPr="00F45ED6" w:rsidRDefault="004003FF" w:rsidP="00A72CE9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</w:t>
            </w:r>
            <w:r w:rsidR="003A3258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tężenie </w:t>
            </w:r>
            <w:proofErr w:type="spellStart"/>
            <w:r w:rsidR="003A3258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h</w:t>
            </w:r>
            <w:r w:rsidR="0061367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aptoglobiny</w:t>
            </w:r>
            <w:proofErr w:type="spellEnd"/>
            <w:r w:rsidR="002B3FE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="002B3FE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Hp</w:t>
            </w:r>
            <w:proofErr w:type="spellEnd"/>
            <w:r w:rsidR="002B3FE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79193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 surowicy krwi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F36CA3F" w14:textId="17948A5F" w:rsidR="00CB413C" w:rsidRPr="00F45ED6" w:rsidRDefault="00CB413C" w:rsidP="00A72CE9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stężenie </w:t>
            </w:r>
            <w:r w:rsidR="00937E8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sodu w surowicy krwi</w:t>
            </w:r>
            <w:r w:rsidR="004003F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3F985D7" w14:textId="15CCF609" w:rsidR="004605DF" w:rsidRPr="00F45ED6" w:rsidRDefault="00CB413C" w:rsidP="00A72CE9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stężenie </w:t>
            </w:r>
            <w:r w:rsidR="00937E8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potasu w surowicy krwi</w:t>
            </w:r>
            <w:r w:rsidR="004003F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690505C" w14:textId="77777777" w:rsidR="004605DF" w:rsidRPr="00F45ED6" w:rsidRDefault="004003FF" w:rsidP="00A72CE9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adanie ogólne moczu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967CFA8" w14:textId="77777777" w:rsidR="003A3258" w:rsidRPr="00F45ED6" w:rsidRDefault="004003FF" w:rsidP="00A72CE9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1122F3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adanie wolnej hemoglobiny w moczu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  <w:r w:rsidR="003A3258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E965200" w14:textId="77777777" w:rsidR="001122F3" w:rsidRDefault="004003FF" w:rsidP="00A72CE9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3A3258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adania obrazowe naczyń w przypadku podejrzenia zakrzepicy żylnej lub tętniczej lub incydentów zatorowych w zależności od umiejscowienia: </w:t>
            </w:r>
            <w:proofErr w:type="spellStart"/>
            <w:r w:rsidR="00A50EF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ultrasonogram</w:t>
            </w:r>
            <w:proofErr w:type="spellEnd"/>
            <w:r w:rsidR="00A50EF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r w:rsidR="003A3258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USG</w:t>
            </w:r>
            <w:r w:rsidR="00A50EF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3A3258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lub </w:t>
            </w:r>
            <w:r w:rsidR="00A50EF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tomografia komputerowa (</w:t>
            </w:r>
            <w:r w:rsidR="00230B01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TK</w:t>
            </w:r>
            <w:r w:rsidR="00A50EF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3A3258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lub </w:t>
            </w:r>
            <w:r w:rsidR="00A50EF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magnetyczny rezonans jądrowy (MRI)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35A8A2E0" w14:textId="77777777" w:rsidR="00FE4A89" w:rsidRPr="00FE4A89" w:rsidRDefault="00FE4A89" w:rsidP="001E7C9A">
            <w:pPr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D4881F" w14:textId="4AC199AB" w:rsidR="00EF4B76" w:rsidRPr="000F34A8" w:rsidRDefault="00EF4B76" w:rsidP="00A72CE9">
            <w:pPr>
              <w:pStyle w:val="Akapitzlist"/>
              <w:numPr>
                <w:ilvl w:val="1"/>
                <w:numId w:val="25"/>
              </w:numPr>
              <w:spacing w:after="60" w:line="276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b/>
                <w:sz w:val="20"/>
                <w:szCs w:val="20"/>
              </w:rPr>
              <w:t>Monitorowanie leczenia</w:t>
            </w:r>
          </w:p>
          <w:p w14:paraId="7F76B0A0" w14:textId="3CFBA381" w:rsidR="00D17380" w:rsidRPr="00F45ED6" w:rsidRDefault="001E7C9A" w:rsidP="00A72CE9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61367F" w:rsidRPr="00F45ED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6C3862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tydzień</w:t>
            </w:r>
            <w:r w:rsidR="003A3258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przez pierwsze 5 tygodni</w:t>
            </w:r>
            <w:r w:rsidR="006C3862" w:rsidRPr="00F45ED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762E024" w14:textId="339496EC" w:rsidR="003A3258" w:rsidRPr="00F45ED6" w:rsidRDefault="006B21DC" w:rsidP="00A72CE9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3A3258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ktywność 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dehydrogenazy mleczanowej (</w:t>
            </w:r>
            <w:r w:rsidR="003A3258" w:rsidRPr="00F45ED6">
              <w:rPr>
                <w:rFonts w:ascii="Times New Roman" w:hAnsi="Times New Roman" w:cs="Times New Roman"/>
                <w:sz w:val="20"/>
                <w:szCs w:val="20"/>
              </w:rPr>
              <w:t>LDH</w:t>
            </w: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73D7BD9" w14:textId="3BC64D4A" w:rsidR="004605DF" w:rsidRPr="00F45ED6" w:rsidRDefault="006B21DC" w:rsidP="00A72CE9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</w:rPr>
              <w:t>orfologia</w:t>
            </w:r>
            <w:r w:rsidR="0061367F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krwi obwodowej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z rozmazem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CC52B92" w14:textId="4ED78A96" w:rsidR="004605DF" w:rsidRPr="00F45ED6" w:rsidRDefault="00DD04FC" w:rsidP="00A72CE9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6B21DC" w:rsidRPr="00F45ED6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</w:rPr>
              <w:t>reatynin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 w surowicy krwi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3253DB6" w14:textId="356FF670" w:rsidR="004605DF" w:rsidRPr="00F45ED6" w:rsidRDefault="00DD04FC" w:rsidP="00A72CE9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CA1D97" w:rsidRPr="00F45ED6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</w:rPr>
              <w:t>ocznik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w surowicy krwi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6BD0F09" w14:textId="004685F0" w:rsidR="00CA1D97" w:rsidRPr="00F45ED6" w:rsidRDefault="00937E84" w:rsidP="00A72CE9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aktywność </w:t>
            </w:r>
            <w:r w:rsidR="00CA1D97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CA1D97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asparaginow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</w:t>
            </w:r>
            <w:r w:rsidR="00CA1D97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="004605DF" w:rsidRPr="00F45ED6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="00CA1D97" w:rsidRPr="00F45E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DF6B4A5" w14:textId="37409EB3" w:rsidR="004605DF" w:rsidRPr="00F45ED6" w:rsidRDefault="00937E84" w:rsidP="00A72CE9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aktywność </w:t>
            </w:r>
            <w:r w:rsidR="00CA1D97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CA1D97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alaninow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1D97" w:rsidRPr="00F45ED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4605DF" w:rsidRPr="00F45ED6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CA1D97" w:rsidRPr="00F45E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C7D0FC2" w14:textId="4D02D251" w:rsidR="00B07645" w:rsidRPr="00F45ED6" w:rsidRDefault="00937E84" w:rsidP="00A72CE9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CA1D97" w:rsidRPr="00F45ED6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</w:rPr>
              <w:t>ilirubin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całkowit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 w surowicy krwi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4D25BF2" w14:textId="7F188447" w:rsidR="00211ACB" w:rsidRPr="00F45ED6" w:rsidRDefault="001E7C9A" w:rsidP="00A72CE9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211ACB" w:rsidRPr="00F45ED6">
              <w:rPr>
                <w:rFonts w:ascii="Times New Roman" w:hAnsi="Times New Roman" w:cs="Times New Roman"/>
                <w:sz w:val="20"/>
                <w:szCs w:val="20"/>
              </w:rPr>
              <w:t>o 5 tygodniu, raz na dwa tygodnie lub częściej w uzasad</w:t>
            </w:r>
            <w:r w:rsidR="000A3B50" w:rsidRPr="00F45ED6">
              <w:rPr>
                <w:rFonts w:ascii="Times New Roman" w:hAnsi="Times New Roman" w:cs="Times New Roman"/>
                <w:sz w:val="20"/>
                <w:szCs w:val="20"/>
              </w:rPr>
              <w:t>nionych sytuacjach klinicznych:</w:t>
            </w:r>
          </w:p>
          <w:p w14:paraId="551E1DEB" w14:textId="64587D98" w:rsidR="00211ACB" w:rsidRPr="00F45ED6" w:rsidRDefault="00A50EF9" w:rsidP="00A72CE9">
            <w:pPr>
              <w:pStyle w:val="Akapitzlist"/>
              <w:numPr>
                <w:ilvl w:val="0"/>
                <w:numId w:val="35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211ACB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ktywność </w:t>
            </w: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>dehydrogenazy mleczanowej (</w:t>
            </w:r>
            <w:r w:rsidR="00211ACB" w:rsidRPr="00F45ED6">
              <w:rPr>
                <w:rFonts w:ascii="Times New Roman" w:hAnsi="Times New Roman" w:cs="Times New Roman"/>
                <w:sz w:val="20"/>
                <w:szCs w:val="20"/>
              </w:rPr>
              <w:t>LDH</w:t>
            </w: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F6E9363" w14:textId="26BD070E" w:rsidR="00B07645" w:rsidRPr="00F45ED6" w:rsidRDefault="00A50EF9" w:rsidP="00A72CE9">
            <w:pPr>
              <w:pStyle w:val="Akapitzlist"/>
              <w:numPr>
                <w:ilvl w:val="0"/>
                <w:numId w:val="35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B07645" w:rsidRPr="00F45ED6">
              <w:rPr>
                <w:rFonts w:ascii="Times New Roman" w:hAnsi="Times New Roman" w:cs="Times New Roman"/>
                <w:sz w:val="20"/>
                <w:szCs w:val="20"/>
              </w:rPr>
              <w:t>orfologia krwi obwodowej</w:t>
            </w:r>
            <w:r w:rsidR="00E40EA2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z rozmazem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019470F" w14:textId="56F66934" w:rsidR="004605DF" w:rsidRPr="00F45ED6" w:rsidRDefault="001E7C9A" w:rsidP="00A72CE9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211ACB" w:rsidRPr="00F45ED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6C3862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1ACB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5 tygodniu, </w:t>
            </w:r>
            <w:r w:rsidR="006C3862" w:rsidRPr="00F45ED6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</w:rPr>
              <w:t>az na cztery tygodnie</w:t>
            </w:r>
            <w:r w:rsidR="00211ACB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lub częściej w</w:t>
            </w:r>
            <w:r w:rsidR="006103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11ACB" w:rsidRPr="00F45ED6">
              <w:rPr>
                <w:rFonts w:ascii="Times New Roman" w:hAnsi="Times New Roman" w:cs="Times New Roman"/>
                <w:sz w:val="20"/>
                <w:szCs w:val="20"/>
              </w:rPr>
              <w:t>uzasadnionych sytuacjach klinicznych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74C7DB4B" w14:textId="3487F7AA" w:rsidR="00B07645" w:rsidRPr="00F45ED6" w:rsidRDefault="00DD04FC" w:rsidP="00A72CE9">
            <w:pPr>
              <w:pStyle w:val="Akapitzlist"/>
              <w:numPr>
                <w:ilvl w:val="0"/>
                <w:numId w:val="3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906740" w:rsidRPr="00F45ED6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6C3862" w:rsidRPr="00F45ED6">
              <w:rPr>
                <w:rFonts w:ascii="Times New Roman" w:hAnsi="Times New Roman" w:cs="Times New Roman"/>
                <w:sz w:val="20"/>
                <w:szCs w:val="20"/>
              </w:rPr>
              <w:t>reatynin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 w surowicy krwi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234CC13" w14:textId="0D1FA791" w:rsidR="006C3862" w:rsidRPr="00F45ED6" w:rsidRDefault="00DD04FC" w:rsidP="00A72CE9">
            <w:pPr>
              <w:pStyle w:val="Akapitzlist"/>
              <w:numPr>
                <w:ilvl w:val="0"/>
                <w:numId w:val="3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906740" w:rsidRPr="00F45ED6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6C3862" w:rsidRPr="00F45ED6">
              <w:rPr>
                <w:rFonts w:ascii="Times New Roman" w:hAnsi="Times New Roman" w:cs="Times New Roman"/>
                <w:sz w:val="20"/>
                <w:szCs w:val="20"/>
              </w:rPr>
              <w:t>ocznik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w surowicy krwi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E85CA3F" w14:textId="18BD8612" w:rsidR="00906740" w:rsidRPr="00F45ED6" w:rsidRDefault="00937E84" w:rsidP="00A72CE9">
            <w:pPr>
              <w:pStyle w:val="Akapitzlist"/>
              <w:numPr>
                <w:ilvl w:val="0"/>
                <w:numId w:val="3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aktywność </w:t>
            </w:r>
            <w:r w:rsidR="00906740" w:rsidRPr="00F45ED6">
              <w:rPr>
                <w:rFonts w:ascii="Times New Roman" w:hAnsi="Times New Roman" w:cs="Times New Roman"/>
                <w:sz w:val="20"/>
                <w:szCs w:val="20"/>
              </w:rPr>
              <w:t>aminotransferaza asparaginowa (</w:t>
            </w:r>
            <w:proofErr w:type="spellStart"/>
            <w:r w:rsidR="006C3862" w:rsidRPr="00F45ED6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="00906740" w:rsidRPr="00F45E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DACA874" w14:textId="0ED2C91B" w:rsidR="0061367F" w:rsidRPr="00F45ED6" w:rsidRDefault="00937E84" w:rsidP="00A72CE9">
            <w:pPr>
              <w:pStyle w:val="Akapitzlist"/>
              <w:numPr>
                <w:ilvl w:val="0"/>
                <w:numId w:val="3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aktywność </w:t>
            </w:r>
            <w:r w:rsidR="00906740" w:rsidRPr="00F45ED6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906740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alaninow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906740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6C3862" w:rsidRPr="00F45ED6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906740" w:rsidRPr="00F45E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3C7549D" w14:textId="53069873" w:rsidR="00AC0A47" w:rsidRPr="00F45ED6" w:rsidRDefault="00937E84" w:rsidP="00A72CE9">
            <w:pPr>
              <w:pStyle w:val="Akapitzlist"/>
              <w:numPr>
                <w:ilvl w:val="0"/>
                <w:numId w:val="3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906740" w:rsidRPr="00F45ED6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6C3862" w:rsidRPr="00F45ED6">
              <w:rPr>
                <w:rFonts w:ascii="Times New Roman" w:hAnsi="Times New Roman" w:cs="Times New Roman"/>
                <w:sz w:val="20"/>
                <w:szCs w:val="20"/>
              </w:rPr>
              <w:t>ilirubin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6C3862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całkowit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 w surowicy krwi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105E925" w14:textId="0F1FD887" w:rsidR="00AC0A47" w:rsidRPr="00F45ED6" w:rsidRDefault="001E7C9A" w:rsidP="00A72CE9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AC0A47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adanie </w:t>
            </w:r>
            <w:r w:rsidR="00F71E5E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obecności klonów </w:t>
            </w:r>
            <w:r w:rsidR="00AC0A47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PNH</w:t>
            </w:r>
            <w:r w:rsidR="00F71E5E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 </w:t>
            </w:r>
            <w:proofErr w:type="spellStart"/>
            <w:r w:rsidR="00F71E5E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cytometrze</w:t>
            </w:r>
            <w:proofErr w:type="spellEnd"/>
            <w:r w:rsidR="00F71E5E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przepływowym:</w:t>
            </w:r>
          </w:p>
          <w:p w14:paraId="6ACE0FAC" w14:textId="6105EA0B" w:rsidR="00F71E5E" w:rsidRPr="00F45ED6" w:rsidRDefault="00F71E5E" w:rsidP="00A72CE9">
            <w:pPr>
              <w:pStyle w:val="Akapitzlist"/>
              <w:numPr>
                <w:ilvl w:val="0"/>
                <w:numId w:val="37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6 miesięcy po rozpoczęciu leczenia i następne </w:t>
            </w:r>
            <w:r w:rsidR="00E40EA2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co </w:t>
            </w: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6103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211ACB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przez okres 2 lat od rozpoznania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E3C3483" w14:textId="19902EA0" w:rsidR="00211ACB" w:rsidRPr="00F45ED6" w:rsidRDefault="0050236E" w:rsidP="00A72CE9">
            <w:pPr>
              <w:pStyle w:val="Akapitzlist"/>
              <w:numPr>
                <w:ilvl w:val="0"/>
                <w:numId w:val="37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następnie </w:t>
            </w:r>
            <w:r w:rsidR="00211ACB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co 12 </w:t>
            </w:r>
            <w:r w:rsidR="00E40EA2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miesięcy </w:t>
            </w:r>
            <w:r w:rsidR="00211ACB" w:rsidRPr="00F45ED6">
              <w:rPr>
                <w:rFonts w:ascii="Times New Roman" w:hAnsi="Times New Roman" w:cs="Times New Roman"/>
                <w:sz w:val="20"/>
                <w:szCs w:val="20"/>
              </w:rPr>
              <w:t>w przypadku stabilizacji choroby i</w:t>
            </w:r>
            <w:r w:rsidR="006103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11ACB" w:rsidRPr="00F45ED6">
              <w:rPr>
                <w:rFonts w:ascii="Times New Roman" w:hAnsi="Times New Roman" w:cs="Times New Roman"/>
                <w:sz w:val="20"/>
                <w:szCs w:val="20"/>
              </w:rPr>
              <w:t>wielkości klonu</w:t>
            </w:r>
            <w:r w:rsidR="00E40EA2" w:rsidRPr="00F45E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6B78FAE" w14:textId="3DB39918" w:rsidR="00EF71D4" w:rsidRDefault="00EF71D4" w:rsidP="001E7C9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celu wykrycia ciężkiej hemolizy i innych reakcji, każdego pacjenta odstawiającego </w:t>
            </w:r>
            <w:proofErr w:type="spellStart"/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ekulizumab</w:t>
            </w:r>
            <w:proofErr w:type="spellEnd"/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należy obserwować przez co najmniej 8</w:t>
            </w:r>
            <w:r w:rsidR="006103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tygodni.</w:t>
            </w:r>
          </w:p>
          <w:p w14:paraId="6AA9FA55" w14:textId="15F2A483" w:rsidR="009E5589" w:rsidRPr="009E5589" w:rsidRDefault="00C71295" w:rsidP="001E7C9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9E5589" w:rsidRPr="009E55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dokonać oceny skuteczności zastosowanej terapii po </w:t>
            </w:r>
            <w:r w:rsidR="0035164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9E5589" w:rsidRPr="009E55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miesiącach wg wskaźników zgodnych z pkt 1)  kryteriów wyłączenia</w:t>
            </w:r>
            <w:r w:rsidR="00450F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="00450FF9" w:rsidRPr="00450F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 następnie po każdych kolejnych 6 miesiącach.</w:t>
            </w:r>
          </w:p>
          <w:p w14:paraId="15F58B7D" w14:textId="77777777" w:rsidR="009E5589" w:rsidRPr="009E5589" w:rsidRDefault="009E5589" w:rsidP="001E7C9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5ABB8A9C" w14:textId="77777777" w:rsidR="009E5589" w:rsidRPr="009E5589" w:rsidRDefault="009E5589" w:rsidP="001E7C9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103A2A8F" w14:textId="67C16547" w:rsidR="009E5589" w:rsidRDefault="009E5589" w:rsidP="001E7C9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E55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Zespół Koordynacyjny w celu monitorowania adekwatnej odpowiedzi na leczenie, na podstawie danych gromadzonych w elektronicznym systemie monitorowania programów lekowych podsumowuje wyniki leczenia w programie lekowym na koniec każdego roku.</w:t>
            </w:r>
          </w:p>
          <w:p w14:paraId="0AEC706C" w14:textId="77777777" w:rsidR="006E1D5D" w:rsidRPr="00F45ED6" w:rsidRDefault="006E1D5D" w:rsidP="001E7C9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5A77E0C6" w14:textId="742DB23F" w:rsidR="0006667C" w:rsidRPr="000F34A8" w:rsidRDefault="000F34A8" w:rsidP="00A72CE9">
            <w:pPr>
              <w:pStyle w:val="Akapitzlist"/>
              <w:numPr>
                <w:ilvl w:val="0"/>
                <w:numId w:val="25"/>
              </w:numPr>
              <w:spacing w:before="120" w:after="12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F34A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r</w:t>
            </w:r>
            <w:r w:rsidRPr="00514AA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a</w:t>
            </w:r>
            <w:r w:rsidR="0050236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Pr="00514AA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ulizumab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em</w:t>
            </w:r>
            <w:proofErr w:type="spellEnd"/>
          </w:p>
          <w:p w14:paraId="43F6FD99" w14:textId="3DDEE0FC" w:rsidR="0006667C" w:rsidRPr="000F34A8" w:rsidRDefault="0006667C" w:rsidP="00A72CE9">
            <w:pPr>
              <w:pStyle w:val="Akapitzlist"/>
              <w:numPr>
                <w:ilvl w:val="1"/>
                <w:numId w:val="25"/>
              </w:numPr>
              <w:spacing w:after="60" w:line="276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b/>
                <w:sz w:val="20"/>
                <w:szCs w:val="20"/>
              </w:rPr>
              <w:t>Badania przy kwalifikacji:</w:t>
            </w:r>
          </w:p>
          <w:p w14:paraId="756B9F1C" w14:textId="047BA540" w:rsidR="0006667C" w:rsidRPr="002E0408" w:rsidRDefault="0006667C" w:rsidP="00A72CE9">
            <w:pPr>
              <w:pStyle w:val="Akapitzlist"/>
              <w:numPr>
                <w:ilvl w:val="2"/>
                <w:numId w:val="25"/>
              </w:numPr>
              <w:spacing w:after="60" w:line="276" w:lineRule="auto"/>
              <w:ind w:left="284" w:hanging="284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04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chorych, którzy niestosowali </w:t>
            </w:r>
            <w:proofErr w:type="spellStart"/>
            <w:r w:rsidRPr="002E0408">
              <w:rPr>
                <w:rFonts w:ascii="Times New Roman" w:hAnsi="Times New Roman" w:cs="Times New Roman"/>
                <w:b/>
                <w:sz w:val="20"/>
                <w:szCs w:val="20"/>
              </w:rPr>
              <w:t>ekulizumabu</w:t>
            </w:r>
            <w:proofErr w:type="spellEnd"/>
            <w:r w:rsidRPr="002E04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5B18DE7B" w14:textId="77777777" w:rsidR="000F34A8" w:rsidRDefault="0006667C" w:rsidP="00A72CE9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adanie granulocytów oraz erytrocytów w </w:t>
            </w:r>
            <w:proofErr w:type="spellStart"/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cytometrze</w:t>
            </w:r>
            <w:proofErr w:type="spellEnd"/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przepływowym pod kątem obecności klonu PNH;</w:t>
            </w:r>
          </w:p>
          <w:p w14:paraId="4406A48E" w14:textId="181C09A2" w:rsidR="000F34A8" w:rsidRDefault="0050236E" w:rsidP="00A72CE9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test ciążowy 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 kobiet w wieku rozrodczym;</w:t>
            </w:r>
          </w:p>
          <w:p w14:paraId="3D0CA126" w14:textId="77777777" w:rsidR="000F34A8" w:rsidRDefault="0006667C" w:rsidP="00A72CE9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aktywność dehydrogenazy mleczanowej (LDH); </w:t>
            </w:r>
          </w:p>
          <w:p w14:paraId="6199CF93" w14:textId="77777777" w:rsidR="000F34A8" w:rsidRDefault="0006667C" w:rsidP="00A72CE9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morfologia krwi obwodowej z rozmazem;</w:t>
            </w:r>
          </w:p>
          <w:p w14:paraId="6941B2B7" w14:textId="77777777" w:rsidR="000F34A8" w:rsidRDefault="0006667C" w:rsidP="00A72CE9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czas częściowej tromboplastyny po aktywacji (APTT);</w:t>
            </w:r>
          </w:p>
          <w:p w14:paraId="518284EE" w14:textId="77777777" w:rsidR="000F34A8" w:rsidRDefault="0006667C" w:rsidP="00A72CE9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czas </w:t>
            </w:r>
            <w:proofErr w:type="spellStart"/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protrombinowy</w:t>
            </w:r>
            <w:proofErr w:type="spellEnd"/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(PT);</w:t>
            </w:r>
          </w:p>
          <w:p w14:paraId="5BC2D16A" w14:textId="77777777" w:rsidR="000F34A8" w:rsidRDefault="0006667C" w:rsidP="00A72CE9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fibrynogen;</w:t>
            </w:r>
          </w:p>
          <w:p w14:paraId="4AE58DB7" w14:textId="77777777" w:rsidR="000F34A8" w:rsidRDefault="0006667C" w:rsidP="00A72CE9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odczyn </w:t>
            </w:r>
            <w:proofErr w:type="spellStart"/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Coombsa</w:t>
            </w:r>
            <w:proofErr w:type="spellEnd"/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4DD9D47" w14:textId="77777777" w:rsidR="000F34A8" w:rsidRDefault="0006667C" w:rsidP="00A72CE9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oznaczenie grupy krwi;</w:t>
            </w:r>
          </w:p>
          <w:p w14:paraId="032F9515" w14:textId="7C3DB425" w:rsidR="000F34A8" w:rsidRDefault="0006667C" w:rsidP="00A72CE9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stężenie kreatyniny w surowicy</w:t>
            </w:r>
            <w:r w:rsidR="0063721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krwi</w:t>
            </w: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86ABC7B" w14:textId="328A030C" w:rsidR="000F34A8" w:rsidRDefault="0006667C" w:rsidP="00A72CE9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stężenie mocznika w surowicy</w:t>
            </w:r>
            <w:r w:rsidR="0063721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krwi</w:t>
            </w:r>
            <w:r w:rsid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F237CC0" w14:textId="64636820" w:rsidR="000F34A8" w:rsidRDefault="0063721C" w:rsidP="00A72CE9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aktywność 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asparaginow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="0006667C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AspAT</w:t>
            </w:r>
            <w:proofErr w:type="spellEnd"/>
            <w:r w:rsidR="0006667C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);</w:t>
            </w:r>
          </w:p>
          <w:p w14:paraId="72221C65" w14:textId="61244E80" w:rsidR="000F34A8" w:rsidRDefault="0063721C" w:rsidP="00A72CE9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aktywność 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alaninow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="0006667C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AlAT</w:t>
            </w:r>
            <w:proofErr w:type="spellEnd"/>
            <w:r w:rsidR="0006667C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);</w:t>
            </w:r>
          </w:p>
          <w:p w14:paraId="254118CE" w14:textId="6A17ECCE" w:rsidR="000F34A8" w:rsidRDefault="0063721C" w:rsidP="00A72CE9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stężenie 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bilirubin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całkowit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 bezpośredni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 w surowicy krwi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268D549" w14:textId="649A1248" w:rsidR="000F34A8" w:rsidRDefault="0006667C" w:rsidP="00A72CE9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stężenie </w:t>
            </w:r>
            <w:proofErr w:type="spellStart"/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haptoglobiny</w:t>
            </w:r>
            <w:proofErr w:type="spellEnd"/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Hp</w:t>
            </w:r>
            <w:proofErr w:type="spellEnd"/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79193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 surowicy krwi</w:t>
            </w: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E0CDE18" w14:textId="32E48682" w:rsidR="000F34A8" w:rsidRDefault="0006667C" w:rsidP="00A72CE9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stężenie </w:t>
            </w:r>
            <w:r w:rsidR="0063721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sodu w surowicy krwi</w:t>
            </w: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2AADC88" w14:textId="2F4E652C" w:rsidR="000F34A8" w:rsidRDefault="0006667C" w:rsidP="00A72CE9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stężenie </w:t>
            </w:r>
            <w:r w:rsidR="004F5F8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potasu</w:t>
            </w:r>
            <w:r w:rsidR="0063721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surowicy krwi</w:t>
            </w: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ED592A0" w14:textId="77777777" w:rsidR="000F34A8" w:rsidRDefault="0006667C" w:rsidP="00A72CE9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badanie ogólne moczu;</w:t>
            </w:r>
          </w:p>
          <w:p w14:paraId="2F4D82B9" w14:textId="77777777" w:rsidR="000F34A8" w:rsidRDefault="0006667C" w:rsidP="00A72CE9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badanie wolnej hemoglobiny w moczu;</w:t>
            </w:r>
          </w:p>
          <w:p w14:paraId="59116D9A" w14:textId="4CBDFADB" w:rsidR="0006667C" w:rsidRDefault="0006667C" w:rsidP="00A72CE9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badania obrazowe naczyń w przypadku podejrzenia zakrzepicy żylnej lub tętniczej lub incydentów zatorowych w zależności od umiejscowienia: </w:t>
            </w:r>
            <w:proofErr w:type="spellStart"/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ultrasonogram</w:t>
            </w:r>
            <w:proofErr w:type="spellEnd"/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(USG) lub tomografia komputerowa (TK) lub magnetyczny rezonans jądrowy (MRI).</w:t>
            </w:r>
          </w:p>
          <w:p w14:paraId="7CA4D52C" w14:textId="77777777" w:rsidR="002E0408" w:rsidRPr="002E0408" w:rsidRDefault="002E0408" w:rsidP="001E7C9A">
            <w:pPr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A687D6" w14:textId="6142254E" w:rsidR="0006667C" w:rsidRPr="000F34A8" w:rsidRDefault="0006667C" w:rsidP="00A72CE9">
            <w:pPr>
              <w:pStyle w:val="Akapitzlist"/>
              <w:numPr>
                <w:ilvl w:val="2"/>
                <w:numId w:val="25"/>
              </w:numPr>
              <w:spacing w:after="60" w:line="276" w:lineRule="auto"/>
              <w:ind w:left="284" w:hanging="284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Badania przy kwalifikacji chorych, którzy stosowali </w:t>
            </w:r>
            <w:proofErr w:type="spellStart"/>
            <w:r w:rsidRPr="000F34A8">
              <w:rPr>
                <w:rFonts w:ascii="Times New Roman" w:hAnsi="Times New Roman" w:cs="Times New Roman"/>
                <w:b/>
                <w:sz w:val="20"/>
                <w:szCs w:val="20"/>
              </w:rPr>
              <w:t>ekulizumab</w:t>
            </w:r>
            <w:proofErr w:type="spellEnd"/>
            <w:r w:rsidRPr="000F34A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14:paraId="6BB5DCE1" w14:textId="77777777" w:rsidR="0006667C" w:rsidRPr="004B3C7F" w:rsidRDefault="0006667C" w:rsidP="00A72CE9">
            <w:pPr>
              <w:pStyle w:val="Akapitzlist"/>
              <w:numPr>
                <w:ilvl w:val="0"/>
                <w:numId w:val="12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3C7F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adanie granulocytów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raz erytrocytów w </w:t>
            </w:r>
            <w:proofErr w:type="spellStart"/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cytometrze</w:t>
            </w:r>
            <w:proofErr w:type="spellEnd"/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przepływowym pod katem obecności klonu PNH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AE79029" w14:textId="06AA5150" w:rsidR="0006667C" w:rsidRPr="004B3C7F" w:rsidRDefault="0050236E" w:rsidP="00A72CE9">
            <w:pPr>
              <w:pStyle w:val="Akapitzlist"/>
              <w:numPr>
                <w:ilvl w:val="0"/>
                <w:numId w:val="12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test ciążowy </w:t>
            </w:r>
            <w:r w:rsidR="0006667C" w:rsidRPr="004B3C7F">
              <w:rPr>
                <w:rFonts w:ascii="Times New Roman" w:hAnsi="Times New Roman" w:cs="Times New Roman"/>
                <w:sz w:val="20"/>
                <w:szCs w:val="20"/>
              </w:rPr>
              <w:t>u kobiet w wieku rozrodczym</w:t>
            </w:r>
            <w:r w:rsidR="0006667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53278BF" w14:textId="77777777" w:rsidR="002103A9" w:rsidRDefault="0006667C" w:rsidP="00A72CE9">
            <w:pPr>
              <w:pStyle w:val="Akapitzlist"/>
              <w:numPr>
                <w:ilvl w:val="0"/>
                <w:numId w:val="12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3C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aktywność dehydrogenazy mleczanowej</w:t>
            </w:r>
            <w:r w:rsidR="0050236E">
              <w:rPr>
                <w:rFonts w:ascii="Times New Roman" w:hAnsi="Times New Roman" w:cs="Times New Roman"/>
                <w:sz w:val="20"/>
                <w:szCs w:val="20"/>
              </w:rPr>
              <w:t xml:space="preserve"> (LDH)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9DB8589" w14:textId="77777777" w:rsidR="002E0408" w:rsidRPr="002E0408" w:rsidRDefault="002E0408" w:rsidP="001E7C9A">
            <w:pPr>
              <w:spacing w:after="60"/>
              <w:ind w:left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FE6BAA" w14:textId="6CE7F93C" w:rsidR="0006667C" w:rsidRPr="002E0408" w:rsidRDefault="0006667C" w:rsidP="00A72CE9">
            <w:pPr>
              <w:pStyle w:val="Akapitzlist"/>
              <w:numPr>
                <w:ilvl w:val="2"/>
                <w:numId w:val="25"/>
              </w:numPr>
              <w:spacing w:after="60" w:line="276" w:lineRule="auto"/>
              <w:ind w:left="284" w:hanging="284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3A9">
              <w:rPr>
                <w:rFonts w:ascii="Times New Roman" w:hAnsi="Times New Roman" w:cs="Times New Roman"/>
                <w:b/>
                <w:sz w:val="20"/>
                <w:szCs w:val="20"/>
              </w:rPr>
              <w:t>Monitorowanie leczenia</w:t>
            </w:r>
          </w:p>
          <w:p w14:paraId="2675543E" w14:textId="6D2C1EF2" w:rsidR="0006667C" w:rsidRPr="000F34A8" w:rsidRDefault="00A72CE9" w:rsidP="00A72CE9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</w:rPr>
              <w:t>o dwa tygodnie przez pierwsze 10 tygodni:</w:t>
            </w:r>
          </w:p>
          <w:p w14:paraId="7E2D8F2F" w14:textId="0F112B97" w:rsidR="0006667C" w:rsidRPr="004B3C7F" w:rsidRDefault="0006667C" w:rsidP="00A72CE9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3C7F">
              <w:rPr>
                <w:rFonts w:ascii="Times New Roman" w:hAnsi="Times New Roman" w:cs="Times New Roman"/>
                <w:sz w:val="20"/>
                <w:szCs w:val="20"/>
              </w:rPr>
              <w:t xml:space="preserve">aktywność </w:t>
            </w:r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dehydrogenazy mleczanowej (</w:t>
            </w:r>
            <w:r w:rsidRPr="004B3C7F">
              <w:rPr>
                <w:rFonts w:ascii="Times New Roman" w:hAnsi="Times New Roman" w:cs="Times New Roman"/>
                <w:sz w:val="20"/>
                <w:szCs w:val="20"/>
              </w:rPr>
              <w:t>LDH)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4DAF4E9" w14:textId="4C250F9A" w:rsidR="0006667C" w:rsidRPr="004B3C7F" w:rsidRDefault="0006667C" w:rsidP="00A72CE9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3C7F">
              <w:rPr>
                <w:rFonts w:ascii="Times New Roman" w:hAnsi="Times New Roman" w:cs="Times New Roman"/>
                <w:sz w:val="20"/>
                <w:szCs w:val="20"/>
              </w:rPr>
              <w:t>morfologia krwi obwodowej z rozmazem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EF26BC8" w14:textId="2599DD11" w:rsidR="0006667C" w:rsidRPr="004B3C7F" w:rsidRDefault="00DD04FC" w:rsidP="00A72CE9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06667C" w:rsidRPr="004B3C7F">
              <w:rPr>
                <w:rFonts w:ascii="Times New Roman" w:hAnsi="Times New Roman" w:cs="Times New Roman"/>
                <w:sz w:val="20"/>
                <w:szCs w:val="20"/>
              </w:rPr>
              <w:t>kreatynin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 w surowicy krwi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51DA907" w14:textId="395C62A7" w:rsidR="0006667C" w:rsidRPr="004B3C7F" w:rsidRDefault="00DD04FC" w:rsidP="00A72CE9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06667C" w:rsidRPr="004B3C7F">
              <w:rPr>
                <w:rFonts w:ascii="Times New Roman" w:hAnsi="Times New Roman" w:cs="Times New Roman"/>
                <w:sz w:val="20"/>
                <w:szCs w:val="20"/>
              </w:rPr>
              <w:t>mocznik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w surowicy krwi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DEA556D" w14:textId="7192CF94" w:rsidR="0006667C" w:rsidRPr="004B3C7F" w:rsidRDefault="0079193D" w:rsidP="00A72CE9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aktywność </w:t>
            </w:r>
            <w:r w:rsidR="0006667C"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06667C"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06667C"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asparaginow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wej</w:t>
            </w:r>
            <w:proofErr w:type="spellEnd"/>
            <w:r w:rsidR="0006667C"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="0006667C" w:rsidRPr="004B3C7F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="0006667C" w:rsidRPr="004B3C7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1DBEEF2" w14:textId="2EDBC5FC" w:rsidR="0006667C" w:rsidRPr="004B3C7F" w:rsidRDefault="0079193D" w:rsidP="00A72CE9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aktywność </w:t>
            </w:r>
            <w:r w:rsidR="0006667C"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06667C"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alaninow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</w:t>
            </w:r>
            <w:r w:rsidR="0006667C" w:rsidRPr="004B3C7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06667C" w:rsidRPr="004B3C7F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06667C" w:rsidRPr="004B3C7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D6A842B" w14:textId="05D6CB05" w:rsidR="0006667C" w:rsidRPr="00BA659F" w:rsidRDefault="0079193D" w:rsidP="00A72CE9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06667C" w:rsidRPr="004B3C7F">
              <w:rPr>
                <w:rFonts w:ascii="Times New Roman" w:hAnsi="Times New Roman" w:cs="Times New Roman"/>
                <w:sz w:val="20"/>
                <w:szCs w:val="20"/>
              </w:rPr>
              <w:t>bilirubin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06667C" w:rsidRPr="004B3C7F">
              <w:rPr>
                <w:rFonts w:ascii="Times New Roman" w:hAnsi="Times New Roman" w:cs="Times New Roman"/>
                <w:sz w:val="20"/>
                <w:szCs w:val="20"/>
              </w:rPr>
              <w:t xml:space="preserve"> całkowit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 w surowicy krwi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A5D3FAF" w14:textId="3FDEFA3A" w:rsidR="0006667C" w:rsidRPr="000F34A8" w:rsidRDefault="00A72CE9" w:rsidP="00A72CE9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</w:rPr>
              <w:t>o 10 tygodniu, raz na dwa miesiące lub częściej</w:t>
            </w:r>
            <w:r w:rsidR="006103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6103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</w:rPr>
              <w:t>uzasadnionych sytuacjach klinicznych:</w:t>
            </w:r>
          </w:p>
          <w:p w14:paraId="16610327" w14:textId="0CF8CB42" w:rsidR="0006667C" w:rsidRPr="004B3C7F" w:rsidRDefault="0006667C" w:rsidP="00A72CE9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3C7F">
              <w:rPr>
                <w:rFonts w:ascii="Times New Roman" w:hAnsi="Times New Roman" w:cs="Times New Roman"/>
                <w:sz w:val="20"/>
                <w:szCs w:val="20"/>
              </w:rPr>
              <w:t xml:space="preserve">aktywność </w:t>
            </w:r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dehydrogenazy mleczanowej (</w:t>
            </w:r>
            <w:r w:rsidRPr="004B3C7F">
              <w:rPr>
                <w:rFonts w:ascii="Times New Roman" w:hAnsi="Times New Roman" w:cs="Times New Roman"/>
                <w:sz w:val="20"/>
                <w:szCs w:val="20"/>
              </w:rPr>
              <w:t>LDH)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3BA9984" w14:textId="21C0A18C" w:rsidR="0006667C" w:rsidRPr="00E76F51" w:rsidRDefault="0006667C" w:rsidP="00A72CE9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3C7F">
              <w:rPr>
                <w:rFonts w:ascii="Times New Roman" w:hAnsi="Times New Roman" w:cs="Times New Roman"/>
                <w:sz w:val="20"/>
                <w:szCs w:val="20"/>
              </w:rPr>
              <w:t>morfologia krwi obwodowej z rozmazem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8A01E24" w14:textId="65199A4D" w:rsidR="0006667C" w:rsidRPr="004B3C7F" w:rsidRDefault="00A72CE9" w:rsidP="00A72CE9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06667C" w:rsidRPr="004B3C7F">
              <w:rPr>
                <w:rFonts w:ascii="Times New Roman" w:hAnsi="Times New Roman" w:cs="Times New Roman"/>
                <w:sz w:val="20"/>
                <w:szCs w:val="20"/>
              </w:rPr>
              <w:t>o 10 tygodniu, raz na sześć miesięcy, a w uzasadnionych przypadkach raz na dwa miesi</w:t>
            </w:r>
            <w:r w:rsidR="0006667C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06667C" w:rsidRPr="004B3C7F">
              <w:rPr>
                <w:rFonts w:ascii="Times New Roman" w:hAnsi="Times New Roman" w:cs="Times New Roman"/>
                <w:sz w:val="20"/>
                <w:szCs w:val="20"/>
              </w:rPr>
              <w:t xml:space="preserve">ce:  </w:t>
            </w:r>
          </w:p>
          <w:p w14:paraId="41B125F7" w14:textId="50364685" w:rsidR="0006667C" w:rsidRPr="00F50CB0" w:rsidRDefault="0079193D" w:rsidP="00A72CE9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06667C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06667C" w:rsidRPr="00F50CB0">
              <w:rPr>
                <w:rFonts w:ascii="Times New Roman" w:hAnsi="Times New Roman" w:cs="Times New Roman"/>
                <w:sz w:val="20"/>
                <w:szCs w:val="20"/>
              </w:rPr>
              <w:t>reatynin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 w surowicy krwi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40A5B3C" w14:textId="1B9A1B53" w:rsidR="0006667C" w:rsidRDefault="0079193D" w:rsidP="00A72CE9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06667C">
              <w:rPr>
                <w:rFonts w:ascii="Times New Roman" w:hAnsi="Times New Roman" w:cs="Times New Roman"/>
                <w:sz w:val="20"/>
                <w:szCs w:val="20"/>
              </w:rPr>
              <w:t>mocznik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w surowicy krwi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C5AD2DA" w14:textId="472747FC" w:rsidR="0006667C" w:rsidRPr="004B3C7F" w:rsidRDefault="0079193D" w:rsidP="00A72CE9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aktywność </w:t>
            </w:r>
            <w:r w:rsidR="0006667C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06667C">
              <w:rPr>
                <w:rFonts w:ascii="Times New Roman" w:hAnsi="Times New Roman" w:cs="Times New Roman"/>
                <w:sz w:val="20"/>
                <w:szCs w:val="20"/>
              </w:rPr>
              <w:t xml:space="preserve"> asparaginow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06667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06667C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="0006667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357EF08" w14:textId="5AC4E100" w:rsidR="0006667C" w:rsidRPr="00F50CB0" w:rsidRDefault="0079193D" w:rsidP="00A72CE9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aktywność </w:t>
            </w:r>
            <w:r w:rsidR="0006667C" w:rsidRPr="00F50CB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06667C" w:rsidRPr="00F50CB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alaninow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</w:t>
            </w:r>
            <w:r w:rsidR="0006667C" w:rsidRPr="00F50CB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="0006667C" w:rsidRPr="00F50CB0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06667C" w:rsidRPr="00F50CB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DC95F40" w14:textId="5401D050" w:rsidR="0006667C" w:rsidRPr="00E76F51" w:rsidRDefault="0079193D" w:rsidP="00A72CE9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stężenie </w:t>
            </w:r>
            <w:r w:rsidR="0006667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bilirubin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06667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całkowit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 w surowicy krwi</w:t>
            </w:r>
            <w:r w:rsidR="00A72CE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158155C" w14:textId="306A9C6D" w:rsidR="0006667C" w:rsidRPr="00F50CB0" w:rsidRDefault="00A72CE9" w:rsidP="00A72CE9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06667C" w:rsidRPr="00F50CB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adanie obecności klonów PNH w </w:t>
            </w:r>
            <w:proofErr w:type="spellStart"/>
            <w:r w:rsidR="0006667C" w:rsidRPr="00F50CB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cytometrze</w:t>
            </w:r>
            <w:proofErr w:type="spellEnd"/>
            <w:r w:rsidR="0006667C" w:rsidRPr="00F50CB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przepływowym:</w:t>
            </w:r>
          </w:p>
          <w:p w14:paraId="1B382EAF" w14:textId="1F68786B" w:rsidR="0006667C" w:rsidRDefault="0006667C" w:rsidP="00A72CE9">
            <w:pPr>
              <w:pStyle w:val="Akapitzlist"/>
              <w:numPr>
                <w:ilvl w:val="0"/>
                <w:numId w:val="17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miesięcy po rozpoczęciu leczenia i następne co 6</w:t>
            </w:r>
            <w:r w:rsidR="006103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miesięcy przez okres 2 lat od rozpoznania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563B542" w14:textId="481FD453" w:rsidR="0006667C" w:rsidRDefault="0050236E" w:rsidP="00A72CE9">
            <w:pPr>
              <w:pStyle w:val="Akapitzlist"/>
              <w:numPr>
                <w:ilvl w:val="0"/>
                <w:numId w:val="17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następnie </w:t>
            </w:r>
            <w:r w:rsidR="0006667C">
              <w:rPr>
                <w:rFonts w:ascii="Times New Roman" w:hAnsi="Times New Roman" w:cs="Times New Roman"/>
                <w:sz w:val="20"/>
                <w:szCs w:val="20"/>
              </w:rPr>
              <w:t>co 12 miesięcy w przypadku stabilizacji choroby i wielkości klonu.</w:t>
            </w:r>
          </w:p>
          <w:p w14:paraId="6D2D7BF7" w14:textId="77777777" w:rsidR="0006667C" w:rsidRPr="004B3C7F" w:rsidRDefault="0006667C" w:rsidP="001E7C9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Ze względu na ryzyko wystąpienia zakażenia </w:t>
            </w:r>
            <w:proofErr w:type="spellStart"/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meningokokowego</w:t>
            </w:r>
            <w:proofErr w:type="spellEnd"/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/posocznicy </w:t>
            </w:r>
            <w:proofErr w:type="spellStart"/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meningokokowej</w:t>
            </w:r>
            <w:proofErr w:type="spellEnd"/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(pomimo szczepień ochronnych) każdy chory przyjmujący </w:t>
            </w:r>
            <w:proofErr w:type="spellStart"/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rawulizumab</w:t>
            </w:r>
            <w:proofErr w:type="spellEnd"/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powinien być monitorowany pod kątem wczesnego wykrycia objawów infekcji </w:t>
            </w:r>
            <w:proofErr w:type="spellStart"/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meningokokowej</w:t>
            </w:r>
            <w:proofErr w:type="spellEnd"/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4F9AE84" w14:textId="46A1A6EC" w:rsidR="0006667C" w:rsidRDefault="0006667C" w:rsidP="001E7C9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celu wykrycia ciężkiej hemolizy i innych reakcji, każdego pacjenta odstawiającego </w:t>
            </w:r>
            <w:proofErr w:type="spellStart"/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rawulizumab</w:t>
            </w:r>
            <w:proofErr w:type="spellEnd"/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należy obserwować przez co najmniej 16</w:t>
            </w:r>
            <w:r w:rsidR="006103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tygodni.</w:t>
            </w:r>
          </w:p>
          <w:p w14:paraId="79496883" w14:textId="31D0B0A4" w:rsidR="009E5589" w:rsidRPr="009E5589" w:rsidRDefault="00C71295" w:rsidP="001E7C9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Należy </w:t>
            </w:r>
            <w:r w:rsidR="009E5589" w:rsidRPr="009E55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dokonać oceny skuteczności zastosowanej terapii po </w:t>
            </w:r>
            <w:r w:rsidR="0035164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9E5589" w:rsidRPr="009E55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miesiącach wg wskaźników zgodnych z pkt 1)  kryteriów wyłączenia</w:t>
            </w:r>
            <w:r w:rsidR="00450F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="00450FF9" w:rsidRPr="00450F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 następnie po każdych kolejnych 6 miesiącach.</w:t>
            </w:r>
          </w:p>
          <w:p w14:paraId="103B600E" w14:textId="77777777" w:rsidR="009E5589" w:rsidRPr="009E5589" w:rsidRDefault="009E5589" w:rsidP="001E7C9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574B9658" w14:textId="77777777" w:rsidR="009E5589" w:rsidRPr="009E5589" w:rsidRDefault="009E5589" w:rsidP="001E7C9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08DE4BF1" w14:textId="09D3941A" w:rsidR="009E5589" w:rsidRDefault="009E5589" w:rsidP="001E7C9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E55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Zespół Koordynacyjny w celu monitorowania adekwatnej odpowiedzi na leczenie, na podstawie danych gromadzonych w elektronicznym systemie monitorowania programów lekowych podsumowuje wyniki leczenia w programie lekowym na koniec każdego roku.</w:t>
            </w:r>
          </w:p>
          <w:p w14:paraId="005AFF38" w14:textId="77777777" w:rsidR="002E0408" w:rsidRDefault="002E0408" w:rsidP="001E7C9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3E8DCF44" w14:textId="64A306A8" w:rsidR="002103A9" w:rsidRDefault="002103A9" w:rsidP="00A72CE9">
            <w:pPr>
              <w:pStyle w:val="Akapitzlist"/>
              <w:numPr>
                <w:ilvl w:val="0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Leczenie </w:t>
            </w:r>
            <w:proofErr w:type="spellStart"/>
            <w:r w:rsidRPr="002103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pegcetakoplanem</w:t>
            </w:r>
            <w:proofErr w:type="spellEnd"/>
          </w:p>
          <w:p w14:paraId="40B3AB68" w14:textId="470BDBC2" w:rsidR="002103A9" w:rsidRPr="002103A9" w:rsidRDefault="002103A9" w:rsidP="00A72CE9">
            <w:pPr>
              <w:pStyle w:val="Akapitzlist"/>
              <w:numPr>
                <w:ilvl w:val="1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3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 przy kwalifikacji</w:t>
            </w:r>
          </w:p>
          <w:p w14:paraId="47C38B06" w14:textId="328CA856" w:rsidR="002103A9" w:rsidRPr="00850790" w:rsidRDefault="002103A9" w:rsidP="00A72CE9">
            <w:pPr>
              <w:pStyle w:val="Akapitzlist"/>
              <w:numPr>
                <w:ilvl w:val="0"/>
                <w:numId w:val="3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morfologia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krwi obwodowej z rozmazem i </w:t>
            </w:r>
            <w:r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 liczbą </w:t>
            </w:r>
            <w:proofErr w:type="spellStart"/>
            <w:r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retikulocytów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3B941A4" w14:textId="38715E04" w:rsidR="002103A9" w:rsidRPr="00850790" w:rsidRDefault="002103A9" w:rsidP="00A72CE9">
            <w:pPr>
              <w:pStyle w:val="Akapitzlist"/>
              <w:numPr>
                <w:ilvl w:val="0"/>
                <w:numId w:val="3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trepanobiopsja</w:t>
            </w:r>
            <w:proofErr w:type="spellEnd"/>
            <w:r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(jeśli nie wykonywano w okresie ostatnich 6 miesięcy)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5180FF6" w14:textId="4F06D00F" w:rsidR="002103A9" w:rsidRPr="00850790" w:rsidRDefault="002103A9" w:rsidP="00A72CE9">
            <w:pPr>
              <w:pStyle w:val="Akapitzlist"/>
              <w:numPr>
                <w:ilvl w:val="0"/>
                <w:numId w:val="3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bezpośredni test </w:t>
            </w:r>
            <w:proofErr w:type="spellStart"/>
            <w:r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antyglobulinowy</w:t>
            </w:r>
            <w:proofErr w:type="spellEnd"/>
            <w:r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(BTA) (odczyn </w:t>
            </w:r>
            <w:proofErr w:type="spellStart"/>
            <w:r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Coombsa</w:t>
            </w:r>
            <w:proofErr w:type="spellEnd"/>
            <w:r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72932F9" w14:textId="252B75ED" w:rsidR="002103A9" w:rsidRPr="00850790" w:rsidRDefault="002103A9" w:rsidP="00A72CE9">
            <w:pPr>
              <w:pStyle w:val="Akapitzlist"/>
              <w:numPr>
                <w:ilvl w:val="0"/>
                <w:numId w:val="3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aktywność dehydrogenazy mleczanowej (LDH);</w:t>
            </w:r>
          </w:p>
          <w:p w14:paraId="329555CC" w14:textId="6C1211CE" w:rsidR="002103A9" w:rsidRPr="00850790" w:rsidRDefault="00CB3FE8" w:rsidP="00A72CE9">
            <w:pPr>
              <w:pStyle w:val="Akapitzlist"/>
              <w:numPr>
                <w:ilvl w:val="0"/>
                <w:numId w:val="3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stężenie </w:t>
            </w:r>
            <w:r w:rsidR="002103A9"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bilirubin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2103A9"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całkowit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</w:t>
            </w:r>
            <w:r w:rsidR="002103A9"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 bezpośredni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 w surowicy krwi</w:t>
            </w:r>
            <w:r w:rsidR="002103A9"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60936B2" w14:textId="6A34822C" w:rsidR="002103A9" w:rsidRPr="00850790" w:rsidRDefault="002103A9" w:rsidP="00A72CE9">
            <w:pPr>
              <w:pStyle w:val="Akapitzlist"/>
              <w:numPr>
                <w:ilvl w:val="0"/>
                <w:numId w:val="3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stężenie kreatyniny w surowicy</w:t>
            </w:r>
            <w:r w:rsidR="00CB3FE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krwi</w:t>
            </w:r>
            <w:r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A841E5C" w14:textId="27024CC6" w:rsidR="002103A9" w:rsidRPr="00850790" w:rsidRDefault="00CB3FE8" w:rsidP="00A72CE9">
            <w:pPr>
              <w:pStyle w:val="Akapitzlist"/>
              <w:numPr>
                <w:ilvl w:val="0"/>
                <w:numId w:val="3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aktywność </w:t>
            </w:r>
            <w:r w:rsidR="002103A9"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2103A9"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asparaginow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</w:t>
            </w:r>
            <w:r w:rsidR="002103A9"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="002103A9"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AspAT</w:t>
            </w:r>
            <w:proofErr w:type="spellEnd"/>
            <w:r w:rsidR="002103A9"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);</w:t>
            </w:r>
          </w:p>
          <w:p w14:paraId="5596C4D4" w14:textId="7CDAC778" w:rsidR="004F5F88" w:rsidRPr="002E0408" w:rsidRDefault="00CB3FE8" w:rsidP="00A72CE9">
            <w:pPr>
              <w:pStyle w:val="Akapitzlist"/>
              <w:numPr>
                <w:ilvl w:val="0"/>
                <w:numId w:val="3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aktywność </w:t>
            </w:r>
            <w:r w:rsidR="002103A9"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2103A9"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alaninow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</w:t>
            </w:r>
            <w:r w:rsidR="002103A9"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="002103A9"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AlAT</w:t>
            </w:r>
            <w:proofErr w:type="spellEnd"/>
            <w:r w:rsidR="002103A9"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);</w:t>
            </w:r>
          </w:p>
          <w:p w14:paraId="0C7FA8D5" w14:textId="10101FC2" w:rsidR="00CB3FE8" w:rsidRPr="004F5F88" w:rsidRDefault="00CB3FE8" w:rsidP="00A72CE9">
            <w:pPr>
              <w:pStyle w:val="Akapitzlist"/>
              <w:numPr>
                <w:ilvl w:val="0"/>
                <w:numId w:val="3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F5F8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test ciążowy u kobiet w wieku rozrodczym</w:t>
            </w:r>
            <w:r w:rsidR="00C12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4F1787DF" w14:textId="5DE5A899" w:rsidR="002103A9" w:rsidRDefault="002103A9" w:rsidP="001E7C9A">
            <w:pPr>
              <w:pStyle w:val="Akapitzlist"/>
              <w:spacing w:after="60" w:line="276" w:lineRule="auto"/>
              <w:ind w:left="714" w:hanging="35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1B28097F" w14:textId="29EA0529" w:rsidR="002103A9" w:rsidRPr="002E0408" w:rsidRDefault="002103A9" w:rsidP="00A72CE9">
            <w:pPr>
              <w:pStyle w:val="Akapitzlist"/>
              <w:numPr>
                <w:ilvl w:val="1"/>
                <w:numId w:val="25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04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 leczenia</w:t>
            </w:r>
          </w:p>
          <w:p w14:paraId="6A0106C1" w14:textId="1FEA98BB" w:rsidR="002103A9" w:rsidRPr="002E0408" w:rsidRDefault="00A72CE9" w:rsidP="00A72CE9">
            <w:pPr>
              <w:pStyle w:val="Akapitzlist"/>
              <w:numPr>
                <w:ilvl w:val="0"/>
                <w:numId w:val="3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</w:t>
            </w:r>
            <w:r w:rsidR="002103A9" w:rsidRPr="002E040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 tydzień przez pierwsze 5 tygodni:</w:t>
            </w:r>
          </w:p>
          <w:p w14:paraId="446D0E1A" w14:textId="0E0A3E3A" w:rsidR="002103A9" w:rsidRPr="00F0578C" w:rsidRDefault="002103A9" w:rsidP="00A72CE9">
            <w:pPr>
              <w:pStyle w:val="Akapitzlist"/>
              <w:numPr>
                <w:ilvl w:val="0"/>
                <w:numId w:val="29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578C">
              <w:rPr>
                <w:rFonts w:ascii="Times New Roman" w:hAnsi="Times New Roman" w:cs="Times New Roman"/>
                <w:sz w:val="20"/>
                <w:szCs w:val="20"/>
              </w:rPr>
              <w:t xml:space="preserve">aktywność </w:t>
            </w:r>
            <w:r w:rsidRPr="00F0578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dehydrogenazy mleczanowej (</w:t>
            </w:r>
            <w:r w:rsidRPr="00F0578C">
              <w:rPr>
                <w:rFonts w:ascii="Times New Roman" w:hAnsi="Times New Roman" w:cs="Times New Roman"/>
                <w:sz w:val="20"/>
                <w:szCs w:val="20"/>
              </w:rPr>
              <w:t>LDH)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6C2DC2E" w14:textId="7656511D" w:rsidR="002103A9" w:rsidRPr="00F0578C" w:rsidRDefault="002103A9" w:rsidP="00A72CE9">
            <w:pPr>
              <w:pStyle w:val="Akapitzlist"/>
              <w:numPr>
                <w:ilvl w:val="0"/>
                <w:numId w:val="29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578C">
              <w:rPr>
                <w:rFonts w:ascii="Times New Roman" w:hAnsi="Times New Roman" w:cs="Times New Roman"/>
                <w:sz w:val="20"/>
                <w:szCs w:val="20"/>
              </w:rPr>
              <w:t>morfologia krwi obwodowej z rozmazem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C85974C" w14:textId="74352B7C" w:rsidR="002103A9" w:rsidRPr="00F0578C" w:rsidRDefault="00CB3FE8" w:rsidP="00A72CE9">
            <w:pPr>
              <w:pStyle w:val="Akapitzlist"/>
              <w:numPr>
                <w:ilvl w:val="0"/>
                <w:numId w:val="29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kreatynin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 w surowicy krwi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C09F621" w14:textId="34FDFD1B" w:rsidR="002103A9" w:rsidRPr="00F0578C" w:rsidRDefault="00CB3FE8" w:rsidP="00A72CE9">
            <w:pPr>
              <w:pStyle w:val="Akapitzlist"/>
              <w:numPr>
                <w:ilvl w:val="0"/>
                <w:numId w:val="29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mocznik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w surowicy krwi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53440AE" w14:textId="553C1F50" w:rsidR="002103A9" w:rsidRPr="00F0578C" w:rsidRDefault="00CB3FE8" w:rsidP="00A72CE9">
            <w:pPr>
              <w:pStyle w:val="Akapitzlist"/>
              <w:numPr>
                <w:ilvl w:val="0"/>
                <w:numId w:val="29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aktywność 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 xml:space="preserve"> asparaginow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0A2343F" w14:textId="11DCF26E" w:rsidR="002103A9" w:rsidRPr="00F0578C" w:rsidRDefault="00CB3FE8" w:rsidP="00A72CE9">
            <w:pPr>
              <w:pStyle w:val="Akapitzlist"/>
              <w:numPr>
                <w:ilvl w:val="0"/>
                <w:numId w:val="29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aktywność 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 xml:space="preserve"> alaninow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90C0046" w14:textId="00EBCAB3" w:rsidR="00917DEF" w:rsidRDefault="00CB3FE8" w:rsidP="00A72CE9">
            <w:pPr>
              <w:pStyle w:val="Akapitzlist"/>
              <w:numPr>
                <w:ilvl w:val="0"/>
                <w:numId w:val="29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bilirubin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 xml:space="preserve"> całkowit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 w surowicy krwi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8873A95" w14:textId="7DDA2593" w:rsidR="002103A9" w:rsidRPr="00917DEF" w:rsidRDefault="00A72CE9" w:rsidP="00A72CE9">
            <w:pPr>
              <w:pStyle w:val="Akapitzlist"/>
              <w:numPr>
                <w:ilvl w:val="0"/>
                <w:numId w:val="3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2103A9" w:rsidRPr="00917D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 5 tygodniu, raz na dwa tygodnie lub częściej w uzasadnionych sytuacjach klinicznych:</w:t>
            </w:r>
          </w:p>
          <w:p w14:paraId="76DF5851" w14:textId="5A55A684" w:rsidR="002103A9" w:rsidRPr="00F0578C" w:rsidRDefault="002103A9" w:rsidP="00A72CE9">
            <w:pPr>
              <w:pStyle w:val="Akapitzlist"/>
              <w:numPr>
                <w:ilvl w:val="0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578C">
              <w:rPr>
                <w:rFonts w:ascii="Times New Roman" w:hAnsi="Times New Roman" w:cs="Times New Roman"/>
                <w:sz w:val="20"/>
                <w:szCs w:val="20"/>
              </w:rPr>
              <w:t>aktywność dehydrogenazy mleczanowej (LDH)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14C14BB" w14:textId="5456A6C6" w:rsidR="002103A9" w:rsidRPr="00F0578C" w:rsidRDefault="002103A9" w:rsidP="00A72CE9">
            <w:pPr>
              <w:pStyle w:val="Akapitzlist"/>
              <w:numPr>
                <w:ilvl w:val="0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578C">
              <w:rPr>
                <w:rFonts w:ascii="Times New Roman" w:hAnsi="Times New Roman" w:cs="Times New Roman"/>
                <w:sz w:val="20"/>
                <w:szCs w:val="20"/>
              </w:rPr>
              <w:t>morfologia krwi obwodowej z rozmazem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EC44D23" w14:textId="5C88AB70" w:rsidR="002103A9" w:rsidRPr="00917DEF" w:rsidRDefault="00A72CE9" w:rsidP="00A72CE9">
            <w:pPr>
              <w:pStyle w:val="Akapitzlist"/>
              <w:numPr>
                <w:ilvl w:val="0"/>
                <w:numId w:val="3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2103A9" w:rsidRPr="00917D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 5 tygodniu, raz na cztery tygodnie lub częściej w uzasadnionych sytuacjach klinicznych: </w:t>
            </w:r>
          </w:p>
          <w:p w14:paraId="1BCFED4B" w14:textId="3F72A53F" w:rsidR="002103A9" w:rsidRPr="00F0578C" w:rsidRDefault="00CB3FE8" w:rsidP="00A72CE9">
            <w:pPr>
              <w:pStyle w:val="Akapitzlist"/>
              <w:numPr>
                <w:ilvl w:val="0"/>
                <w:numId w:val="41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kreatynin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 w surowicy krwi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2CF04DB" w14:textId="4F4914CE" w:rsidR="002103A9" w:rsidRPr="00F0578C" w:rsidRDefault="00CB3FE8" w:rsidP="00A72CE9">
            <w:pPr>
              <w:pStyle w:val="Akapitzlist"/>
              <w:numPr>
                <w:ilvl w:val="0"/>
                <w:numId w:val="41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mocznik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w surowicy krwi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AF9F849" w14:textId="504123E1" w:rsidR="002103A9" w:rsidRPr="00F0578C" w:rsidRDefault="00CB3FE8" w:rsidP="00A72CE9">
            <w:pPr>
              <w:pStyle w:val="Akapitzlist"/>
              <w:numPr>
                <w:ilvl w:val="0"/>
                <w:numId w:val="41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aktywność 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 xml:space="preserve"> asparaginow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2B6E13C" w14:textId="1BC8A4DA" w:rsidR="002103A9" w:rsidRPr="00F0578C" w:rsidRDefault="00CB3FE8" w:rsidP="00A72CE9">
            <w:pPr>
              <w:pStyle w:val="Akapitzlist"/>
              <w:numPr>
                <w:ilvl w:val="0"/>
                <w:numId w:val="41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aktywność 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 xml:space="preserve"> alaninow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CEB9708" w14:textId="378AC2D6" w:rsidR="002103A9" w:rsidRPr="00F0578C" w:rsidRDefault="00CB3FE8" w:rsidP="00A72CE9">
            <w:pPr>
              <w:pStyle w:val="Akapitzlist"/>
              <w:numPr>
                <w:ilvl w:val="0"/>
                <w:numId w:val="41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stężenie 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bilirubin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 xml:space="preserve"> całkowit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 w surowicy krwi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50DFEC1" w14:textId="61E06C81" w:rsidR="002103A9" w:rsidRPr="00917DEF" w:rsidRDefault="00A72CE9" w:rsidP="00A72CE9">
            <w:pPr>
              <w:pStyle w:val="Akapitzlist"/>
              <w:numPr>
                <w:ilvl w:val="0"/>
                <w:numId w:val="3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2103A9" w:rsidRPr="00917D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adanie obecności klonów PNH w </w:t>
            </w:r>
            <w:proofErr w:type="spellStart"/>
            <w:r w:rsidR="002103A9" w:rsidRPr="00917D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cytometrze</w:t>
            </w:r>
            <w:proofErr w:type="spellEnd"/>
            <w:r w:rsidR="002103A9" w:rsidRPr="00917D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przepływowym:</w:t>
            </w:r>
          </w:p>
          <w:p w14:paraId="04F2D45C" w14:textId="721DE44E" w:rsidR="002103A9" w:rsidRPr="00F0578C" w:rsidRDefault="002103A9" w:rsidP="00A72CE9">
            <w:pPr>
              <w:pStyle w:val="Akapitzlist"/>
              <w:numPr>
                <w:ilvl w:val="0"/>
                <w:numId w:val="42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578C">
              <w:rPr>
                <w:rFonts w:ascii="Times New Roman" w:hAnsi="Times New Roman" w:cs="Times New Roman"/>
                <w:sz w:val="20"/>
                <w:szCs w:val="20"/>
              </w:rPr>
              <w:t>6 miesięcy po rozpoczęciu leczenia i następne co 6 miesięcy przez okres 2 lat od rozpoznania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2C98145" w14:textId="77777777" w:rsidR="002103A9" w:rsidRPr="00F0578C" w:rsidRDefault="002103A9" w:rsidP="00A72CE9">
            <w:pPr>
              <w:pStyle w:val="Akapitzlist"/>
              <w:numPr>
                <w:ilvl w:val="0"/>
                <w:numId w:val="42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578C">
              <w:rPr>
                <w:rFonts w:ascii="Times New Roman" w:hAnsi="Times New Roman" w:cs="Times New Roman"/>
                <w:sz w:val="20"/>
                <w:szCs w:val="20"/>
              </w:rPr>
              <w:t>co 12 miesięcy w przypadku stabilizacji choroby i wielkości klonu.</w:t>
            </w:r>
          </w:p>
          <w:p w14:paraId="37712895" w14:textId="5D4339E4" w:rsidR="002103A9" w:rsidRDefault="002103A9" w:rsidP="001E7C9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0578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celu wykrycia ciężkiej hemolizy i innych reakcji, każdego pacjenta odstawiającego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pegcetakoplan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0578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należy obserwować przez co najmniej 8 tygodni.</w:t>
            </w:r>
          </w:p>
          <w:p w14:paraId="4F70BC2E" w14:textId="091D52AA" w:rsidR="00C71295" w:rsidRPr="00C71295" w:rsidRDefault="00C71295" w:rsidP="001E7C9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Pr="00C7129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dokonać oceny skuteczności zastosowanej terapii po </w:t>
            </w:r>
            <w:r w:rsidR="0035164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Pr="00C7129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miesiącach wg wskaźników zgodnych z pkt 1)  kryteriów wyłączenia</w:t>
            </w:r>
            <w:r w:rsidR="00450F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="00450FF9" w:rsidRPr="00450F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 następnie po każdych kolejnych 6 miesiącach.</w:t>
            </w:r>
          </w:p>
          <w:p w14:paraId="32F004A2" w14:textId="77777777" w:rsidR="00C71295" w:rsidRPr="00C71295" w:rsidRDefault="00C71295" w:rsidP="001E7C9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248F4138" w14:textId="77777777" w:rsidR="00C71295" w:rsidRPr="00C71295" w:rsidRDefault="00C71295" w:rsidP="001E7C9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2E6373F2" w14:textId="26C5D856" w:rsidR="002103A9" w:rsidRDefault="00C71295" w:rsidP="001E7C9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7129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Zespół Koordynacyjny w celu monitorowania adekwatnej odpowiedzi na leczenie, na podstawie danych gromadzonych w elektronicznym systemie monitorowania programów lekowych podsumowuje wyniki leczenia w programie lekowym na koniec każdego roku.</w:t>
            </w:r>
          </w:p>
          <w:p w14:paraId="570CEAE1" w14:textId="77777777" w:rsidR="001E7C9A" w:rsidRPr="004B3C7F" w:rsidRDefault="001E7C9A" w:rsidP="001E7C9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486AB5F4" w14:textId="06421F26" w:rsidR="000F34A8" w:rsidRPr="001E7C9A" w:rsidRDefault="0006667C" w:rsidP="00A72CE9">
            <w:pPr>
              <w:pStyle w:val="Akapitzlist"/>
              <w:numPr>
                <w:ilvl w:val="0"/>
                <w:numId w:val="25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7C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 programu</w:t>
            </w:r>
          </w:p>
          <w:p w14:paraId="40D33479" w14:textId="77777777" w:rsidR="000F34A8" w:rsidRPr="00F45ED6" w:rsidRDefault="000F34A8" w:rsidP="001E7C9A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>gromadzenie w dokumentacji medycznej pacjenta danych dotyczących monitorowania leczenia i każdorazowe ich przedstawianie na żądanie kontrolerów Narodowego Funduszu Zdrowia;</w:t>
            </w:r>
          </w:p>
          <w:p w14:paraId="0190CFD7" w14:textId="42CF6707" w:rsidR="000F34A8" w:rsidRPr="00F45ED6" w:rsidRDefault="000F34A8" w:rsidP="001E7C9A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uzupełnienie danych </w:t>
            </w:r>
            <w:r w:rsidR="00213BFB" w:rsidRPr="00213BFB">
              <w:rPr>
                <w:rFonts w:ascii="Times New Roman" w:hAnsi="Times New Roman" w:cs="Times New Roman"/>
                <w:sz w:val="20"/>
                <w:szCs w:val="20"/>
              </w:rPr>
              <w:t>zawartych w elektronicznym systemie monitorowania programów lekowych</w:t>
            </w:r>
            <w:r w:rsidR="00735E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>dostępnym za pomocą aplikacji internetowej udostępnionej przez OW NFZ,</w:t>
            </w:r>
            <w:r w:rsidR="000A14E1">
              <w:t xml:space="preserve"> </w:t>
            </w:r>
            <w:r w:rsidR="000A14E1" w:rsidRPr="000A14E1">
              <w:rPr>
                <w:rFonts w:ascii="Times New Roman" w:hAnsi="Times New Roman" w:cs="Times New Roman"/>
                <w:sz w:val="20"/>
                <w:szCs w:val="20"/>
              </w:rPr>
              <w:t xml:space="preserve">w tym wskaźników </w:t>
            </w:r>
            <w:r w:rsidR="000A14E1" w:rsidRPr="000A14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skuteczności leczenia</w:t>
            </w: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z</w:t>
            </w:r>
            <w:r w:rsidR="006103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>częstotliwością zgodną z opisem programu oraz na zakończenie leczenia;</w:t>
            </w:r>
          </w:p>
          <w:p w14:paraId="68189356" w14:textId="749ABB18" w:rsidR="000F34A8" w:rsidRPr="0044017D" w:rsidRDefault="000F34A8" w:rsidP="001E7C9A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>przekazywanie informacji sprawozdawczo-rozliczeniowych do NFZ: informacje przekazuje się do NFZ w formie papierowej lub w formie elektronicznej, zgodnie z wymaganiami opublikowanymi przez Narodowy Fundusz Zdrowia</w:t>
            </w:r>
            <w:r w:rsidRPr="00F45ED6">
              <w:rPr>
                <w:rFonts w:ascii="Times New Roman" w:hAnsi="Times New Roman" w:cs="Times New Roman"/>
              </w:rPr>
              <w:t>.</w:t>
            </w:r>
          </w:p>
        </w:tc>
      </w:tr>
    </w:tbl>
    <w:p w14:paraId="5604605D" w14:textId="77777777" w:rsidR="00097CEA" w:rsidRPr="00C166A1" w:rsidRDefault="00097CEA">
      <w:pPr>
        <w:rPr>
          <w:rFonts w:ascii="Times New Roman" w:hAnsi="Times New Roman" w:cs="Times New Roman"/>
          <w:sz w:val="14"/>
          <w:szCs w:val="24"/>
        </w:rPr>
      </w:pPr>
    </w:p>
    <w:sectPr w:rsidR="00097CEA" w:rsidRPr="00C166A1" w:rsidSect="006501FD">
      <w:footerReference w:type="default" r:id="rId8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FDF7B" w14:textId="77777777" w:rsidR="00F67AA5" w:rsidRDefault="00F67AA5" w:rsidP="00EA1DA5">
      <w:pPr>
        <w:spacing w:after="0" w:line="240" w:lineRule="auto"/>
      </w:pPr>
      <w:r>
        <w:separator/>
      </w:r>
    </w:p>
  </w:endnote>
  <w:endnote w:type="continuationSeparator" w:id="0">
    <w:p w14:paraId="36502063" w14:textId="77777777" w:rsidR="00F67AA5" w:rsidRDefault="00F67AA5" w:rsidP="00EA1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9BAF0" w14:textId="77777777" w:rsidR="00FD2B5C" w:rsidRDefault="00FD2B5C">
    <w:pPr>
      <w:pStyle w:val="Stopka"/>
    </w:pPr>
  </w:p>
  <w:p w14:paraId="04355073" w14:textId="77777777" w:rsidR="00CD3F29" w:rsidRPr="001B56AA" w:rsidRDefault="00CD3F29" w:rsidP="001B56AA">
    <w:pPr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7D152" w14:textId="77777777" w:rsidR="00F67AA5" w:rsidRDefault="00F67AA5" w:rsidP="00EA1DA5">
      <w:pPr>
        <w:spacing w:after="0" w:line="240" w:lineRule="auto"/>
      </w:pPr>
      <w:r>
        <w:separator/>
      </w:r>
    </w:p>
  </w:footnote>
  <w:footnote w:type="continuationSeparator" w:id="0">
    <w:p w14:paraId="7A773C77" w14:textId="77777777" w:rsidR="00F67AA5" w:rsidRDefault="00F67AA5" w:rsidP="00EA1D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D1B3F"/>
    <w:multiLevelType w:val="hybridMultilevel"/>
    <w:tmpl w:val="FA0E722E"/>
    <w:lvl w:ilvl="0" w:tplc="C69853EE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C05F9"/>
    <w:multiLevelType w:val="hybridMultilevel"/>
    <w:tmpl w:val="07E8CC04"/>
    <w:lvl w:ilvl="0" w:tplc="FFFFFFFF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74" w:hanging="360"/>
      </w:pPr>
    </w:lvl>
    <w:lvl w:ilvl="2" w:tplc="FFFFFFFF" w:tentative="1">
      <w:start w:val="1"/>
      <w:numFmt w:val="lowerRoman"/>
      <w:lvlText w:val="%3."/>
      <w:lvlJc w:val="right"/>
      <w:pPr>
        <w:ind w:left="2194" w:hanging="180"/>
      </w:pPr>
    </w:lvl>
    <w:lvl w:ilvl="3" w:tplc="FFFFFFFF" w:tentative="1">
      <w:start w:val="1"/>
      <w:numFmt w:val="decimal"/>
      <w:lvlText w:val="%4."/>
      <w:lvlJc w:val="left"/>
      <w:pPr>
        <w:ind w:left="2914" w:hanging="360"/>
      </w:pPr>
    </w:lvl>
    <w:lvl w:ilvl="4" w:tplc="FFFFFFFF" w:tentative="1">
      <w:start w:val="1"/>
      <w:numFmt w:val="lowerLetter"/>
      <w:lvlText w:val="%5."/>
      <w:lvlJc w:val="left"/>
      <w:pPr>
        <w:ind w:left="3634" w:hanging="360"/>
      </w:pPr>
    </w:lvl>
    <w:lvl w:ilvl="5" w:tplc="FFFFFFFF" w:tentative="1">
      <w:start w:val="1"/>
      <w:numFmt w:val="lowerRoman"/>
      <w:lvlText w:val="%6."/>
      <w:lvlJc w:val="right"/>
      <w:pPr>
        <w:ind w:left="4354" w:hanging="180"/>
      </w:pPr>
    </w:lvl>
    <w:lvl w:ilvl="6" w:tplc="FFFFFFFF" w:tentative="1">
      <w:start w:val="1"/>
      <w:numFmt w:val="decimal"/>
      <w:lvlText w:val="%7."/>
      <w:lvlJc w:val="left"/>
      <w:pPr>
        <w:ind w:left="5074" w:hanging="360"/>
      </w:pPr>
    </w:lvl>
    <w:lvl w:ilvl="7" w:tplc="FFFFFFFF" w:tentative="1">
      <w:start w:val="1"/>
      <w:numFmt w:val="lowerLetter"/>
      <w:lvlText w:val="%8."/>
      <w:lvlJc w:val="left"/>
      <w:pPr>
        <w:ind w:left="5794" w:hanging="360"/>
      </w:pPr>
    </w:lvl>
    <w:lvl w:ilvl="8" w:tplc="FFFFFFFF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 w15:restartNumberingAfterBreak="0">
    <w:nsid w:val="032019BB"/>
    <w:multiLevelType w:val="hybridMultilevel"/>
    <w:tmpl w:val="CE34413E"/>
    <w:lvl w:ilvl="0" w:tplc="65A60C2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170CA"/>
    <w:multiLevelType w:val="hybridMultilevel"/>
    <w:tmpl w:val="5A9CAD84"/>
    <w:lvl w:ilvl="0" w:tplc="B0B8FA0E">
      <w:start w:val="1"/>
      <w:numFmt w:val="bullet"/>
      <w:suff w:val="space"/>
      <w:lvlText w:val=""/>
      <w:lvlJc w:val="left"/>
      <w:pPr>
        <w:ind w:left="145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78" w:hanging="360"/>
      </w:pPr>
    </w:lvl>
    <w:lvl w:ilvl="2" w:tplc="0415001B" w:tentative="1">
      <w:start w:val="1"/>
      <w:numFmt w:val="lowerRoman"/>
      <w:lvlText w:val="%3."/>
      <w:lvlJc w:val="right"/>
      <w:pPr>
        <w:ind w:left="2898" w:hanging="180"/>
      </w:pPr>
    </w:lvl>
    <w:lvl w:ilvl="3" w:tplc="0415000F" w:tentative="1">
      <w:start w:val="1"/>
      <w:numFmt w:val="decimal"/>
      <w:lvlText w:val="%4."/>
      <w:lvlJc w:val="left"/>
      <w:pPr>
        <w:ind w:left="3618" w:hanging="360"/>
      </w:pPr>
    </w:lvl>
    <w:lvl w:ilvl="4" w:tplc="04150019" w:tentative="1">
      <w:start w:val="1"/>
      <w:numFmt w:val="lowerLetter"/>
      <w:lvlText w:val="%5."/>
      <w:lvlJc w:val="left"/>
      <w:pPr>
        <w:ind w:left="4338" w:hanging="360"/>
      </w:pPr>
    </w:lvl>
    <w:lvl w:ilvl="5" w:tplc="0415001B" w:tentative="1">
      <w:start w:val="1"/>
      <w:numFmt w:val="lowerRoman"/>
      <w:lvlText w:val="%6."/>
      <w:lvlJc w:val="right"/>
      <w:pPr>
        <w:ind w:left="5058" w:hanging="180"/>
      </w:pPr>
    </w:lvl>
    <w:lvl w:ilvl="6" w:tplc="0415000F" w:tentative="1">
      <w:start w:val="1"/>
      <w:numFmt w:val="decimal"/>
      <w:lvlText w:val="%7."/>
      <w:lvlJc w:val="left"/>
      <w:pPr>
        <w:ind w:left="5778" w:hanging="360"/>
      </w:pPr>
    </w:lvl>
    <w:lvl w:ilvl="7" w:tplc="04150019" w:tentative="1">
      <w:start w:val="1"/>
      <w:numFmt w:val="lowerLetter"/>
      <w:lvlText w:val="%8."/>
      <w:lvlJc w:val="left"/>
      <w:pPr>
        <w:ind w:left="6498" w:hanging="360"/>
      </w:pPr>
    </w:lvl>
    <w:lvl w:ilvl="8" w:tplc="0415001B" w:tentative="1">
      <w:start w:val="1"/>
      <w:numFmt w:val="lowerRoman"/>
      <w:lvlText w:val="%9."/>
      <w:lvlJc w:val="right"/>
      <w:pPr>
        <w:ind w:left="7218" w:hanging="180"/>
      </w:pPr>
    </w:lvl>
  </w:abstractNum>
  <w:abstractNum w:abstractNumId="4" w15:restartNumberingAfterBreak="0">
    <w:nsid w:val="0E493EF5"/>
    <w:multiLevelType w:val="hybridMultilevel"/>
    <w:tmpl w:val="64D8494C"/>
    <w:lvl w:ilvl="0" w:tplc="110EB9EC">
      <w:start w:val="1"/>
      <w:numFmt w:val="bullet"/>
      <w:suff w:val="space"/>
      <w:lvlText w:val=""/>
      <w:lvlJc w:val="left"/>
      <w:pPr>
        <w:ind w:left="145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 w15:restartNumberingAfterBreak="0">
    <w:nsid w:val="132D66FE"/>
    <w:multiLevelType w:val="hybridMultilevel"/>
    <w:tmpl w:val="995CEC7A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755E4B"/>
    <w:multiLevelType w:val="hybridMultilevel"/>
    <w:tmpl w:val="F2E03C76"/>
    <w:lvl w:ilvl="0" w:tplc="21A412D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151E3"/>
    <w:multiLevelType w:val="multilevel"/>
    <w:tmpl w:val="D7EE7E7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12" w:hanging="1440"/>
      </w:pPr>
      <w:rPr>
        <w:rFonts w:hint="default"/>
      </w:rPr>
    </w:lvl>
  </w:abstractNum>
  <w:abstractNum w:abstractNumId="8" w15:restartNumberingAfterBreak="0">
    <w:nsid w:val="1CA50C66"/>
    <w:multiLevelType w:val="hybridMultilevel"/>
    <w:tmpl w:val="433CB504"/>
    <w:lvl w:ilvl="0" w:tplc="FFFFFFFF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74" w:hanging="360"/>
      </w:pPr>
    </w:lvl>
    <w:lvl w:ilvl="2" w:tplc="FFFFFFFF" w:tentative="1">
      <w:start w:val="1"/>
      <w:numFmt w:val="lowerRoman"/>
      <w:lvlText w:val="%3."/>
      <w:lvlJc w:val="right"/>
      <w:pPr>
        <w:ind w:left="2194" w:hanging="180"/>
      </w:pPr>
    </w:lvl>
    <w:lvl w:ilvl="3" w:tplc="FFFFFFFF" w:tentative="1">
      <w:start w:val="1"/>
      <w:numFmt w:val="decimal"/>
      <w:lvlText w:val="%4."/>
      <w:lvlJc w:val="left"/>
      <w:pPr>
        <w:ind w:left="2914" w:hanging="360"/>
      </w:pPr>
    </w:lvl>
    <w:lvl w:ilvl="4" w:tplc="FFFFFFFF" w:tentative="1">
      <w:start w:val="1"/>
      <w:numFmt w:val="lowerLetter"/>
      <w:lvlText w:val="%5."/>
      <w:lvlJc w:val="left"/>
      <w:pPr>
        <w:ind w:left="3634" w:hanging="360"/>
      </w:pPr>
    </w:lvl>
    <w:lvl w:ilvl="5" w:tplc="FFFFFFFF" w:tentative="1">
      <w:start w:val="1"/>
      <w:numFmt w:val="lowerRoman"/>
      <w:lvlText w:val="%6."/>
      <w:lvlJc w:val="right"/>
      <w:pPr>
        <w:ind w:left="4354" w:hanging="180"/>
      </w:pPr>
    </w:lvl>
    <w:lvl w:ilvl="6" w:tplc="FFFFFFFF" w:tentative="1">
      <w:start w:val="1"/>
      <w:numFmt w:val="decimal"/>
      <w:lvlText w:val="%7."/>
      <w:lvlJc w:val="left"/>
      <w:pPr>
        <w:ind w:left="5074" w:hanging="360"/>
      </w:pPr>
    </w:lvl>
    <w:lvl w:ilvl="7" w:tplc="FFFFFFFF" w:tentative="1">
      <w:start w:val="1"/>
      <w:numFmt w:val="lowerLetter"/>
      <w:lvlText w:val="%8."/>
      <w:lvlJc w:val="left"/>
      <w:pPr>
        <w:ind w:left="5794" w:hanging="360"/>
      </w:pPr>
    </w:lvl>
    <w:lvl w:ilvl="8" w:tplc="FFFFFFFF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1D160692"/>
    <w:multiLevelType w:val="hybridMultilevel"/>
    <w:tmpl w:val="59EE6866"/>
    <w:lvl w:ilvl="0" w:tplc="3D80D87C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795091"/>
    <w:multiLevelType w:val="hybridMultilevel"/>
    <w:tmpl w:val="B32087EA"/>
    <w:lvl w:ilvl="0" w:tplc="308CEEF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62A25"/>
    <w:multiLevelType w:val="hybridMultilevel"/>
    <w:tmpl w:val="433CB504"/>
    <w:lvl w:ilvl="0" w:tplc="FFFFFFFF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74" w:hanging="360"/>
      </w:pPr>
    </w:lvl>
    <w:lvl w:ilvl="2" w:tplc="FFFFFFFF" w:tentative="1">
      <w:start w:val="1"/>
      <w:numFmt w:val="lowerRoman"/>
      <w:lvlText w:val="%3."/>
      <w:lvlJc w:val="right"/>
      <w:pPr>
        <w:ind w:left="2194" w:hanging="180"/>
      </w:pPr>
    </w:lvl>
    <w:lvl w:ilvl="3" w:tplc="FFFFFFFF" w:tentative="1">
      <w:start w:val="1"/>
      <w:numFmt w:val="decimal"/>
      <w:lvlText w:val="%4."/>
      <w:lvlJc w:val="left"/>
      <w:pPr>
        <w:ind w:left="2914" w:hanging="360"/>
      </w:pPr>
    </w:lvl>
    <w:lvl w:ilvl="4" w:tplc="FFFFFFFF" w:tentative="1">
      <w:start w:val="1"/>
      <w:numFmt w:val="lowerLetter"/>
      <w:lvlText w:val="%5."/>
      <w:lvlJc w:val="left"/>
      <w:pPr>
        <w:ind w:left="3634" w:hanging="360"/>
      </w:pPr>
    </w:lvl>
    <w:lvl w:ilvl="5" w:tplc="FFFFFFFF" w:tentative="1">
      <w:start w:val="1"/>
      <w:numFmt w:val="lowerRoman"/>
      <w:lvlText w:val="%6."/>
      <w:lvlJc w:val="right"/>
      <w:pPr>
        <w:ind w:left="4354" w:hanging="180"/>
      </w:pPr>
    </w:lvl>
    <w:lvl w:ilvl="6" w:tplc="FFFFFFFF" w:tentative="1">
      <w:start w:val="1"/>
      <w:numFmt w:val="decimal"/>
      <w:lvlText w:val="%7."/>
      <w:lvlJc w:val="left"/>
      <w:pPr>
        <w:ind w:left="5074" w:hanging="360"/>
      </w:pPr>
    </w:lvl>
    <w:lvl w:ilvl="7" w:tplc="FFFFFFFF" w:tentative="1">
      <w:start w:val="1"/>
      <w:numFmt w:val="lowerLetter"/>
      <w:lvlText w:val="%8."/>
      <w:lvlJc w:val="left"/>
      <w:pPr>
        <w:ind w:left="5794" w:hanging="360"/>
      </w:pPr>
    </w:lvl>
    <w:lvl w:ilvl="8" w:tplc="FFFFFFFF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 w15:restartNumberingAfterBreak="0">
    <w:nsid w:val="268622CA"/>
    <w:multiLevelType w:val="hybridMultilevel"/>
    <w:tmpl w:val="56325382"/>
    <w:lvl w:ilvl="0" w:tplc="42EEFBBA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F4B1F37"/>
    <w:multiLevelType w:val="hybridMultilevel"/>
    <w:tmpl w:val="433CB504"/>
    <w:lvl w:ilvl="0" w:tplc="FFFFFFFF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74" w:hanging="360"/>
      </w:pPr>
    </w:lvl>
    <w:lvl w:ilvl="2" w:tplc="FFFFFFFF" w:tentative="1">
      <w:start w:val="1"/>
      <w:numFmt w:val="lowerRoman"/>
      <w:lvlText w:val="%3."/>
      <w:lvlJc w:val="right"/>
      <w:pPr>
        <w:ind w:left="2194" w:hanging="180"/>
      </w:pPr>
    </w:lvl>
    <w:lvl w:ilvl="3" w:tplc="FFFFFFFF" w:tentative="1">
      <w:start w:val="1"/>
      <w:numFmt w:val="decimal"/>
      <w:lvlText w:val="%4."/>
      <w:lvlJc w:val="left"/>
      <w:pPr>
        <w:ind w:left="2914" w:hanging="360"/>
      </w:pPr>
    </w:lvl>
    <w:lvl w:ilvl="4" w:tplc="FFFFFFFF" w:tentative="1">
      <w:start w:val="1"/>
      <w:numFmt w:val="lowerLetter"/>
      <w:lvlText w:val="%5."/>
      <w:lvlJc w:val="left"/>
      <w:pPr>
        <w:ind w:left="3634" w:hanging="360"/>
      </w:pPr>
    </w:lvl>
    <w:lvl w:ilvl="5" w:tplc="FFFFFFFF" w:tentative="1">
      <w:start w:val="1"/>
      <w:numFmt w:val="lowerRoman"/>
      <w:lvlText w:val="%6."/>
      <w:lvlJc w:val="right"/>
      <w:pPr>
        <w:ind w:left="4354" w:hanging="180"/>
      </w:pPr>
    </w:lvl>
    <w:lvl w:ilvl="6" w:tplc="FFFFFFFF" w:tentative="1">
      <w:start w:val="1"/>
      <w:numFmt w:val="decimal"/>
      <w:lvlText w:val="%7."/>
      <w:lvlJc w:val="left"/>
      <w:pPr>
        <w:ind w:left="5074" w:hanging="360"/>
      </w:pPr>
    </w:lvl>
    <w:lvl w:ilvl="7" w:tplc="FFFFFFFF" w:tentative="1">
      <w:start w:val="1"/>
      <w:numFmt w:val="lowerLetter"/>
      <w:lvlText w:val="%8."/>
      <w:lvlJc w:val="left"/>
      <w:pPr>
        <w:ind w:left="5794" w:hanging="360"/>
      </w:pPr>
    </w:lvl>
    <w:lvl w:ilvl="8" w:tplc="FFFFFFFF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4" w15:restartNumberingAfterBreak="0">
    <w:nsid w:val="311066EF"/>
    <w:multiLevelType w:val="hybridMultilevel"/>
    <w:tmpl w:val="27622ACA"/>
    <w:lvl w:ilvl="0" w:tplc="7FE27E9C">
      <w:start w:val="1"/>
      <w:numFmt w:val="decimal"/>
      <w:suff w:val="space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B603E8"/>
    <w:multiLevelType w:val="hybridMultilevel"/>
    <w:tmpl w:val="07E8CC04"/>
    <w:lvl w:ilvl="0" w:tplc="FFFFFFFF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74" w:hanging="360"/>
      </w:pPr>
    </w:lvl>
    <w:lvl w:ilvl="2" w:tplc="FFFFFFFF" w:tentative="1">
      <w:start w:val="1"/>
      <w:numFmt w:val="lowerRoman"/>
      <w:lvlText w:val="%3."/>
      <w:lvlJc w:val="right"/>
      <w:pPr>
        <w:ind w:left="2194" w:hanging="180"/>
      </w:pPr>
    </w:lvl>
    <w:lvl w:ilvl="3" w:tplc="FFFFFFFF" w:tentative="1">
      <w:start w:val="1"/>
      <w:numFmt w:val="decimal"/>
      <w:lvlText w:val="%4."/>
      <w:lvlJc w:val="left"/>
      <w:pPr>
        <w:ind w:left="2914" w:hanging="360"/>
      </w:pPr>
    </w:lvl>
    <w:lvl w:ilvl="4" w:tplc="FFFFFFFF" w:tentative="1">
      <w:start w:val="1"/>
      <w:numFmt w:val="lowerLetter"/>
      <w:lvlText w:val="%5."/>
      <w:lvlJc w:val="left"/>
      <w:pPr>
        <w:ind w:left="3634" w:hanging="360"/>
      </w:pPr>
    </w:lvl>
    <w:lvl w:ilvl="5" w:tplc="FFFFFFFF" w:tentative="1">
      <w:start w:val="1"/>
      <w:numFmt w:val="lowerRoman"/>
      <w:lvlText w:val="%6."/>
      <w:lvlJc w:val="right"/>
      <w:pPr>
        <w:ind w:left="4354" w:hanging="180"/>
      </w:pPr>
    </w:lvl>
    <w:lvl w:ilvl="6" w:tplc="FFFFFFFF" w:tentative="1">
      <w:start w:val="1"/>
      <w:numFmt w:val="decimal"/>
      <w:lvlText w:val="%7."/>
      <w:lvlJc w:val="left"/>
      <w:pPr>
        <w:ind w:left="5074" w:hanging="360"/>
      </w:pPr>
    </w:lvl>
    <w:lvl w:ilvl="7" w:tplc="FFFFFFFF" w:tentative="1">
      <w:start w:val="1"/>
      <w:numFmt w:val="lowerLetter"/>
      <w:lvlText w:val="%8."/>
      <w:lvlJc w:val="left"/>
      <w:pPr>
        <w:ind w:left="5794" w:hanging="360"/>
      </w:pPr>
    </w:lvl>
    <w:lvl w:ilvl="8" w:tplc="FFFFFFFF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6" w15:restartNumberingAfterBreak="0">
    <w:nsid w:val="3AAD3943"/>
    <w:multiLevelType w:val="hybridMultilevel"/>
    <w:tmpl w:val="857A2FF4"/>
    <w:lvl w:ilvl="0" w:tplc="AC3AC238">
      <w:start w:val="1"/>
      <w:numFmt w:val="bullet"/>
      <w:suff w:val="space"/>
      <w:lvlText w:val=""/>
      <w:lvlJc w:val="left"/>
      <w:pPr>
        <w:ind w:left="14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17" w15:restartNumberingAfterBreak="0">
    <w:nsid w:val="3B7F3CEA"/>
    <w:multiLevelType w:val="hybridMultilevel"/>
    <w:tmpl w:val="07E8CC04"/>
    <w:lvl w:ilvl="0" w:tplc="FFFFFFFF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74" w:hanging="360"/>
      </w:pPr>
    </w:lvl>
    <w:lvl w:ilvl="2" w:tplc="FFFFFFFF" w:tentative="1">
      <w:start w:val="1"/>
      <w:numFmt w:val="lowerRoman"/>
      <w:lvlText w:val="%3."/>
      <w:lvlJc w:val="right"/>
      <w:pPr>
        <w:ind w:left="2194" w:hanging="180"/>
      </w:pPr>
    </w:lvl>
    <w:lvl w:ilvl="3" w:tplc="FFFFFFFF" w:tentative="1">
      <w:start w:val="1"/>
      <w:numFmt w:val="decimal"/>
      <w:lvlText w:val="%4."/>
      <w:lvlJc w:val="left"/>
      <w:pPr>
        <w:ind w:left="2914" w:hanging="360"/>
      </w:pPr>
    </w:lvl>
    <w:lvl w:ilvl="4" w:tplc="FFFFFFFF" w:tentative="1">
      <w:start w:val="1"/>
      <w:numFmt w:val="lowerLetter"/>
      <w:lvlText w:val="%5."/>
      <w:lvlJc w:val="left"/>
      <w:pPr>
        <w:ind w:left="3634" w:hanging="360"/>
      </w:pPr>
    </w:lvl>
    <w:lvl w:ilvl="5" w:tplc="FFFFFFFF" w:tentative="1">
      <w:start w:val="1"/>
      <w:numFmt w:val="lowerRoman"/>
      <w:lvlText w:val="%6."/>
      <w:lvlJc w:val="right"/>
      <w:pPr>
        <w:ind w:left="4354" w:hanging="180"/>
      </w:pPr>
    </w:lvl>
    <w:lvl w:ilvl="6" w:tplc="FFFFFFFF" w:tentative="1">
      <w:start w:val="1"/>
      <w:numFmt w:val="decimal"/>
      <w:lvlText w:val="%7."/>
      <w:lvlJc w:val="left"/>
      <w:pPr>
        <w:ind w:left="5074" w:hanging="360"/>
      </w:pPr>
    </w:lvl>
    <w:lvl w:ilvl="7" w:tplc="FFFFFFFF" w:tentative="1">
      <w:start w:val="1"/>
      <w:numFmt w:val="lowerLetter"/>
      <w:lvlText w:val="%8."/>
      <w:lvlJc w:val="left"/>
      <w:pPr>
        <w:ind w:left="5794" w:hanging="360"/>
      </w:pPr>
    </w:lvl>
    <w:lvl w:ilvl="8" w:tplc="FFFFFFFF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8" w15:restartNumberingAfterBreak="0">
    <w:nsid w:val="40D8652B"/>
    <w:multiLevelType w:val="hybridMultilevel"/>
    <w:tmpl w:val="8DCAE5C8"/>
    <w:lvl w:ilvl="0" w:tplc="24A64F76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43DB7630"/>
    <w:multiLevelType w:val="hybridMultilevel"/>
    <w:tmpl w:val="433CB504"/>
    <w:lvl w:ilvl="0" w:tplc="08C0F1FA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 w15:restartNumberingAfterBreak="0">
    <w:nsid w:val="4A1834FC"/>
    <w:multiLevelType w:val="multilevel"/>
    <w:tmpl w:val="045C8FBC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B455A1C"/>
    <w:multiLevelType w:val="hybridMultilevel"/>
    <w:tmpl w:val="EACE9D64"/>
    <w:lvl w:ilvl="0" w:tplc="06647998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8E17F0"/>
    <w:multiLevelType w:val="hybridMultilevel"/>
    <w:tmpl w:val="EACE9D64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6929A2"/>
    <w:multiLevelType w:val="hybridMultilevel"/>
    <w:tmpl w:val="3DAA2974"/>
    <w:lvl w:ilvl="0" w:tplc="8788122E">
      <w:start w:val="1"/>
      <w:numFmt w:val="lowerLetter"/>
      <w:suff w:val="space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6D05B5"/>
    <w:multiLevelType w:val="hybridMultilevel"/>
    <w:tmpl w:val="8708A5E4"/>
    <w:lvl w:ilvl="0" w:tplc="419EC0D6">
      <w:start w:val="1"/>
      <w:numFmt w:val="lowerLetter"/>
      <w:suff w:val="space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E786C21"/>
    <w:multiLevelType w:val="hybridMultilevel"/>
    <w:tmpl w:val="DB34F7BE"/>
    <w:lvl w:ilvl="0" w:tplc="0456CEA4">
      <w:start w:val="1"/>
      <w:numFmt w:val="bullet"/>
      <w:suff w:val="space"/>
      <w:lvlText w:val=""/>
      <w:lvlJc w:val="left"/>
      <w:pPr>
        <w:ind w:left="14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1" w:hanging="360"/>
      </w:pPr>
      <w:rPr>
        <w:rFonts w:ascii="Wingdings" w:hAnsi="Wingdings" w:hint="default"/>
      </w:rPr>
    </w:lvl>
  </w:abstractNum>
  <w:abstractNum w:abstractNumId="26" w15:restartNumberingAfterBreak="0">
    <w:nsid w:val="5F883C81"/>
    <w:multiLevelType w:val="multilevel"/>
    <w:tmpl w:val="985EB98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66A93F61"/>
    <w:multiLevelType w:val="hybridMultilevel"/>
    <w:tmpl w:val="995CEC7A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D844C1"/>
    <w:multiLevelType w:val="hybridMultilevel"/>
    <w:tmpl w:val="07E8CC04"/>
    <w:lvl w:ilvl="0" w:tplc="5C7A4044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74" w:hanging="360"/>
      </w:pPr>
    </w:lvl>
    <w:lvl w:ilvl="2" w:tplc="FFFFFFFF" w:tentative="1">
      <w:start w:val="1"/>
      <w:numFmt w:val="lowerRoman"/>
      <w:lvlText w:val="%3."/>
      <w:lvlJc w:val="right"/>
      <w:pPr>
        <w:ind w:left="2194" w:hanging="180"/>
      </w:pPr>
    </w:lvl>
    <w:lvl w:ilvl="3" w:tplc="FFFFFFFF" w:tentative="1">
      <w:start w:val="1"/>
      <w:numFmt w:val="decimal"/>
      <w:lvlText w:val="%4."/>
      <w:lvlJc w:val="left"/>
      <w:pPr>
        <w:ind w:left="2914" w:hanging="360"/>
      </w:pPr>
    </w:lvl>
    <w:lvl w:ilvl="4" w:tplc="FFFFFFFF" w:tentative="1">
      <w:start w:val="1"/>
      <w:numFmt w:val="lowerLetter"/>
      <w:lvlText w:val="%5."/>
      <w:lvlJc w:val="left"/>
      <w:pPr>
        <w:ind w:left="3634" w:hanging="360"/>
      </w:pPr>
    </w:lvl>
    <w:lvl w:ilvl="5" w:tplc="FFFFFFFF" w:tentative="1">
      <w:start w:val="1"/>
      <w:numFmt w:val="lowerRoman"/>
      <w:lvlText w:val="%6."/>
      <w:lvlJc w:val="right"/>
      <w:pPr>
        <w:ind w:left="4354" w:hanging="180"/>
      </w:pPr>
    </w:lvl>
    <w:lvl w:ilvl="6" w:tplc="FFFFFFFF" w:tentative="1">
      <w:start w:val="1"/>
      <w:numFmt w:val="decimal"/>
      <w:lvlText w:val="%7."/>
      <w:lvlJc w:val="left"/>
      <w:pPr>
        <w:ind w:left="5074" w:hanging="360"/>
      </w:pPr>
    </w:lvl>
    <w:lvl w:ilvl="7" w:tplc="FFFFFFFF" w:tentative="1">
      <w:start w:val="1"/>
      <w:numFmt w:val="lowerLetter"/>
      <w:lvlText w:val="%8."/>
      <w:lvlJc w:val="left"/>
      <w:pPr>
        <w:ind w:left="5794" w:hanging="360"/>
      </w:pPr>
    </w:lvl>
    <w:lvl w:ilvl="8" w:tplc="FFFFFFFF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67416999"/>
    <w:multiLevelType w:val="hybridMultilevel"/>
    <w:tmpl w:val="1E74BB0C"/>
    <w:lvl w:ilvl="0" w:tplc="C6D8C0F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F44CCA"/>
    <w:multiLevelType w:val="hybridMultilevel"/>
    <w:tmpl w:val="BEEE227C"/>
    <w:lvl w:ilvl="0" w:tplc="19F8A28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1" w15:restartNumberingAfterBreak="0">
    <w:nsid w:val="68026640"/>
    <w:multiLevelType w:val="hybridMultilevel"/>
    <w:tmpl w:val="A48C2E2C"/>
    <w:lvl w:ilvl="0" w:tplc="DA0C9E78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2" w15:restartNumberingAfterBreak="0">
    <w:nsid w:val="680974E0"/>
    <w:multiLevelType w:val="hybridMultilevel"/>
    <w:tmpl w:val="532079F0"/>
    <w:lvl w:ilvl="0" w:tplc="F1F26D54">
      <w:start w:val="1"/>
      <w:numFmt w:val="lowerLetter"/>
      <w:suff w:val="space"/>
      <w:lvlText w:val="%1)"/>
      <w:lvlJc w:val="left"/>
      <w:pPr>
        <w:ind w:left="227" w:firstLine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1" w:hanging="360"/>
      </w:pPr>
    </w:lvl>
    <w:lvl w:ilvl="2" w:tplc="0415001B" w:tentative="1">
      <w:start w:val="1"/>
      <w:numFmt w:val="lowerRoman"/>
      <w:lvlText w:val="%3."/>
      <w:lvlJc w:val="right"/>
      <w:pPr>
        <w:ind w:left="2331" w:hanging="180"/>
      </w:pPr>
    </w:lvl>
    <w:lvl w:ilvl="3" w:tplc="0415000F" w:tentative="1">
      <w:start w:val="1"/>
      <w:numFmt w:val="decimal"/>
      <w:lvlText w:val="%4."/>
      <w:lvlJc w:val="left"/>
      <w:pPr>
        <w:ind w:left="3051" w:hanging="360"/>
      </w:pPr>
    </w:lvl>
    <w:lvl w:ilvl="4" w:tplc="04150019" w:tentative="1">
      <w:start w:val="1"/>
      <w:numFmt w:val="lowerLetter"/>
      <w:lvlText w:val="%5."/>
      <w:lvlJc w:val="left"/>
      <w:pPr>
        <w:ind w:left="3771" w:hanging="360"/>
      </w:pPr>
    </w:lvl>
    <w:lvl w:ilvl="5" w:tplc="0415001B" w:tentative="1">
      <w:start w:val="1"/>
      <w:numFmt w:val="lowerRoman"/>
      <w:lvlText w:val="%6."/>
      <w:lvlJc w:val="right"/>
      <w:pPr>
        <w:ind w:left="4491" w:hanging="180"/>
      </w:pPr>
    </w:lvl>
    <w:lvl w:ilvl="6" w:tplc="0415000F" w:tentative="1">
      <w:start w:val="1"/>
      <w:numFmt w:val="decimal"/>
      <w:lvlText w:val="%7."/>
      <w:lvlJc w:val="left"/>
      <w:pPr>
        <w:ind w:left="5211" w:hanging="360"/>
      </w:pPr>
    </w:lvl>
    <w:lvl w:ilvl="7" w:tplc="04150019" w:tentative="1">
      <w:start w:val="1"/>
      <w:numFmt w:val="lowerLetter"/>
      <w:lvlText w:val="%8."/>
      <w:lvlJc w:val="left"/>
      <w:pPr>
        <w:ind w:left="5931" w:hanging="360"/>
      </w:pPr>
    </w:lvl>
    <w:lvl w:ilvl="8" w:tplc="0415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33" w15:restartNumberingAfterBreak="0">
    <w:nsid w:val="6B2A6FA3"/>
    <w:multiLevelType w:val="multilevel"/>
    <w:tmpl w:val="C204AE58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/>
        <w:b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6BDF1898"/>
    <w:multiLevelType w:val="hybridMultilevel"/>
    <w:tmpl w:val="4238D692"/>
    <w:lvl w:ilvl="0" w:tplc="9BF6B17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5B5D7D"/>
    <w:multiLevelType w:val="hybridMultilevel"/>
    <w:tmpl w:val="995CEC7A"/>
    <w:lvl w:ilvl="0" w:tplc="8DB60076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667AD2"/>
    <w:multiLevelType w:val="multilevel"/>
    <w:tmpl w:val="F57C5CF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/>
        <w:sz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sz w:val="22"/>
      </w:rPr>
    </w:lvl>
  </w:abstractNum>
  <w:abstractNum w:abstractNumId="37" w15:restartNumberingAfterBreak="0">
    <w:nsid w:val="7C907795"/>
    <w:multiLevelType w:val="hybridMultilevel"/>
    <w:tmpl w:val="0D2CCAD8"/>
    <w:lvl w:ilvl="0" w:tplc="18BA01B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EAAA02E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4A4875"/>
    <w:multiLevelType w:val="hybridMultilevel"/>
    <w:tmpl w:val="13DA0B1E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695335"/>
    <w:multiLevelType w:val="multilevel"/>
    <w:tmpl w:val="0A48BBE6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ED75C4C"/>
    <w:multiLevelType w:val="hybridMultilevel"/>
    <w:tmpl w:val="13DA0B1E"/>
    <w:lvl w:ilvl="0" w:tplc="936AE41A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9130403">
    <w:abstractNumId w:val="36"/>
  </w:num>
  <w:num w:numId="2" w16cid:durableId="1662539793">
    <w:abstractNumId w:val="9"/>
  </w:num>
  <w:num w:numId="3" w16cid:durableId="2032103429">
    <w:abstractNumId w:val="21"/>
  </w:num>
  <w:num w:numId="4" w16cid:durableId="206987847">
    <w:abstractNumId w:val="32"/>
  </w:num>
  <w:num w:numId="5" w16cid:durableId="969554744">
    <w:abstractNumId w:val="25"/>
  </w:num>
  <w:num w:numId="6" w16cid:durableId="277569964">
    <w:abstractNumId w:val="34"/>
  </w:num>
  <w:num w:numId="7" w16cid:durableId="2118016933">
    <w:abstractNumId w:val="19"/>
  </w:num>
  <w:num w:numId="8" w16cid:durableId="1422020360">
    <w:abstractNumId w:val="30"/>
  </w:num>
  <w:num w:numId="9" w16cid:durableId="336814060">
    <w:abstractNumId w:val="20"/>
  </w:num>
  <w:num w:numId="10" w16cid:durableId="1657222522">
    <w:abstractNumId w:val="29"/>
  </w:num>
  <w:num w:numId="11" w16cid:durableId="389037484">
    <w:abstractNumId w:val="18"/>
  </w:num>
  <w:num w:numId="12" w16cid:durableId="853688394">
    <w:abstractNumId w:val="6"/>
  </w:num>
  <w:num w:numId="13" w16cid:durableId="1611859416">
    <w:abstractNumId w:val="35"/>
  </w:num>
  <w:num w:numId="14" w16cid:durableId="1942760649">
    <w:abstractNumId w:val="24"/>
  </w:num>
  <w:num w:numId="15" w16cid:durableId="1403869261">
    <w:abstractNumId w:val="23"/>
  </w:num>
  <w:num w:numId="16" w16cid:durableId="1955167603">
    <w:abstractNumId w:val="12"/>
  </w:num>
  <w:num w:numId="17" w16cid:durableId="1828547436">
    <w:abstractNumId w:val="0"/>
  </w:num>
  <w:num w:numId="18" w16cid:durableId="1077172810">
    <w:abstractNumId w:val="26"/>
  </w:num>
  <w:num w:numId="19" w16cid:durableId="987519602">
    <w:abstractNumId w:val="3"/>
  </w:num>
  <w:num w:numId="20" w16cid:durableId="472217175">
    <w:abstractNumId w:val="2"/>
  </w:num>
  <w:num w:numId="21" w16cid:durableId="1193113260">
    <w:abstractNumId w:val="31"/>
  </w:num>
  <w:num w:numId="22" w16cid:durableId="988901344">
    <w:abstractNumId w:val="16"/>
  </w:num>
  <w:num w:numId="23" w16cid:durableId="1376195821">
    <w:abstractNumId w:val="4"/>
  </w:num>
  <w:num w:numId="24" w16cid:durableId="702051333">
    <w:abstractNumId w:val="37"/>
  </w:num>
  <w:num w:numId="25" w16cid:durableId="1052194277">
    <w:abstractNumId w:val="7"/>
  </w:num>
  <w:num w:numId="26" w16cid:durableId="589386087">
    <w:abstractNumId w:val="10"/>
  </w:num>
  <w:num w:numId="27" w16cid:durableId="2032803180">
    <w:abstractNumId w:val="14"/>
  </w:num>
  <w:num w:numId="28" w16cid:durableId="2118788720">
    <w:abstractNumId w:val="33"/>
  </w:num>
  <w:num w:numId="29" w16cid:durableId="1879707395">
    <w:abstractNumId w:val="28"/>
  </w:num>
  <w:num w:numId="30" w16cid:durableId="226847022">
    <w:abstractNumId w:val="40"/>
  </w:num>
  <w:num w:numId="31" w16cid:durableId="1784839790">
    <w:abstractNumId w:val="39"/>
  </w:num>
  <w:num w:numId="32" w16cid:durableId="322321304">
    <w:abstractNumId w:val="22"/>
  </w:num>
  <w:num w:numId="33" w16cid:durableId="1108356312">
    <w:abstractNumId w:val="26"/>
    <w:lvlOverride w:ilvl="0">
      <w:lvl w:ilvl="0">
        <w:start w:val="1"/>
        <w:numFmt w:val="decimal"/>
        <w:suff w:val="space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suff w:val="space"/>
        <w:lvlText w:val="%1.%2.%3.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4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800" w:hanging="1440"/>
        </w:pPr>
        <w:rPr>
          <w:rFonts w:hint="default"/>
        </w:rPr>
      </w:lvl>
    </w:lvlOverride>
  </w:num>
  <w:num w:numId="34" w16cid:durableId="1857384539">
    <w:abstractNumId w:val="38"/>
  </w:num>
  <w:num w:numId="35" w16cid:durableId="41056009">
    <w:abstractNumId w:val="11"/>
  </w:num>
  <w:num w:numId="36" w16cid:durableId="1329677864">
    <w:abstractNumId w:val="8"/>
  </w:num>
  <w:num w:numId="37" w16cid:durableId="722948622">
    <w:abstractNumId w:val="13"/>
  </w:num>
  <w:num w:numId="38" w16cid:durableId="492792992">
    <w:abstractNumId w:val="27"/>
  </w:num>
  <w:num w:numId="39" w16cid:durableId="1642953698">
    <w:abstractNumId w:val="5"/>
  </w:num>
  <w:num w:numId="40" w16cid:durableId="391151543">
    <w:abstractNumId w:val="15"/>
  </w:num>
  <w:num w:numId="41" w16cid:durableId="1238638824">
    <w:abstractNumId w:val="1"/>
  </w:num>
  <w:num w:numId="42" w16cid:durableId="453912728">
    <w:abstractNumId w:val="17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CEA"/>
    <w:rsid w:val="0000774E"/>
    <w:rsid w:val="00016E7D"/>
    <w:rsid w:val="0001743B"/>
    <w:rsid w:val="0002328C"/>
    <w:rsid w:val="00026323"/>
    <w:rsid w:val="0004348E"/>
    <w:rsid w:val="0004522F"/>
    <w:rsid w:val="00057345"/>
    <w:rsid w:val="00063493"/>
    <w:rsid w:val="0006667C"/>
    <w:rsid w:val="00071DE2"/>
    <w:rsid w:val="000754AD"/>
    <w:rsid w:val="00083D54"/>
    <w:rsid w:val="0008481F"/>
    <w:rsid w:val="000860BC"/>
    <w:rsid w:val="00090E05"/>
    <w:rsid w:val="00091FE7"/>
    <w:rsid w:val="00097CEA"/>
    <w:rsid w:val="000A14E1"/>
    <w:rsid w:val="000A3B50"/>
    <w:rsid w:val="000B54B9"/>
    <w:rsid w:val="000C26A5"/>
    <w:rsid w:val="000F34A8"/>
    <w:rsid w:val="00101A8D"/>
    <w:rsid w:val="00102D95"/>
    <w:rsid w:val="00105F86"/>
    <w:rsid w:val="001122F3"/>
    <w:rsid w:val="0012196A"/>
    <w:rsid w:val="00130D12"/>
    <w:rsid w:val="00133F4C"/>
    <w:rsid w:val="001372C9"/>
    <w:rsid w:val="001378F3"/>
    <w:rsid w:val="00143700"/>
    <w:rsid w:val="00151EB2"/>
    <w:rsid w:val="00164B87"/>
    <w:rsid w:val="00171A23"/>
    <w:rsid w:val="001763D3"/>
    <w:rsid w:val="001807E9"/>
    <w:rsid w:val="001823BC"/>
    <w:rsid w:val="00184FCE"/>
    <w:rsid w:val="001B1B22"/>
    <w:rsid w:val="001B56AA"/>
    <w:rsid w:val="001D2025"/>
    <w:rsid w:val="001D297C"/>
    <w:rsid w:val="001E75E2"/>
    <w:rsid w:val="001E7C9A"/>
    <w:rsid w:val="001F2F3D"/>
    <w:rsid w:val="001F319F"/>
    <w:rsid w:val="002026CD"/>
    <w:rsid w:val="00205A84"/>
    <w:rsid w:val="002103A9"/>
    <w:rsid w:val="00211ACB"/>
    <w:rsid w:val="00212A19"/>
    <w:rsid w:val="00213BFB"/>
    <w:rsid w:val="00222625"/>
    <w:rsid w:val="00230B01"/>
    <w:rsid w:val="00237709"/>
    <w:rsid w:val="0024115A"/>
    <w:rsid w:val="00242455"/>
    <w:rsid w:val="002540F9"/>
    <w:rsid w:val="00265957"/>
    <w:rsid w:val="002673C9"/>
    <w:rsid w:val="0027100C"/>
    <w:rsid w:val="00282981"/>
    <w:rsid w:val="00291924"/>
    <w:rsid w:val="002A253A"/>
    <w:rsid w:val="002A4ECE"/>
    <w:rsid w:val="002B3FE9"/>
    <w:rsid w:val="002C6734"/>
    <w:rsid w:val="002D4858"/>
    <w:rsid w:val="002D5B09"/>
    <w:rsid w:val="002E0408"/>
    <w:rsid w:val="002E31C9"/>
    <w:rsid w:val="002E31FF"/>
    <w:rsid w:val="002F15EF"/>
    <w:rsid w:val="003072DA"/>
    <w:rsid w:val="00320E06"/>
    <w:rsid w:val="00333F0F"/>
    <w:rsid w:val="003359C3"/>
    <w:rsid w:val="00336452"/>
    <w:rsid w:val="00344669"/>
    <w:rsid w:val="00351642"/>
    <w:rsid w:val="00353695"/>
    <w:rsid w:val="00367687"/>
    <w:rsid w:val="00392D9A"/>
    <w:rsid w:val="003A3258"/>
    <w:rsid w:val="003C53D3"/>
    <w:rsid w:val="003D7CCF"/>
    <w:rsid w:val="003E4C68"/>
    <w:rsid w:val="004003FF"/>
    <w:rsid w:val="00403769"/>
    <w:rsid w:val="00413AA5"/>
    <w:rsid w:val="0044017D"/>
    <w:rsid w:val="00440404"/>
    <w:rsid w:val="00450FF9"/>
    <w:rsid w:val="004605DF"/>
    <w:rsid w:val="00466B9D"/>
    <w:rsid w:val="004736A6"/>
    <w:rsid w:val="00475A61"/>
    <w:rsid w:val="00480C2E"/>
    <w:rsid w:val="004874D5"/>
    <w:rsid w:val="004A0A74"/>
    <w:rsid w:val="004B7DC8"/>
    <w:rsid w:val="004E48AB"/>
    <w:rsid w:val="004E554D"/>
    <w:rsid w:val="004F5F88"/>
    <w:rsid w:val="0050236E"/>
    <w:rsid w:val="00502DAD"/>
    <w:rsid w:val="00510D96"/>
    <w:rsid w:val="00511432"/>
    <w:rsid w:val="00514AA5"/>
    <w:rsid w:val="0052217A"/>
    <w:rsid w:val="00550329"/>
    <w:rsid w:val="00553F95"/>
    <w:rsid w:val="00570057"/>
    <w:rsid w:val="0057219F"/>
    <w:rsid w:val="005733DB"/>
    <w:rsid w:val="00586582"/>
    <w:rsid w:val="00587EC9"/>
    <w:rsid w:val="005C7F0A"/>
    <w:rsid w:val="005E2AE0"/>
    <w:rsid w:val="00604FC6"/>
    <w:rsid w:val="006078EC"/>
    <w:rsid w:val="00610377"/>
    <w:rsid w:val="006133BA"/>
    <w:rsid w:val="0061367F"/>
    <w:rsid w:val="0061787D"/>
    <w:rsid w:val="00626BA2"/>
    <w:rsid w:val="006301AC"/>
    <w:rsid w:val="006319DB"/>
    <w:rsid w:val="0063721C"/>
    <w:rsid w:val="0064051C"/>
    <w:rsid w:val="00642468"/>
    <w:rsid w:val="00647A32"/>
    <w:rsid w:val="006501FD"/>
    <w:rsid w:val="0066548C"/>
    <w:rsid w:val="00665AC7"/>
    <w:rsid w:val="00674B1A"/>
    <w:rsid w:val="00675B39"/>
    <w:rsid w:val="006778BC"/>
    <w:rsid w:val="0069662A"/>
    <w:rsid w:val="006977EB"/>
    <w:rsid w:val="006A08EF"/>
    <w:rsid w:val="006B21DC"/>
    <w:rsid w:val="006C3862"/>
    <w:rsid w:val="006D4329"/>
    <w:rsid w:val="006E1D5D"/>
    <w:rsid w:val="006E5693"/>
    <w:rsid w:val="006F4E84"/>
    <w:rsid w:val="00733B56"/>
    <w:rsid w:val="00735EC9"/>
    <w:rsid w:val="00776914"/>
    <w:rsid w:val="0079193D"/>
    <w:rsid w:val="007A41E4"/>
    <w:rsid w:val="007B7E5B"/>
    <w:rsid w:val="007C7350"/>
    <w:rsid w:val="00804B1A"/>
    <w:rsid w:val="008137BC"/>
    <w:rsid w:val="00827FCE"/>
    <w:rsid w:val="008301E3"/>
    <w:rsid w:val="00832928"/>
    <w:rsid w:val="0083577B"/>
    <w:rsid w:val="008474A1"/>
    <w:rsid w:val="00847A8D"/>
    <w:rsid w:val="008628A9"/>
    <w:rsid w:val="00863FA2"/>
    <w:rsid w:val="00874EB3"/>
    <w:rsid w:val="008D3D48"/>
    <w:rsid w:val="008D7754"/>
    <w:rsid w:val="008E35C6"/>
    <w:rsid w:val="008E3C9B"/>
    <w:rsid w:val="008E67C6"/>
    <w:rsid w:val="009032E5"/>
    <w:rsid w:val="00906740"/>
    <w:rsid w:val="00917DEF"/>
    <w:rsid w:val="00921383"/>
    <w:rsid w:val="0092492F"/>
    <w:rsid w:val="009265C2"/>
    <w:rsid w:val="009352B8"/>
    <w:rsid w:val="00937E84"/>
    <w:rsid w:val="009402EC"/>
    <w:rsid w:val="009434BE"/>
    <w:rsid w:val="00943F0D"/>
    <w:rsid w:val="009440F9"/>
    <w:rsid w:val="009520EF"/>
    <w:rsid w:val="0096094A"/>
    <w:rsid w:val="00966741"/>
    <w:rsid w:val="009815E4"/>
    <w:rsid w:val="00986B20"/>
    <w:rsid w:val="00990321"/>
    <w:rsid w:val="009A2A0C"/>
    <w:rsid w:val="009A4CE1"/>
    <w:rsid w:val="009A5CA2"/>
    <w:rsid w:val="009B1711"/>
    <w:rsid w:val="009B6E4C"/>
    <w:rsid w:val="009C3E5B"/>
    <w:rsid w:val="009C567B"/>
    <w:rsid w:val="009D37FB"/>
    <w:rsid w:val="009E5589"/>
    <w:rsid w:val="009F2000"/>
    <w:rsid w:val="009F2D70"/>
    <w:rsid w:val="00A16F5B"/>
    <w:rsid w:val="00A36C05"/>
    <w:rsid w:val="00A41066"/>
    <w:rsid w:val="00A44C44"/>
    <w:rsid w:val="00A45067"/>
    <w:rsid w:val="00A50EF9"/>
    <w:rsid w:val="00A704EC"/>
    <w:rsid w:val="00A72CE9"/>
    <w:rsid w:val="00A86A02"/>
    <w:rsid w:val="00A92F41"/>
    <w:rsid w:val="00A9435D"/>
    <w:rsid w:val="00AA423E"/>
    <w:rsid w:val="00AB0E0C"/>
    <w:rsid w:val="00AC0A47"/>
    <w:rsid w:val="00AC1C08"/>
    <w:rsid w:val="00AD07CA"/>
    <w:rsid w:val="00AE5D08"/>
    <w:rsid w:val="00AF268E"/>
    <w:rsid w:val="00AF2FCC"/>
    <w:rsid w:val="00B07645"/>
    <w:rsid w:val="00B346FE"/>
    <w:rsid w:val="00B42A57"/>
    <w:rsid w:val="00B47F02"/>
    <w:rsid w:val="00B5090C"/>
    <w:rsid w:val="00B61AC7"/>
    <w:rsid w:val="00B74261"/>
    <w:rsid w:val="00B750CC"/>
    <w:rsid w:val="00B83FC5"/>
    <w:rsid w:val="00B8422E"/>
    <w:rsid w:val="00B967BB"/>
    <w:rsid w:val="00BB2DB6"/>
    <w:rsid w:val="00BC029A"/>
    <w:rsid w:val="00BD08EF"/>
    <w:rsid w:val="00BD7F6C"/>
    <w:rsid w:val="00C02F73"/>
    <w:rsid w:val="00C123FF"/>
    <w:rsid w:val="00C138A1"/>
    <w:rsid w:val="00C166A1"/>
    <w:rsid w:val="00C21AF9"/>
    <w:rsid w:val="00C2669C"/>
    <w:rsid w:val="00C32310"/>
    <w:rsid w:val="00C33D4B"/>
    <w:rsid w:val="00C36BE5"/>
    <w:rsid w:val="00C45D55"/>
    <w:rsid w:val="00C53B9F"/>
    <w:rsid w:val="00C63FF0"/>
    <w:rsid w:val="00C64FB5"/>
    <w:rsid w:val="00C66DA9"/>
    <w:rsid w:val="00C70BA5"/>
    <w:rsid w:val="00C71295"/>
    <w:rsid w:val="00C74648"/>
    <w:rsid w:val="00C76D55"/>
    <w:rsid w:val="00C876D4"/>
    <w:rsid w:val="00CA1D97"/>
    <w:rsid w:val="00CB3FE8"/>
    <w:rsid w:val="00CB413C"/>
    <w:rsid w:val="00CC2361"/>
    <w:rsid w:val="00CC4E84"/>
    <w:rsid w:val="00CD3E38"/>
    <w:rsid w:val="00CD3F29"/>
    <w:rsid w:val="00CD5BB3"/>
    <w:rsid w:val="00CE74AD"/>
    <w:rsid w:val="00D11E58"/>
    <w:rsid w:val="00D17380"/>
    <w:rsid w:val="00D23D33"/>
    <w:rsid w:val="00D24802"/>
    <w:rsid w:val="00D3000F"/>
    <w:rsid w:val="00D40121"/>
    <w:rsid w:val="00D41DF5"/>
    <w:rsid w:val="00D56B8C"/>
    <w:rsid w:val="00D831D4"/>
    <w:rsid w:val="00D90491"/>
    <w:rsid w:val="00DA2CD9"/>
    <w:rsid w:val="00DA42F4"/>
    <w:rsid w:val="00DC135D"/>
    <w:rsid w:val="00DD04FC"/>
    <w:rsid w:val="00DE0DCF"/>
    <w:rsid w:val="00DE1992"/>
    <w:rsid w:val="00DE6C55"/>
    <w:rsid w:val="00E05816"/>
    <w:rsid w:val="00E21710"/>
    <w:rsid w:val="00E334B6"/>
    <w:rsid w:val="00E370B0"/>
    <w:rsid w:val="00E40EA2"/>
    <w:rsid w:val="00E45FC7"/>
    <w:rsid w:val="00E54496"/>
    <w:rsid w:val="00E65769"/>
    <w:rsid w:val="00E70753"/>
    <w:rsid w:val="00E76F51"/>
    <w:rsid w:val="00EA1DA5"/>
    <w:rsid w:val="00EA62AA"/>
    <w:rsid w:val="00EB75DF"/>
    <w:rsid w:val="00EC1C50"/>
    <w:rsid w:val="00EC6693"/>
    <w:rsid w:val="00EF3B83"/>
    <w:rsid w:val="00EF4B76"/>
    <w:rsid w:val="00EF71D4"/>
    <w:rsid w:val="00F20A3A"/>
    <w:rsid w:val="00F33D11"/>
    <w:rsid w:val="00F37C14"/>
    <w:rsid w:val="00F438F6"/>
    <w:rsid w:val="00F456D5"/>
    <w:rsid w:val="00F45ED6"/>
    <w:rsid w:val="00F52EB0"/>
    <w:rsid w:val="00F564E7"/>
    <w:rsid w:val="00F57FAD"/>
    <w:rsid w:val="00F621CC"/>
    <w:rsid w:val="00F664C0"/>
    <w:rsid w:val="00F67AA5"/>
    <w:rsid w:val="00F71E5E"/>
    <w:rsid w:val="00F866BC"/>
    <w:rsid w:val="00FA0578"/>
    <w:rsid w:val="00FA1D99"/>
    <w:rsid w:val="00FA40A3"/>
    <w:rsid w:val="00FA6765"/>
    <w:rsid w:val="00FB029C"/>
    <w:rsid w:val="00FB43FF"/>
    <w:rsid w:val="00FD18A1"/>
    <w:rsid w:val="00FD2B5C"/>
    <w:rsid w:val="00FE4A89"/>
    <w:rsid w:val="00FE53DE"/>
    <w:rsid w:val="00FF5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5154E7"/>
  <w15:docId w15:val="{C74BD1EA-D505-4FEC-8A02-3217923F6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97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97C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1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5E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DA5"/>
  </w:style>
  <w:style w:type="paragraph" w:styleId="Stopka">
    <w:name w:val="footer"/>
    <w:basedOn w:val="Normalny"/>
    <w:link w:val="StopkaZnak"/>
    <w:uiPriority w:val="99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DA5"/>
  </w:style>
  <w:style w:type="paragraph" w:styleId="Bezodstpw">
    <w:name w:val="No Spacing"/>
    <w:basedOn w:val="Normalny"/>
    <w:uiPriority w:val="1"/>
    <w:qFormat/>
    <w:rsid w:val="00090E05"/>
    <w:pPr>
      <w:autoSpaceDE w:val="0"/>
      <w:autoSpaceDN w:val="0"/>
      <w:adjustRightInd w:val="0"/>
      <w:spacing w:before="6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table" w:styleId="Jasnecieniowanie">
    <w:name w:val="Light Shading"/>
    <w:basedOn w:val="Standardowy"/>
    <w:uiPriority w:val="60"/>
    <w:rsid w:val="00090E05"/>
    <w:pPr>
      <w:spacing w:after="0" w:line="240" w:lineRule="auto"/>
    </w:pPr>
    <w:rPr>
      <w:rFonts w:ascii="Calibri" w:eastAsia="Calibri" w:hAnsi="Calibri" w:cs="Times New Roman"/>
      <w:color w:val="000000" w:themeColor="text1" w:themeShade="BF"/>
      <w:lang w:eastAsia="pl-PL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9A2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2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2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2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2A0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C23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52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7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2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D29EA-8D4B-406D-AB08-3771D9DFD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3653</Words>
  <Characters>21921</Characters>
  <Application>Microsoft Office Word</Application>
  <DocSecurity>0</DocSecurity>
  <Lines>182</Lines>
  <Paragraphs>51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Nowak Magdalena</dc:creator>
  <cp:lastModifiedBy>Bołzan Renata</cp:lastModifiedBy>
  <cp:revision>4</cp:revision>
  <cp:lastPrinted>2016-07-05T10:53:00Z</cp:lastPrinted>
  <dcterms:created xsi:type="dcterms:W3CDTF">2023-08-21T08:18:00Z</dcterms:created>
  <dcterms:modified xsi:type="dcterms:W3CDTF">2023-08-21T12:57:00Z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64d07c66befed355724354d432d8204c28ebf469c028f2d3cdfd13407400fe9a</vt:lpwstr>
  </property>
</Properties>
</file>