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203"/>
      </w:tblGrid>
      <w:tr w:rsidR="005A6A1E" w:rsidRPr="005A6A1E" w:rsidTr="005A6A1E">
        <w:trPr>
          <w:trHeight w:val="292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Informacja dodatkowa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I.</w:t>
            </w:r>
          </w:p>
        </w:tc>
        <w:tc>
          <w:tcPr>
            <w:tcW w:w="8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Wprowadzenie do sprawozdania finansowego, obejmuje w szczególności: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1.1.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nazwę jednostki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1.2.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siedzibę jednostki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1.3.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adres jednostki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1.4.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podstawowy przedmiot działalności jednostki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wskazanie okresu objętego sprawozdaniem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Pr="005A6A1E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01.01.2018-31.12.2018</w:t>
            </w: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wskazanie, że sprawozdanie finansowe zawiera dane łączne, jeżeli w skład jednostki nadrzędnej lub jednostki samorządu terytorialnego wchodzą jednostki sporządzające samodzielne sprawozdania finansowe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Pr="005A6A1E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Nie dotyczy</w:t>
            </w: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omówienie przyjętych zasad (polityki) rachunkowości, w tym metod wyceny aktywów i pasywów (także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amortyzacji)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F0" w:rsidRPr="00F920F0" w:rsidRDefault="00F920F0" w:rsidP="00F920F0">
            <w:pPr>
              <w:pStyle w:val="Tekstpodstawowy"/>
              <w:spacing w:before="0" w:line="240" w:lineRule="auto"/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 jednostce przyjęto następujące</w:t>
            </w:r>
            <w:r w:rsidRPr="00F920F0">
              <w:rPr>
                <w:color w:val="FF0000"/>
                <w:sz w:val="16"/>
                <w:szCs w:val="16"/>
              </w:rPr>
              <w:t xml:space="preserve"> metody wyceny aktywów i pasywów:</w:t>
            </w:r>
          </w:p>
          <w:tbl>
            <w:tblPr>
              <w:tblW w:w="6804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2268"/>
              <w:gridCol w:w="2551"/>
            </w:tblGrid>
            <w:tr w:rsidR="00F920F0" w:rsidRPr="00F920F0" w:rsidTr="008003D4">
              <w:tc>
                <w:tcPr>
                  <w:tcW w:w="19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jc w:val="center"/>
                    <w:rPr>
                      <w:b/>
                      <w:iCs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b/>
                      <w:iCs/>
                      <w:color w:val="FF0000"/>
                      <w:sz w:val="16"/>
                      <w:szCs w:val="16"/>
                    </w:rPr>
                    <w:t>Rodzaj aktywa/pasywa</w:t>
                  </w:r>
                </w:p>
              </w:tc>
              <w:tc>
                <w:tcPr>
                  <w:tcW w:w="22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920F0" w:rsidRPr="00F920F0" w:rsidRDefault="00F920F0" w:rsidP="00F920F0">
                  <w:pPr>
                    <w:pStyle w:val="Tekstpodstawowy"/>
                    <w:snapToGrid w:val="0"/>
                    <w:spacing w:before="0" w:line="240" w:lineRule="auto"/>
                    <w:jc w:val="center"/>
                    <w:rPr>
                      <w:b/>
                      <w:iCs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b/>
                      <w:iCs/>
                      <w:color w:val="FF0000"/>
                      <w:sz w:val="16"/>
                      <w:szCs w:val="16"/>
                    </w:rPr>
                    <w:t>Wycena na moment początkowego ujęcia w księgach rachunkowych</w:t>
                  </w:r>
                </w:p>
              </w:tc>
              <w:tc>
                <w:tcPr>
                  <w:tcW w:w="255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920F0" w:rsidRPr="00F920F0" w:rsidRDefault="00F920F0" w:rsidP="00F920F0">
                  <w:pPr>
                    <w:pStyle w:val="Tekstpodstawowy"/>
                    <w:snapToGrid w:val="0"/>
                    <w:spacing w:before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b/>
                      <w:iCs/>
                      <w:color w:val="FF0000"/>
                      <w:sz w:val="16"/>
                      <w:szCs w:val="16"/>
                    </w:rPr>
                    <w:t>Wycena na dzień bilansowy</w:t>
                  </w:r>
                </w:p>
              </w:tc>
            </w:tr>
            <w:tr w:rsidR="00F920F0" w:rsidRPr="00F920F0" w:rsidTr="008003D4">
              <w:tc>
                <w:tcPr>
                  <w:tcW w:w="19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 xml:space="preserve">Środki trwałe i wartości niematerialne i prawne: nabyte, otrzymane nieodpłatnie </w:t>
                  </w:r>
                </w:p>
              </w:tc>
              <w:tc>
                <w:tcPr>
                  <w:tcW w:w="22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 xml:space="preserve">Polega na wycenie </w:t>
                  </w:r>
                </w:p>
                <w:p w:rsidR="00F920F0" w:rsidRPr="00F920F0" w:rsidRDefault="00F920F0" w:rsidP="00F920F0">
                  <w:pPr>
                    <w:pStyle w:val="Tretabeli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według: - ceny nabycia, na podstawie decyzji właściwego organu w wartości określonej w tej decyzji</w:t>
                  </w:r>
                </w:p>
              </w:tc>
              <w:tc>
                <w:tcPr>
                  <w:tcW w:w="25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w bilansie pomniejszone o odpisy amortyzacyjne lub umorzeniowe, a także o odpisy z tytułu trwałej utraty wartości</w:t>
                  </w:r>
                </w:p>
              </w:tc>
            </w:tr>
            <w:tr w:rsidR="00F920F0" w:rsidRPr="00F920F0" w:rsidTr="008003D4">
              <w:tc>
                <w:tcPr>
                  <w:tcW w:w="19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Środki trwałe w budowie</w:t>
                  </w:r>
                </w:p>
              </w:tc>
              <w:tc>
                <w:tcPr>
                  <w:tcW w:w="22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w wysokości ogółu kosztów pozostających w bezpośrednim związku z ich nabyciem lub wytworzeniem.</w:t>
                  </w:r>
                </w:p>
              </w:tc>
              <w:tc>
                <w:tcPr>
                  <w:tcW w:w="25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w bilansie pomniejszonych o odpisy z tytułu trwałej utraty wartości</w:t>
                  </w:r>
                </w:p>
              </w:tc>
            </w:tr>
            <w:tr w:rsidR="00F920F0" w:rsidRPr="00F920F0" w:rsidTr="008003D4">
              <w:tc>
                <w:tcPr>
                  <w:tcW w:w="19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Rzeczowe składniki aktywów obrotowych</w:t>
                  </w:r>
                </w:p>
              </w:tc>
              <w:tc>
                <w:tcPr>
                  <w:tcW w:w="22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według cen nabycia</w:t>
                  </w:r>
                </w:p>
              </w:tc>
              <w:tc>
                <w:tcPr>
                  <w:tcW w:w="25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w bilansie nie wyższych od cen ich sprzedaży netto</w:t>
                  </w:r>
                </w:p>
              </w:tc>
            </w:tr>
            <w:tr w:rsidR="00F920F0" w:rsidRPr="00F920F0" w:rsidTr="008003D4">
              <w:tc>
                <w:tcPr>
                  <w:tcW w:w="19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Materiały (w tym zbiory biblioteczne)</w:t>
                  </w:r>
                </w:p>
              </w:tc>
              <w:tc>
                <w:tcPr>
                  <w:tcW w:w="22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w cenach nabycia</w:t>
                  </w:r>
                </w:p>
              </w:tc>
              <w:tc>
                <w:tcPr>
                  <w:tcW w:w="25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w bilansie nie wyższych od cen ich sprzedaży netto</w:t>
                  </w:r>
                </w:p>
              </w:tc>
            </w:tr>
            <w:tr w:rsidR="00F920F0" w:rsidRPr="00F920F0" w:rsidTr="008003D4">
              <w:trPr>
                <w:trHeight w:val="546"/>
              </w:trPr>
              <w:tc>
                <w:tcPr>
                  <w:tcW w:w="19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Należności</w:t>
                  </w:r>
                </w:p>
              </w:tc>
              <w:tc>
                <w:tcPr>
                  <w:tcW w:w="22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według wartości nominalnej</w:t>
                  </w:r>
                </w:p>
              </w:tc>
              <w:tc>
                <w:tcPr>
                  <w:tcW w:w="25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w bilansie w kwocie wymaganej zapłaty, z zachowaniem ostrożności, po uwzględnieniu odpisu aktualizującego należności</w:t>
                  </w:r>
                </w:p>
              </w:tc>
            </w:tr>
            <w:tr w:rsidR="00F920F0" w:rsidRPr="00F920F0" w:rsidTr="008003D4">
              <w:trPr>
                <w:trHeight w:val="224"/>
              </w:trPr>
              <w:tc>
                <w:tcPr>
                  <w:tcW w:w="19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Zobowiązania</w:t>
                  </w:r>
                </w:p>
              </w:tc>
              <w:tc>
                <w:tcPr>
                  <w:tcW w:w="22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według wartości nominalnej</w:t>
                  </w:r>
                </w:p>
              </w:tc>
              <w:tc>
                <w:tcPr>
                  <w:tcW w:w="25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w bilansie w kwocie wymagającej zapłaty,</w:t>
                  </w:r>
                </w:p>
              </w:tc>
            </w:tr>
            <w:tr w:rsidR="00F920F0" w:rsidRPr="00F920F0" w:rsidTr="008003D4">
              <w:trPr>
                <w:trHeight w:val="82"/>
              </w:trPr>
              <w:tc>
                <w:tcPr>
                  <w:tcW w:w="19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Rezerwy</w:t>
                  </w:r>
                </w:p>
              </w:tc>
              <w:tc>
                <w:tcPr>
                  <w:tcW w:w="22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w uzasadnionej, wiarygodnie oszacowanej wartości</w:t>
                  </w:r>
                </w:p>
              </w:tc>
              <w:tc>
                <w:tcPr>
                  <w:tcW w:w="25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w uzasadnionej, wiarygodnie oszacowanej wartości</w:t>
                  </w:r>
                </w:p>
              </w:tc>
            </w:tr>
            <w:tr w:rsidR="00F920F0" w:rsidRPr="00F920F0" w:rsidTr="008003D4">
              <w:tc>
                <w:tcPr>
                  <w:tcW w:w="19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pStyle w:val="Tretabeli"/>
                    <w:snapToGrid w:val="0"/>
                    <w:rPr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color w:val="FF0000"/>
                      <w:sz w:val="16"/>
                      <w:szCs w:val="16"/>
                    </w:rPr>
                    <w:t>Fundusz  oraz pozostałe aktywa i pasywa</w:t>
                  </w:r>
                </w:p>
              </w:tc>
              <w:tc>
                <w:tcPr>
                  <w:tcW w:w="22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w wartości nominalnej</w:t>
                  </w:r>
                </w:p>
              </w:tc>
              <w:tc>
                <w:tcPr>
                  <w:tcW w:w="25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920F0" w:rsidRPr="00F920F0" w:rsidRDefault="00F920F0" w:rsidP="00F920F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F920F0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w wartości nominalnej</w:t>
                  </w:r>
                </w:p>
              </w:tc>
            </w:tr>
          </w:tbl>
          <w:p w:rsidR="00F920F0" w:rsidRPr="00F920F0" w:rsidRDefault="00F920F0" w:rsidP="00F920F0">
            <w:pPr>
              <w:pStyle w:val="Tekstpodstawowy"/>
              <w:numPr>
                <w:ilvl w:val="0"/>
                <w:numId w:val="3"/>
              </w:numPr>
              <w:spacing w:before="0" w:line="240" w:lineRule="auto"/>
              <w:ind w:left="213" w:hanging="213"/>
              <w:rPr>
                <w:color w:val="FF0000"/>
                <w:sz w:val="16"/>
                <w:szCs w:val="16"/>
              </w:rPr>
            </w:pPr>
            <w:r w:rsidRPr="00F920F0">
              <w:rPr>
                <w:color w:val="FF0000"/>
                <w:sz w:val="16"/>
                <w:szCs w:val="16"/>
              </w:rPr>
              <w:t>należności i zobowiązania oraz inne składniki aktywów i pasywów wyrażone w walutach obcych wycenia się nie później niż na koniec kwartału, według zasad obowiązujących na dzień bilansowy.</w:t>
            </w:r>
          </w:p>
          <w:p w:rsidR="00F920F0" w:rsidRPr="00F920F0" w:rsidRDefault="00F920F0" w:rsidP="00F920F0">
            <w:pPr>
              <w:pStyle w:val="Tekstpodstawowy"/>
              <w:numPr>
                <w:ilvl w:val="0"/>
                <w:numId w:val="3"/>
              </w:numPr>
              <w:spacing w:before="0" w:line="240" w:lineRule="auto"/>
              <w:ind w:left="213" w:hanging="213"/>
              <w:rPr>
                <w:color w:val="FF0000"/>
                <w:sz w:val="16"/>
                <w:szCs w:val="16"/>
              </w:rPr>
            </w:pPr>
            <w:r w:rsidRPr="00F920F0">
              <w:rPr>
                <w:color w:val="FF0000"/>
                <w:sz w:val="16"/>
                <w:szCs w:val="16"/>
              </w:rPr>
              <w:t>amortyzacja środków trwałych powyżej 10.000 zł dokonywana jest metodą liniową, poprzez jednorazowy roczny odpis amortyzacyjny. Odpisy dokonuje się od miesiąca następnego po przyjęciu do używania środka trwałego.</w:t>
            </w:r>
          </w:p>
          <w:p w:rsidR="00F920F0" w:rsidRPr="00F920F0" w:rsidRDefault="00F920F0" w:rsidP="00F920F0">
            <w:pPr>
              <w:pStyle w:val="Tekstpodstawowy"/>
              <w:numPr>
                <w:ilvl w:val="0"/>
                <w:numId w:val="3"/>
              </w:numPr>
              <w:spacing w:before="0" w:line="240" w:lineRule="auto"/>
              <w:ind w:left="213" w:hanging="213"/>
              <w:rPr>
                <w:color w:val="FF0000"/>
                <w:sz w:val="16"/>
                <w:szCs w:val="16"/>
              </w:rPr>
            </w:pPr>
            <w:r w:rsidRPr="00F920F0">
              <w:rPr>
                <w:color w:val="FF0000"/>
                <w:sz w:val="16"/>
                <w:szCs w:val="16"/>
              </w:rPr>
              <w:t>jednorazowo, przez spisanie w koszty w miesiącu przyjęcia do używania umarzane są:</w:t>
            </w:r>
          </w:p>
          <w:p w:rsidR="00F920F0" w:rsidRPr="00F920F0" w:rsidRDefault="00F920F0" w:rsidP="00F920F0">
            <w:pPr>
              <w:pStyle w:val="Tekstpodstawowy"/>
              <w:numPr>
                <w:ilvl w:val="1"/>
                <w:numId w:val="1"/>
              </w:numPr>
              <w:spacing w:before="0" w:line="240" w:lineRule="auto"/>
              <w:rPr>
                <w:color w:val="FF0000"/>
                <w:sz w:val="16"/>
                <w:szCs w:val="16"/>
              </w:rPr>
            </w:pPr>
            <w:r w:rsidRPr="00F920F0">
              <w:rPr>
                <w:color w:val="FF0000"/>
                <w:sz w:val="16"/>
                <w:szCs w:val="16"/>
              </w:rPr>
              <w:t xml:space="preserve">książki i inne zbiory biblioteczne; </w:t>
            </w:r>
          </w:p>
          <w:p w:rsidR="00F920F0" w:rsidRPr="00F920F0" w:rsidRDefault="00F920F0" w:rsidP="00F920F0">
            <w:pPr>
              <w:pStyle w:val="Tekstpodstawowy"/>
              <w:numPr>
                <w:ilvl w:val="1"/>
                <w:numId w:val="1"/>
              </w:numPr>
              <w:spacing w:before="0" w:line="240" w:lineRule="auto"/>
              <w:rPr>
                <w:color w:val="FF0000"/>
                <w:sz w:val="16"/>
                <w:szCs w:val="16"/>
              </w:rPr>
            </w:pPr>
            <w:r w:rsidRPr="00F920F0">
              <w:rPr>
                <w:color w:val="FF0000"/>
                <w:sz w:val="16"/>
                <w:szCs w:val="16"/>
              </w:rPr>
              <w:t>odzież;</w:t>
            </w:r>
          </w:p>
          <w:p w:rsidR="00F920F0" w:rsidRPr="00F920F0" w:rsidRDefault="00F920F0" w:rsidP="00F920F0">
            <w:pPr>
              <w:pStyle w:val="Tekstpodstawowy"/>
              <w:numPr>
                <w:ilvl w:val="1"/>
                <w:numId w:val="1"/>
              </w:numPr>
              <w:spacing w:before="0" w:line="240" w:lineRule="auto"/>
              <w:rPr>
                <w:color w:val="FF0000"/>
                <w:sz w:val="16"/>
                <w:szCs w:val="16"/>
              </w:rPr>
            </w:pPr>
            <w:r w:rsidRPr="00F920F0">
              <w:rPr>
                <w:color w:val="FF0000"/>
                <w:sz w:val="16"/>
                <w:szCs w:val="16"/>
              </w:rPr>
              <w:lastRenderedPageBreak/>
              <w:t xml:space="preserve">meble i dywany; </w:t>
            </w:r>
          </w:p>
          <w:p w:rsidR="00F920F0" w:rsidRPr="00F920F0" w:rsidRDefault="00F920F0" w:rsidP="00F920F0">
            <w:pPr>
              <w:pStyle w:val="Tekstpodstawowy"/>
              <w:numPr>
                <w:ilvl w:val="1"/>
                <w:numId w:val="1"/>
              </w:numPr>
              <w:spacing w:before="0" w:line="240" w:lineRule="auto"/>
              <w:rPr>
                <w:color w:val="FF0000"/>
                <w:sz w:val="16"/>
                <w:szCs w:val="16"/>
              </w:rPr>
            </w:pPr>
            <w:r w:rsidRPr="00F920F0">
              <w:rPr>
                <w:color w:val="FF0000"/>
                <w:sz w:val="16"/>
                <w:szCs w:val="16"/>
              </w:rPr>
              <w:t>pomoce dydaktyczne;</w:t>
            </w:r>
          </w:p>
          <w:p w:rsidR="00F920F0" w:rsidRPr="00F920F0" w:rsidRDefault="00F920F0" w:rsidP="00F920F0">
            <w:pPr>
              <w:pStyle w:val="Tekstpodstawowy"/>
              <w:numPr>
                <w:ilvl w:val="1"/>
                <w:numId w:val="1"/>
              </w:numPr>
              <w:spacing w:line="240" w:lineRule="auto"/>
              <w:rPr>
                <w:color w:val="FF0000"/>
                <w:sz w:val="16"/>
                <w:szCs w:val="16"/>
              </w:rPr>
            </w:pPr>
            <w:r w:rsidRPr="00F920F0">
              <w:rPr>
                <w:color w:val="FF0000"/>
                <w:sz w:val="16"/>
                <w:szCs w:val="16"/>
              </w:rPr>
              <w:t>pozostałe środki trwałe oraz wartości niematerialne i prawne o wartości nieprzekraczającej wielkości ustalonej w przepisach o podatku dochodowym od osób prawnych, dla których odpisy amortyzacyjne są uznawane za koszt uzyskania przychodu w 100% ich wartości, w momencie oddania do używania.</w:t>
            </w:r>
          </w:p>
          <w:p w:rsidR="00F920F0" w:rsidRPr="00F920F0" w:rsidRDefault="00F920F0" w:rsidP="005A6A1E">
            <w:pPr>
              <w:pStyle w:val="Tekstpodstawowy"/>
              <w:numPr>
                <w:ilvl w:val="0"/>
                <w:numId w:val="3"/>
              </w:numPr>
              <w:spacing w:line="240" w:lineRule="auto"/>
              <w:ind w:left="213" w:hanging="213"/>
              <w:rPr>
                <w:color w:val="FF0000"/>
                <w:sz w:val="16"/>
                <w:szCs w:val="16"/>
              </w:rPr>
            </w:pPr>
            <w:r w:rsidRPr="00F920F0">
              <w:rPr>
                <w:color w:val="FF0000"/>
                <w:sz w:val="16"/>
                <w:szCs w:val="16"/>
              </w:rPr>
              <w:t>nie umarza się gruntów oraz dóbr kultury.</w:t>
            </w:r>
            <w:r w:rsidR="005A6A1E" w:rsidRPr="00F920F0">
              <w:rPr>
                <w:rFonts w:ascii="Calibri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5.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inne informacje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F920F0" w:rsidRPr="00F920F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Wzajemne rozliczenia między jednostkami</w:t>
            </w:r>
            <w:bookmarkStart w:id="0" w:name="_GoBack"/>
            <w:bookmarkEnd w:id="0"/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II.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Dodatkowe informacje i objaśnienia obejmują w szczególności: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A6A1E" w:rsidRPr="005A6A1E" w:rsidTr="005A6A1E">
        <w:trPr>
          <w:trHeight w:val="145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1.1.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</w:t>
            </w: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br/>
              <w:t>– podobne przedstawienie stanów i tytułów zmian dotychczasowej amortyzacji lub umorzenia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27"/>
              <w:gridCol w:w="1274"/>
              <w:gridCol w:w="1130"/>
              <w:gridCol w:w="1130"/>
              <w:gridCol w:w="1130"/>
              <w:gridCol w:w="1130"/>
              <w:gridCol w:w="1132"/>
            </w:tblGrid>
            <w:tr w:rsidR="00851CD8" w:rsidRPr="00C16284" w:rsidTr="00851CD8">
              <w:tc>
                <w:tcPr>
                  <w:tcW w:w="1127" w:type="dxa"/>
                  <w:vAlign w:val="center"/>
                </w:tcPr>
                <w:p w:rsidR="00851CD8" w:rsidRPr="00851CD8" w:rsidRDefault="00851CD8" w:rsidP="00F920F0">
                  <w:pPr>
                    <w:jc w:val="center"/>
                    <w:rPr>
                      <w:color w:val="FF0000"/>
                      <w:sz w:val="12"/>
                    </w:rPr>
                  </w:pPr>
                  <w:r w:rsidRPr="00851CD8">
                    <w:rPr>
                      <w:color w:val="FF0000"/>
                      <w:sz w:val="12"/>
                    </w:rPr>
                    <w:t>konto</w:t>
                  </w:r>
                </w:p>
              </w:tc>
              <w:tc>
                <w:tcPr>
                  <w:tcW w:w="1274" w:type="dxa"/>
                  <w:vAlign w:val="center"/>
                </w:tcPr>
                <w:p w:rsidR="00851CD8" w:rsidRPr="00851CD8" w:rsidRDefault="00851CD8" w:rsidP="00F920F0">
                  <w:pPr>
                    <w:jc w:val="center"/>
                    <w:rPr>
                      <w:color w:val="FF0000"/>
                      <w:sz w:val="12"/>
                    </w:rPr>
                  </w:pPr>
                  <w:r w:rsidRPr="00851CD8">
                    <w:rPr>
                      <w:color w:val="FF0000"/>
                      <w:sz w:val="12"/>
                    </w:rPr>
                    <w:t>Saldo na dzień 01.01.2018</w:t>
                  </w: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jc w:val="center"/>
                    <w:rPr>
                      <w:color w:val="FF0000"/>
                      <w:sz w:val="12"/>
                    </w:rPr>
                  </w:pPr>
                  <w:r w:rsidRPr="00851CD8">
                    <w:rPr>
                      <w:color w:val="FF0000"/>
                      <w:sz w:val="12"/>
                    </w:rPr>
                    <w:t>zakup</w:t>
                  </w: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jc w:val="center"/>
                    <w:rPr>
                      <w:color w:val="FF0000"/>
                      <w:sz w:val="12"/>
                    </w:rPr>
                  </w:pPr>
                  <w:r w:rsidRPr="00851CD8">
                    <w:rPr>
                      <w:color w:val="FF0000"/>
                      <w:sz w:val="12"/>
                    </w:rPr>
                    <w:t>aktualizacja</w:t>
                  </w: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jc w:val="center"/>
                    <w:rPr>
                      <w:color w:val="FF0000"/>
                      <w:sz w:val="12"/>
                    </w:rPr>
                  </w:pPr>
                  <w:r w:rsidRPr="00851CD8">
                    <w:rPr>
                      <w:color w:val="FF0000"/>
                      <w:sz w:val="12"/>
                    </w:rPr>
                    <w:t>zbycie</w:t>
                  </w: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jc w:val="center"/>
                    <w:rPr>
                      <w:color w:val="FF0000"/>
                      <w:sz w:val="12"/>
                    </w:rPr>
                  </w:pPr>
                  <w:r w:rsidRPr="00851CD8">
                    <w:rPr>
                      <w:color w:val="FF0000"/>
                      <w:sz w:val="12"/>
                    </w:rPr>
                    <w:t>likwidacja</w:t>
                  </w:r>
                </w:p>
              </w:tc>
              <w:tc>
                <w:tcPr>
                  <w:tcW w:w="1132" w:type="dxa"/>
                  <w:vAlign w:val="center"/>
                </w:tcPr>
                <w:p w:rsidR="00851CD8" w:rsidRPr="00851CD8" w:rsidRDefault="00851CD8" w:rsidP="00F920F0">
                  <w:pPr>
                    <w:jc w:val="center"/>
                    <w:rPr>
                      <w:color w:val="FF0000"/>
                      <w:sz w:val="12"/>
                    </w:rPr>
                  </w:pPr>
                  <w:r w:rsidRPr="00851CD8">
                    <w:rPr>
                      <w:color w:val="FF0000"/>
                      <w:sz w:val="12"/>
                    </w:rPr>
                    <w:t>Saldo na dzień 31.12.2018</w:t>
                  </w:r>
                </w:p>
              </w:tc>
            </w:tr>
            <w:tr w:rsidR="00851CD8" w:rsidTr="00851CD8">
              <w:tc>
                <w:tcPr>
                  <w:tcW w:w="1127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  <w:r w:rsidRPr="00851CD8">
                    <w:rPr>
                      <w:color w:val="FF0000"/>
                    </w:rPr>
                    <w:t>011</w:t>
                  </w:r>
                </w:p>
              </w:tc>
              <w:tc>
                <w:tcPr>
                  <w:tcW w:w="1274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2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</w:tr>
            <w:tr w:rsidR="00851CD8" w:rsidTr="00851CD8">
              <w:tc>
                <w:tcPr>
                  <w:tcW w:w="1127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  <w:r w:rsidRPr="00851CD8">
                    <w:rPr>
                      <w:color w:val="FF0000"/>
                    </w:rPr>
                    <w:t>013</w:t>
                  </w:r>
                </w:p>
              </w:tc>
              <w:tc>
                <w:tcPr>
                  <w:tcW w:w="1274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2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</w:tr>
            <w:tr w:rsidR="00851CD8" w:rsidTr="00851CD8">
              <w:tc>
                <w:tcPr>
                  <w:tcW w:w="1127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  <w:r w:rsidRPr="00851CD8">
                    <w:rPr>
                      <w:color w:val="FF0000"/>
                    </w:rPr>
                    <w:t>014</w:t>
                  </w:r>
                </w:p>
              </w:tc>
              <w:tc>
                <w:tcPr>
                  <w:tcW w:w="1274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2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</w:tr>
            <w:tr w:rsidR="00851CD8" w:rsidTr="00851CD8">
              <w:tc>
                <w:tcPr>
                  <w:tcW w:w="1127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  <w:r w:rsidRPr="00851CD8">
                    <w:rPr>
                      <w:color w:val="FF0000"/>
                    </w:rPr>
                    <w:t>016</w:t>
                  </w:r>
                </w:p>
              </w:tc>
              <w:tc>
                <w:tcPr>
                  <w:tcW w:w="1274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2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</w:tr>
            <w:tr w:rsidR="00851CD8" w:rsidTr="00851CD8">
              <w:tc>
                <w:tcPr>
                  <w:tcW w:w="1127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  <w:r w:rsidRPr="00851CD8">
                    <w:rPr>
                      <w:color w:val="FF0000"/>
                    </w:rPr>
                    <w:t>017</w:t>
                  </w:r>
                </w:p>
              </w:tc>
              <w:tc>
                <w:tcPr>
                  <w:tcW w:w="1274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2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</w:tr>
            <w:tr w:rsidR="00851CD8" w:rsidTr="00851CD8">
              <w:tc>
                <w:tcPr>
                  <w:tcW w:w="1127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  <w:r w:rsidRPr="00851CD8">
                    <w:rPr>
                      <w:color w:val="FF0000"/>
                    </w:rPr>
                    <w:t>020</w:t>
                  </w:r>
                </w:p>
              </w:tc>
              <w:tc>
                <w:tcPr>
                  <w:tcW w:w="1274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2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</w:tr>
            <w:tr w:rsidR="00851CD8" w:rsidTr="00851CD8">
              <w:tc>
                <w:tcPr>
                  <w:tcW w:w="1127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  <w:r w:rsidRPr="00851CD8">
                    <w:rPr>
                      <w:color w:val="FF0000"/>
                    </w:rPr>
                    <w:t>071</w:t>
                  </w:r>
                </w:p>
              </w:tc>
              <w:tc>
                <w:tcPr>
                  <w:tcW w:w="1274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2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</w:tr>
            <w:tr w:rsidR="00851CD8" w:rsidTr="00851CD8">
              <w:tc>
                <w:tcPr>
                  <w:tcW w:w="1127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  <w:r w:rsidRPr="00851CD8">
                    <w:rPr>
                      <w:color w:val="FF0000"/>
                    </w:rPr>
                    <w:t>072</w:t>
                  </w:r>
                </w:p>
              </w:tc>
              <w:tc>
                <w:tcPr>
                  <w:tcW w:w="1274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2" w:type="dxa"/>
                </w:tcPr>
                <w:p w:rsidR="00851CD8" w:rsidRPr="00851CD8" w:rsidRDefault="00851CD8" w:rsidP="00F920F0">
                  <w:pPr>
                    <w:rPr>
                      <w:color w:val="FF0000"/>
                    </w:rPr>
                  </w:pPr>
                </w:p>
              </w:tc>
            </w:tr>
          </w:tbl>
          <w:p w:rsidR="00F920F0" w:rsidRPr="005A6A1E" w:rsidRDefault="00F920F0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1.2.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aktualną wartość rynkową środków trwałych, w tym dóbr kultury – o ile jednostka dysponuje takimi informacjami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E0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 xml:space="preserve">Dane z </w:t>
            </w:r>
            <w:r w:rsidR="00E06742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polis lub nie dotyczy</w:t>
            </w: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1.3.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kwotę dokonanych w trakcie roku obrotowego odpisów aktualizujących wartość aktywów trwałych odrębnie dla długoterminowych aktywów niefinansowych oraz długoterminowych aktywów finansowych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851CD8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Nie dotyczy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1.4.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wartość gruntów użytkowanych wieczyście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Nie dotyczy</w:t>
            </w:r>
            <w:r w:rsid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 xml:space="preserve"> – chyba, że jednostka jest w posiadaniu wieczystego użytkowania określonego umową na podstawie k.c.</w:t>
            </w: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1.5.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wartość nieamortyzowanych lub nieumarzanych przez jednostkę środków trwałych, używanych na podstawie umów najmu, dzierżawy i innych umów, w tym z tytułu umów leasingu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Np.</w:t>
            </w:r>
            <w:r w:rsid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 xml:space="preserve"> 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ksero</w:t>
            </w: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1.6.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liczbę oraz wartość posiadanych papierów wartościowych, w tym akcji i udziałów oraz dłużnych papierów wartościowych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Nie dotyczy</w:t>
            </w:r>
          </w:p>
        </w:tc>
      </w:tr>
      <w:tr w:rsidR="005A6A1E" w:rsidRPr="005A6A1E" w:rsidTr="005A6A1E">
        <w:trPr>
          <w:trHeight w:val="8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1.7.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dane o odpisach aktualizujących wartość należności, ze wskazaniem stanu na początek roku obrotowego, zwiększeniach, wykorzystaniu, rozwiązaniu i stanie na koniec roku obrotowego, z uwzględnieniem </w:t>
            </w: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należności finansowych jednostek samorządu terytorialnego (stan pożyczek zagrożonych)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</w:t>
            </w:r>
            <w:r w:rsid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Konto 290</w:t>
            </w:r>
            <w:r w:rsidR="00E06742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 xml:space="preserve"> lub nie dotyczy</w:t>
            </w: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1.8.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dane o stanie rezerw według celu ich utworzenia na początek roku obrotowego, zwiększeniach, wykorzystaniu, rozwiązaniu i stanie końcowym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Nie dotyczy</w:t>
            </w: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1.9.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podział zobowiązań długoterminowych według pozycji bilansu o pozostałym od dnia bilansowego,</w:t>
            </w: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br/>
              <w:t xml:space="preserve">przewidywanym umową lub wynikającym z innego tytułu prawnego, okresie spłaty: 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a)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powyżej 1 roku do 3 lat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Nie dotyczy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b)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powyżej 3 do 5 lat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Nie dotyczy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c)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powyżej 5 lat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Nie dotyczy</w:t>
            </w:r>
          </w:p>
        </w:tc>
      </w:tr>
      <w:tr w:rsidR="005A6A1E" w:rsidRPr="005A6A1E" w:rsidTr="005A6A1E">
        <w:trPr>
          <w:trHeight w:val="8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1.10.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Nie dotyczy</w:t>
            </w: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1.11.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łączną kwotę zobowiązań zabezpieczonych na majątku jednostki ze wskazaniem charakteru i formy tych zabezpieczeń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Nie dotyczy</w:t>
            </w:r>
          </w:p>
        </w:tc>
      </w:tr>
      <w:tr w:rsidR="005A6A1E" w:rsidRPr="005A6A1E" w:rsidTr="005A6A1E">
        <w:trPr>
          <w:trHeight w:val="8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1.12.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Nie dotyczy</w:t>
            </w:r>
          </w:p>
        </w:tc>
      </w:tr>
      <w:tr w:rsidR="005A6A1E" w:rsidRPr="005A6A1E" w:rsidTr="005A6A1E">
        <w:trPr>
          <w:trHeight w:val="8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1.13.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51CD8" w:rsidRPr="00851C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Nie dotyczy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1.14.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łączną kwotę otrzymanych przez jednostkę gwarancji i poręczeń niewykazanych w bilansie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938BB" w:rsidRPr="008938B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Nie dotyczy chyba, że ktoś posiada takie gwarancje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1.15.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kwotę wypłaconych środków pieniężnych na świadczenia pracownicze                                                                      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8938BB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938BB" w:rsidRPr="008938B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Wynikające z regulaminu wynagradzania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1701"/>
            </w:tblGrid>
            <w:tr w:rsidR="008938BB" w:rsidRPr="00C16284" w:rsidTr="008938BB">
              <w:tc>
                <w:tcPr>
                  <w:tcW w:w="2900" w:type="dxa"/>
                  <w:vAlign w:val="center"/>
                </w:tcPr>
                <w:p w:rsidR="008938BB" w:rsidRPr="00C16284" w:rsidRDefault="008938BB" w:rsidP="008938BB">
                  <w:pPr>
                    <w:jc w:val="center"/>
                    <w:rPr>
                      <w:sz w:val="12"/>
                    </w:rPr>
                  </w:pPr>
                  <w:r w:rsidRPr="008938BB">
                    <w:rPr>
                      <w:color w:val="FF0000"/>
                      <w:sz w:val="16"/>
                    </w:rPr>
                    <w:t>Suma pozycji 1-5</w:t>
                  </w:r>
                </w:p>
              </w:tc>
              <w:tc>
                <w:tcPr>
                  <w:tcW w:w="1701" w:type="dxa"/>
                  <w:vAlign w:val="center"/>
                </w:tcPr>
                <w:p w:rsidR="008938BB" w:rsidRDefault="008938BB" w:rsidP="008938BB">
                  <w:pPr>
                    <w:jc w:val="center"/>
                    <w:rPr>
                      <w:sz w:val="12"/>
                    </w:rPr>
                  </w:pPr>
                </w:p>
                <w:p w:rsidR="008938BB" w:rsidRPr="00C16284" w:rsidRDefault="008938BB" w:rsidP="008938BB">
                  <w:pPr>
                    <w:jc w:val="center"/>
                    <w:rPr>
                      <w:sz w:val="12"/>
                    </w:rPr>
                  </w:pPr>
                </w:p>
              </w:tc>
            </w:tr>
            <w:tr w:rsidR="008938BB" w:rsidRPr="00861754" w:rsidTr="008938BB">
              <w:tc>
                <w:tcPr>
                  <w:tcW w:w="2900" w:type="dxa"/>
                </w:tcPr>
                <w:p w:rsidR="008938BB" w:rsidRPr="008938BB" w:rsidRDefault="008938BB" w:rsidP="008938BB">
                  <w:pPr>
                    <w:pStyle w:val="Akapitzlist"/>
                    <w:numPr>
                      <w:ilvl w:val="3"/>
                      <w:numId w:val="1"/>
                    </w:numPr>
                    <w:tabs>
                      <w:tab w:val="clear" w:pos="1680"/>
                    </w:tabs>
                    <w:ind w:left="382"/>
                    <w:rPr>
                      <w:rFonts w:ascii="Calibri" w:eastAsia="Times New Roman" w:hAnsi="Calibri" w:cs="Calibri"/>
                      <w:color w:val="FF0000"/>
                      <w:sz w:val="16"/>
                      <w:szCs w:val="28"/>
                    </w:rPr>
                  </w:pPr>
                  <w:r w:rsidRPr="008938BB">
                    <w:rPr>
                      <w:rFonts w:ascii="Calibri" w:eastAsia="Times New Roman" w:hAnsi="Calibri" w:cs="Calibri"/>
                      <w:color w:val="FF0000"/>
                      <w:sz w:val="16"/>
                      <w:szCs w:val="28"/>
                      <w:lang w:eastAsia="pl-PL"/>
                    </w:rPr>
                    <w:t xml:space="preserve">wynagrodzenia wraz z dodatkami </w:t>
                  </w:r>
                </w:p>
              </w:tc>
              <w:tc>
                <w:tcPr>
                  <w:tcW w:w="1701" w:type="dxa"/>
                </w:tcPr>
                <w:p w:rsidR="00714A28" w:rsidRPr="00861754" w:rsidRDefault="00714A28" w:rsidP="008938BB">
                  <w:pPr>
                    <w:rPr>
                      <w:sz w:val="16"/>
                    </w:rPr>
                  </w:pPr>
                </w:p>
              </w:tc>
            </w:tr>
            <w:tr w:rsidR="008938BB" w:rsidRPr="00861754" w:rsidTr="008938BB">
              <w:tc>
                <w:tcPr>
                  <w:tcW w:w="2900" w:type="dxa"/>
                </w:tcPr>
                <w:p w:rsidR="008938BB" w:rsidRPr="008938BB" w:rsidRDefault="008938BB" w:rsidP="008938BB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FF0000"/>
                      <w:sz w:val="16"/>
                      <w:szCs w:val="28"/>
                    </w:rPr>
                  </w:pPr>
                  <w:r w:rsidRPr="008938BB">
                    <w:rPr>
                      <w:rFonts w:ascii="Calibri" w:eastAsia="Times New Roman" w:hAnsi="Calibri" w:cs="Calibri"/>
                      <w:color w:val="FF0000"/>
                      <w:sz w:val="16"/>
                      <w:szCs w:val="28"/>
                      <w:lang w:eastAsia="pl-PL"/>
                    </w:rPr>
                    <w:t xml:space="preserve">nagrody </w:t>
                  </w:r>
                </w:p>
              </w:tc>
              <w:tc>
                <w:tcPr>
                  <w:tcW w:w="1701" w:type="dxa"/>
                </w:tcPr>
                <w:p w:rsidR="008938BB" w:rsidRPr="00861754" w:rsidRDefault="008938BB" w:rsidP="008938BB">
                  <w:pPr>
                    <w:rPr>
                      <w:sz w:val="16"/>
                    </w:rPr>
                  </w:pPr>
                </w:p>
              </w:tc>
            </w:tr>
            <w:tr w:rsidR="008938BB" w:rsidRPr="00861754" w:rsidTr="008938BB">
              <w:tc>
                <w:tcPr>
                  <w:tcW w:w="2900" w:type="dxa"/>
                </w:tcPr>
                <w:p w:rsidR="008938BB" w:rsidRPr="008938BB" w:rsidRDefault="008938BB" w:rsidP="008938BB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FF0000"/>
                      <w:sz w:val="16"/>
                      <w:szCs w:val="28"/>
                    </w:rPr>
                  </w:pPr>
                  <w:r w:rsidRPr="008938BB">
                    <w:rPr>
                      <w:rFonts w:ascii="Calibri" w:eastAsia="Times New Roman" w:hAnsi="Calibri" w:cs="Calibri"/>
                      <w:color w:val="FF0000"/>
                      <w:sz w:val="16"/>
                      <w:szCs w:val="28"/>
                      <w:lang w:eastAsia="pl-PL"/>
                    </w:rPr>
                    <w:t xml:space="preserve">nagrody jubileuszowe </w:t>
                  </w:r>
                </w:p>
              </w:tc>
              <w:tc>
                <w:tcPr>
                  <w:tcW w:w="1701" w:type="dxa"/>
                </w:tcPr>
                <w:p w:rsidR="008938BB" w:rsidRPr="00861754" w:rsidRDefault="008938BB" w:rsidP="008938BB">
                  <w:pPr>
                    <w:rPr>
                      <w:sz w:val="16"/>
                    </w:rPr>
                  </w:pPr>
                </w:p>
              </w:tc>
            </w:tr>
            <w:tr w:rsidR="008938BB" w:rsidRPr="00861754" w:rsidTr="008938BB">
              <w:tc>
                <w:tcPr>
                  <w:tcW w:w="2900" w:type="dxa"/>
                </w:tcPr>
                <w:p w:rsidR="008938BB" w:rsidRPr="008938BB" w:rsidRDefault="008938BB" w:rsidP="008938BB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FF0000"/>
                      <w:sz w:val="16"/>
                      <w:szCs w:val="28"/>
                    </w:rPr>
                  </w:pPr>
                  <w:r w:rsidRPr="008938BB">
                    <w:rPr>
                      <w:rFonts w:ascii="Calibri" w:eastAsia="Times New Roman" w:hAnsi="Calibri" w:cs="Calibri"/>
                      <w:color w:val="FF0000"/>
                      <w:sz w:val="16"/>
                      <w:szCs w:val="28"/>
                      <w:lang w:eastAsia="pl-PL"/>
                    </w:rPr>
                    <w:t xml:space="preserve">odprawy emerytalne </w:t>
                  </w:r>
                </w:p>
              </w:tc>
              <w:tc>
                <w:tcPr>
                  <w:tcW w:w="1701" w:type="dxa"/>
                </w:tcPr>
                <w:p w:rsidR="008938BB" w:rsidRPr="00861754" w:rsidRDefault="008938BB" w:rsidP="008938BB">
                  <w:pPr>
                    <w:rPr>
                      <w:sz w:val="16"/>
                    </w:rPr>
                  </w:pPr>
                </w:p>
              </w:tc>
            </w:tr>
            <w:tr w:rsidR="008938BB" w:rsidRPr="00861754" w:rsidTr="008938BB">
              <w:tc>
                <w:tcPr>
                  <w:tcW w:w="2900" w:type="dxa"/>
                </w:tcPr>
                <w:p w:rsidR="008938BB" w:rsidRPr="008938BB" w:rsidRDefault="008938BB" w:rsidP="008938BB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sz w:val="16"/>
                    </w:rPr>
                  </w:pPr>
                  <w:r w:rsidRPr="008938BB">
                    <w:rPr>
                      <w:rFonts w:ascii="Calibri" w:eastAsia="Times New Roman" w:hAnsi="Calibri" w:cs="Calibri"/>
                      <w:color w:val="FF0000"/>
                      <w:sz w:val="16"/>
                      <w:szCs w:val="28"/>
                      <w:lang w:eastAsia="pl-PL"/>
                    </w:rPr>
                    <w:t xml:space="preserve">odprawy rentowe </w:t>
                  </w:r>
                </w:p>
              </w:tc>
              <w:tc>
                <w:tcPr>
                  <w:tcW w:w="1701" w:type="dxa"/>
                </w:tcPr>
                <w:p w:rsidR="008938BB" w:rsidRPr="00861754" w:rsidRDefault="008938BB" w:rsidP="008938BB">
                  <w:pPr>
                    <w:rPr>
                      <w:sz w:val="16"/>
                    </w:rPr>
                  </w:pPr>
                </w:p>
              </w:tc>
            </w:tr>
          </w:tbl>
          <w:p w:rsidR="008938BB" w:rsidRPr="008938BB" w:rsidRDefault="008938BB" w:rsidP="00893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1.16.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inne informacje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938B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 </w:t>
            </w:r>
            <w:r w:rsidR="008938BB" w:rsidRPr="008938B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Nie dotyczy wartość wpisana w poz.1.1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2.1.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wysokość odpisów aktualizujących wartość zapasów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938BB" w:rsidRPr="008938B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nie dotyczy</w:t>
            </w: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2.2.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27"/>
              <w:gridCol w:w="1274"/>
              <w:gridCol w:w="1130"/>
            </w:tblGrid>
            <w:tr w:rsidR="008938BB" w:rsidRPr="00851CD8" w:rsidTr="008003D4">
              <w:tc>
                <w:tcPr>
                  <w:tcW w:w="1127" w:type="dxa"/>
                  <w:vAlign w:val="center"/>
                </w:tcPr>
                <w:p w:rsidR="008938BB" w:rsidRPr="00851CD8" w:rsidRDefault="008938BB" w:rsidP="008938BB">
                  <w:pPr>
                    <w:jc w:val="center"/>
                    <w:rPr>
                      <w:color w:val="FF0000"/>
                      <w:sz w:val="12"/>
                    </w:rPr>
                  </w:pPr>
                  <w:r w:rsidRPr="00851CD8">
                    <w:rPr>
                      <w:color w:val="FF0000"/>
                      <w:sz w:val="12"/>
                    </w:rPr>
                    <w:t>konto</w:t>
                  </w:r>
                </w:p>
              </w:tc>
              <w:tc>
                <w:tcPr>
                  <w:tcW w:w="1274" w:type="dxa"/>
                  <w:vAlign w:val="center"/>
                </w:tcPr>
                <w:p w:rsidR="008938BB" w:rsidRPr="00851CD8" w:rsidRDefault="008938BB" w:rsidP="008938BB">
                  <w:pPr>
                    <w:jc w:val="center"/>
                    <w:rPr>
                      <w:color w:val="FF0000"/>
                      <w:sz w:val="12"/>
                    </w:rPr>
                  </w:pPr>
                  <w:r w:rsidRPr="00851CD8">
                    <w:rPr>
                      <w:color w:val="FF0000"/>
                      <w:sz w:val="12"/>
                    </w:rPr>
                    <w:t>Saldo na dzień 01.01.2018</w:t>
                  </w:r>
                </w:p>
              </w:tc>
              <w:tc>
                <w:tcPr>
                  <w:tcW w:w="1130" w:type="dxa"/>
                </w:tcPr>
                <w:p w:rsidR="008938BB" w:rsidRPr="00851CD8" w:rsidRDefault="008938BB" w:rsidP="008938BB">
                  <w:pPr>
                    <w:jc w:val="center"/>
                    <w:rPr>
                      <w:color w:val="FF0000"/>
                      <w:sz w:val="12"/>
                    </w:rPr>
                  </w:pPr>
                  <w:r>
                    <w:rPr>
                      <w:color w:val="FF0000"/>
                      <w:sz w:val="12"/>
                    </w:rPr>
                    <w:t>Saldo na dzień 31.12.2018</w:t>
                  </w:r>
                </w:p>
              </w:tc>
            </w:tr>
            <w:tr w:rsidR="008938BB" w:rsidRPr="00851CD8" w:rsidTr="008003D4">
              <w:tc>
                <w:tcPr>
                  <w:tcW w:w="1127" w:type="dxa"/>
                </w:tcPr>
                <w:p w:rsidR="008938BB" w:rsidRPr="00851CD8" w:rsidRDefault="008938BB" w:rsidP="008938BB">
                  <w:pPr>
                    <w:rPr>
                      <w:color w:val="FF0000"/>
                    </w:rPr>
                  </w:pPr>
                  <w:r w:rsidRPr="00851CD8">
                    <w:rPr>
                      <w:color w:val="FF0000"/>
                    </w:rPr>
                    <w:t>0</w:t>
                  </w:r>
                  <w:r>
                    <w:rPr>
                      <w:color w:val="FF0000"/>
                    </w:rPr>
                    <w:t>80</w:t>
                  </w:r>
                </w:p>
              </w:tc>
              <w:tc>
                <w:tcPr>
                  <w:tcW w:w="1274" w:type="dxa"/>
                </w:tcPr>
                <w:p w:rsidR="008938BB" w:rsidRPr="00851CD8" w:rsidRDefault="008938BB" w:rsidP="008938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0" w:type="dxa"/>
                </w:tcPr>
                <w:p w:rsidR="008938BB" w:rsidRPr="00851CD8" w:rsidRDefault="008938BB" w:rsidP="008938BB">
                  <w:pPr>
                    <w:rPr>
                      <w:color w:val="FF0000"/>
                    </w:rPr>
                  </w:pPr>
                </w:p>
              </w:tc>
            </w:tr>
          </w:tbl>
          <w:p w:rsidR="008938BB" w:rsidRPr="005A6A1E" w:rsidRDefault="008938BB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2.3.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kwotę i charakter poszczególnych pozycji przychodów lub kosztów o nadzwyczajnej wartości lub które wystąpiły incydentalnie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938BB" w:rsidRPr="008938B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Konto 760 i 761 (konto może być wykorzystane przy termomodernizacji)</w:t>
            </w:r>
          </w:p>
        </w:tc>
      </w:tr>
      <w:tr w:rsidR="005A6A1E" w:rsidRPr="005A6A1E" w:rsidTr="005A6A1E">
        <w:trPr>
          <w:trHeight w:val="8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2.4.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938BB" w:rsidRPr="008938B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nie dotyczy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2.5.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inne informacje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8938BB" w:rsidRPr="008938B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nie dotyczy</w:t>
            </w:r>
          </w:p>
        </w:tc>
      </w:tr>
      <w:tr w:rsidR="005A6A1E" w:rsidRPr="005A6A1E" w:rsidTr="005A6A1E">
        <w:trPr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Inne informacje niż wymienione powyżej, jeżeli mogłyby w istotny sposób wpłynąć na ocenę sytuacji majątkowej i finansowej oraz wynik finansowy jednostki</w:t>
            </w:r>
          </w:p>
        </w:tc>
      </w:tr>
      <w:tr w:rsidR="005A6A1E" w:rsidRPr="005A6A1E" w:rsidTr="005A6A1E">
        <w:trPr>
          <w:trHeight w:val="2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1E" w:rsidRPr="005A6A1E" w:rsidRDefault="005A6A1E" w:rsidP="005A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28" w:rsidRDefault="005A6A1E" w:rsidP="00714A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5A6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  <w:r w:rsidR="00A6659A" w:rsidRPr="008938B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nie dotyczy</w:t>
            </w:r>
            <w:r w:rsidR="00A6659A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 xml:space="preserve"> – </w:t>
            </w:r>
          </w:p>
          <w:p w:rsidR="00714A28" w:rsidRDefault="00714A28" w:rsidP="0071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:rsidR="00714A28" w:rsidRPr="00714A28" w:rsidRDefault="00714A28" w:rsidP="0071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714A2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dotyczy jeśli wpłaty na radę rodziców wpływają na konto szkoły tzw.: DW</w:t>
            </w:r>
          </w:p>
        </w:tc>
      </w:tr>
    </w:tbl>
    <w:p w:rsidR="0043710D" w:rsidRPr="005A6A1E" w:rsidRDefault="0043710D">
      <w:pPr>
        <w:rPr>
          <w:sz w:val="28"/>
          <w:szCs w:val="28"/>
        </w:rPr>
      </w:pPr>
    </w:p>
    <w:sectPr w:rsidR="0043710D" w:rsidRPr="005A6A1E" w:rsidSect="00A6659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7AB"/>
    <w:multiLevelType w:val="hybridMultilevel"/>
    <w:tmpl w:val="EC306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C408E"/>
    <w:multiLevelType w:val="hybridMultilevel"/>
    <w:tmpl w:val="13004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D7ACB"/>
    <w:multiLevelType w:val="hybridMultilevel"/>
    <w:tmpl w:val="00041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5BD1"/>
    <w:multiLevelType w:val="multilevel"/>
    <w:tmpl w:val="412458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7E002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iCs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1E"/>
    <w:rsid w:val="0043710D"/>
    <w:rsid w:val="005A6A1E"/>
    <w:rsid w:val="00714A28"/>
    <w:rsid w:val="00851CD8"/>
    <w:rsid w:val="008938BB"/>
    <w:rsid w:val="00A6659A"/>
    <w:rsid w:val="00E06742"/>
    <w:rsid w:val="00F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3F00"/>
  <w15:chartTrackingRefBased/>
  <w15:docId w15:val="{6FFD139A-08FB-4ABA-9FDB-D65EE0F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A1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920F0"/>
    <w:pPr>
      <w:tabs>
        <w:tab w:val="right" w:leader="dot" w:pos="9072"/>
      </w:tabs>
      <w:suppressAutoHyphens/>
      <w:autoSpaceDE w:val="0"/>
      <w:spacing w:before="80" w:after="0" w:line="275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20F0"/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retabeli">
    <w:name w:val="Treść tabeli"/>
    <w:basedOn w:val="Normalny"/>
    <w:rsid w:val="00F920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9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8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6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2019-01-27T09:27:00Z</cp:lastPrinted>
  <dcterms:created xsi:type="dcterms:W3CDTF">2019-01-28T18:41:00Z</dcterms:created>
  <dcterms:modified xsi:type="dcterms:W3CDTF">2019-01-29T07:40:00Z</dcterms:modified>
</cp:coreProperties>
</file>