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76D22D6D" w:rsidR="0060080D" w:rsidRPr="005F00AC" w:rsidRDefault="0060080D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1C50F6F4" w14:textId="77777777" w:rsidR="005F00AC" w:rsidRPr="005F00AC" w:rsidRDefault="003E101B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57329B6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  <w:lang w:eastAsia="pl-PL"/>
        </w:rPr>
        <w:t>Warszawa, 30 listopada 2022 r.</w:t>
      </w:r>
    </w:p>
    <w:p w14:paraId="278AF784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  <w:lang w:eastAsia="pl-PL"/>
        </w:rPr>
        <w:t>Sygn. akt KR II R 94/22</w:t>
      </w:r>
    </w:p>
    <w:p w14:paraId="3C37967F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POSTANOWIENIE</w:t>
      </w:r>
    </w:p>
    <w:p w14:paraId="600E095B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6C659F6E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 xml:space="preserve">Przewodniczący Komisji: </w:t>
      </w:r>
    </w:p>
    <w:p w14:paraId="2B032460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 xml:space="preserve">Sebastian Kaleta </w:t>
      </w:r>
    </w:p>
    <w:p w14:paraId="6630BF82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 xml:space="preserve">Członkowie Komisji: </w:t>
      </w:r>
    </w:p>
    <w:p w14:paraId="63CB6C12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Wiktor Klimiuk, Łukasz Kondratko, Paweł Lisiecki, Jan Mosiński, Bartłomiej Opaliński, Sławomir Potapowicz,</w:t>
      </w:r>
    </w:p>
    <w:p w14:paraId="32C3C450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na posiedzeniu niejawnym w dniu 30 listopada 2022 r.,</w:t>
      </w:r>
    </w:p>
    <w:p w14:paraId="4F428ED2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po przeprowadzeniu czynności sprawdzających w celu stwierdzenia, czy istnieją podstawy do wszczęcia postępowania rozpoznawczego,</w:t>
      </w:r>
    </w:p>
    <w:p w14:paraId="28D4F9D2" w14:textId="41CF7830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postanawia:</w:t>
      </w:r>
    </w:p>
    <w:p w14:paraId="0D80AEC8" w14:textId="4B085A23" w:rsidR="005F00AC" w:rsidRPr="005F00AC" w:rsidRDefault="005F00AC" w:rsidP="005F00AC">
      <w:pPr>
        <w:pStyle w:val="Akapitzlist"/>
        <w:numPr>
          <w:ilvl w:val="0"/>
          <w:numId w:val="1"/>
        </w:numPr>
        <w:tabs>
          <w:tab w:val="left" w:pos="1421"/>
        </w:tabs>
        <w:spacing w:after="480"/>
        <w:rPr>
          <w:rFonts w:ascii="Arial" w:eastAsia="Times New Roman" w:hAnsi="Arial" w:cs="Arial"/>
          <w:sz w:val="24"/>
          <w:szCs w:val="24"/>
          <w:lang w:eastAsia="zh-CN"/>
        </w:rPr>
      </w:pPr>
      <w:r w:rsidRPr="005F00AC">
        <w:rPr>
          <w:rFonts w:ascii="Arial" w:hAnsi="Arial" w:cs="Arial"/>
          <w:sz w:val="24"/>
          <w:szCs w:val="24"/>
        </w:rPr>
        <w:lastRenderedPageBreak/>
        <w:t>na podstawie art. 15 ust. 2 i 3 w zw. z art. 16 ust. 1 ustawy z dnia 9 marca 2017 r. o szczególnych zasadach usuwania skutków prawnych decyzji reprywatyzacyjnych dotyczących nieruchomości warszawskich, wydanych z naruszeniem prawa (Dz.U.z 2021 r., poz. 795, dalej: ustawa)</w:t>
      </w:r>
      <w:r w:rsidRPr="005F00AC">
        <w:rPr>
          <w:rFonts w:ascii="Arial" w:hAnsi="Arial" w:cs="Arial"/>
          <w:i/>
          <w:sz w:val="24"/>
          <w:szCs w:val="24"/>
        </w:rPr>
        <w:t xml:space="preserve">, </w:t>
      </w:r>
      <w:r w:rsidRPr="005F00AC">
        <w:rPr>
          <w:rFonts w:ascii="Arial" w:hAnsi="Arial" w:cs="Arial"/>
          <w:sz w:val="24"/>
          <w:szCs w:val="24"/>
        </w:rPr>
        <w:t xml:space="preserve">wszcząć z urzędu postępowanie rozpoznawcze </w:t>
      </w:r>
      <w:r w:rsidRPr="005F00AC">
        <w:rPr>
          <w:rFonts w:ascii="Arial" w:eastAsia="Times New Roman" w:hAnsi="Arial" w:cs="Arial"/>
          <w:sz w:val="24"/>
          <w:szCs w:val="24"/>
          <w:lang w:eastAsia="zh-CN"/>
        </w:rPr>
        <w:t xml:space="preserve">w przedmiocie </w:t>
      </w:r>
      <w:r w:rsidRPr="005F00AC">
        <w:rPr>
          <w:rFonts w:ascii="Arial" w:hAnsi="Arial" w:cs="Arial"/>
          <w:sz w:val="24"/>
          <w:szCs w:val="24"/>
        </w:rPr>
        <w:t>decyzji Prezydenta m.st. Warszawy z dnia 4 września 2012 r. Nr 389/GK/DW/2012 ustanawiającej prawo użytkowania wieczystego do gruntu</w:t>
      </w:r>
      <w:r w:rsidR="00010F2C">
        <w:rPr>
          <w:rFonts w:ascii="Arial" w:hAnsi="Arial" w:cs="Arial"/>
          <w:sz w:val="24"/>
          <w:szCs w:val="24"/>
        </w:rPr>
        <w:t xml:space="preserve"> </w:t>
      </w:r>
      <w:r w:rsidRPr="005F00AC">
        <w:rPr>
          <w:rFonts w:ascii="Arial" w:hAnsi="Arial" w:cs="Arial"/>
          <w:sz w:val="24"/>
          <w:szCs w:val="24"/>
        </w:rPr>
        <w:t>o powierzchni  m</w:t>
      </w:r>
      <w:r w:rsidRPr="005F00AC">
        <w:rPr>
          <w:rFonts w:ascii="Arial" w:hAnsi="Arial" w:cs="Arial"/>
          <w:sz w:val="24"/>
          <w:szCs w:val="24"/>
          <w:vertAlign w:val="superscript"/>
        </w:rPr>
        <w:t>2</w:t>
      </w:r>
      <w:r w:rsidRPr="005F00AC">
        <w:rPr>
          <w:rFonts w:ascii="Arial" w:hAnsi="Arial" w:cs="Arial"/>
          <w:sz w:val="24"/>
          <w:szCs w:val="24"/>
        </w:rPr>
        <w:t xml:space="preserve">, położonego w Warszawie przy ul. Hożej 52, opisanego w ewidencji gruntów jako działka nr z obrębu, dla której prowadzona jest księga wieczysta obecnie nr oraz odmawiającej ustanowienia tegoż prawa do gruntu stanowiącego działkę ewidencyjną nr  (część) z obrębu, dla której prowadzona jest księga wieczysta, </w:t>
      </w:r>
    </w:p>
    <w:p w14:paraId="1CBDD8B2" w14:textId="20D01793" w:rsidR="005F00AC" w:rsidRPr="005F00AC" w:rsidRDefault="005F00AC" w:rsidP="005F00AC">
      <w:pPr>
        <w:pStyle w:val="Akapitzlist"/>
        <w:tabs>
          <w:tab w:val="left" w:pos="1421"/>
        </w:tabs>
        <w:spacing w:after="480"/>
        <w:rPr>
          <w:rFonts w:ascii="Arial" w:eastAsia="Times New Roman" w:hAnsi="Arial" w:cs="Arial"/>
          <w:sz w:val="24"/>
          <w:szCs w:val="24"/>
          <w:lang w:eastAsia="zh-CN"/>
        </w:rPr>
      </w:pPr>
      <w:r w:rsidRPr="005F00AC">
        <w:rPr>
          <w:rFonts w:ascii="Arial" w:hAnsi="Arial" w:cs="Arial"/>
          <w:sz w:val="24"/>
          <w:szCs w:val="24"/>
        </w:rPr>
        <w:t>z udziałem stron: Miasta Stołecznego Warszawy,</w:t>
      </w:r>
      <w:r w:rsidRPr="005F00AC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 xml:space="preserve"> Prokuratora Regionalnego w W, M T, Z N, </w:t>
      </w:r>
      <w:r w:rsidRPr="005F00AC">
        <w:rPr>
          <w:rFonts w:ascii="Arial" w:eastAsiaTheme="minorEastAsia" w:hAnsi="Arial" w:cs="Arial"/>
          <w:sz w:val="24"/>
          <w:szCs w:val="24"/>
          <w:lang w:eastAsia="pl-PL"/>
        </w:rPr>
        <w:t xml:space="preserve">W P S, </w:t>
      </w:r>
      <w:r w:rsidRPr="005F00AC">
        <w:rPr>
          <w:rFonts w:ascii="Arial" w:hAnsi="Arial" w:cs="Arial"/>
          <w:sz w:val="24"/>
          <w:szCs w:val="24"/>
        </w:rPr>
        <w:t xml:space="preserve">M P N, M A N, </w:t>
      </w:r>
      <w:r w:rsidRPr="005F00AC">
        <w:rPr>
          <w:rFonts w:ascii="Arial" w:eastAsiaTheme="minorEastAsia" w:hAnsi="Arial" w:cs="Arial"/>
          <w:sz w:val="24"/>
          <w:szCs w:val="24"/>
          <w:lang w:eastAsia="pl-PL"/>
        </w:rPr>
        <w:t xml:space="preserve">A M K, J J L, J S, M S, Z H S, J B, E U G A W B, W S, K K S,  M R, M J, </w:t>
      </w:r>
      <w:r w:rsidR="00010F2C">
        <w:rPr>
          <w:rFonts w:ascii="Arial" w:eastAsiaTheme="minorEastAsia" w:hAnsi="Arial" w:cs="Arial"/>
          <w:sz w:val="24"/>
          <w:szCs w:val="24"/>
          <w:lang w:eastAsia="pl-PL"/>
        </w:rPr>
        <w:t>n</w:t>
      </w:r>
      <w:r w:rsidRPr="005F00AC">
        <w:rPr>
          <w:rFonts w:ascii="Arial" w:eastAsiaTheme="minorEastAsia" w:hAnsi="Arial" w:cs="Arial"/>
          <w:sz w:val="24"/>
          <w:szCs w:val="24"/>
          <w:lang w:eastAsia="pl-PL"/>
        </w:rPr>
        <w:t xml:space="preserve"> p A S, J S, M J S, E J, E I, Ł A Z, R L M, W</w:t>
      </w:r>
      <w:r w:rsidR="00010F2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F00AC">
        <w:rPr>
          <w:rFonts w:ascii="Arial" w:eastAsiaTheme="minorEastAsia" w:hAnsi="Arial" w:cs="Arial"/>
          <w:sz w:val="24"/>
          <w:szCs w:val="24"/>
          <w:lang w:eastAsia="pl-PL"/>
        </w:rPr>
        <w:t>T, J</w:t>
      </w:r>
      <w:r w:rsidR="00010F2C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F00AC">
        <w:rPr>
          <w:rFonts w:ascii="Arial" w:eastAsiaTheme="minorEastAsia" w:hAnsi="Arial" w:cs="Arial"/>
          <w:sz w:val="24"/>
          <w:szCs w:val="24"/>
          <w:lang w:eastAsia="pl-PL"/>
        </w:rPr>
        <w:t xml:space="preserve">A </w:t>
      </w:r>
      <w:r w:rsidR="00010F2C"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Pr="005F00AC">
        <w:rPr>
          <w:rFonts w:ascii="Arial" w:eastAsiaTheme="minorEastAsia" w:hAnsi="Arial" w:cs="Arial"/>
          <w:sz w:val="24"/>
          <w:szCs w:val="24"/>
          <w:lang w:eastAsia="pl-PL"/>
        </w:rPr>
        <w:t>, T R, J D-R, A D, następców prawnych A R,</w:t>
      </w:r>
      <w:r w:rsidRPr="005F00AC">
        <w:rPr>
          <w:rFonts w:ascii="Arial" w:hAnsi="Arial" w:cs="Arial"/>
          <w:sz w:val="24"/>
          <w:szCs w:val="24"/>
        </w:rPr>
        <w:t xml:space="preserve"> </w:t>
      </w:r>
    </w:p>
    <w:p w14:paraId="2DA81D1F" w14:textId="77777777" w:rsidR="005F00AC" w:rsidRPr="005F00AC" w:rsidRDefault="005F00AC" w:rsidP="005F00AC">
      <w:pPr>
        <w:pStyle w:val="Akapitzlist"/>
        <w:numPr>
          <w:ilvl w:val="0"/>
          <w:numId w:val="1"/>
        </w:numPr>
        <w:tabs>
          <w:tab w:val="left" w:pos="1421"/>
        </w:tabs>
        <w:spacing w:after="480"/>
        <w:rPr>
          <w:rFonts w:ascii="Arial" w:eastAsiaTheme="minorHAnsi" w:hAnsi="Arial" w:cs="Arial"/>
          <w:sz w:val="24"/>
          <w:szCs w:val="24"/>
          <w:shd w:val="clear" w:color="auto" w:fill="FFFFFF"/>
        </w:rPr>
      </w:pPr>
      <w:r w:rsidRPr="005F00AC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070AD3A0" w14:textId="77777777" w:rsidR="005F00AC" w:rsidRPr="005F00AC" w:rsidRDefault="005F00AC" w:rsidP="005F00AC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Przewodniczący Komisji</w:t>
      </w:r>
    </w:p>
    <w:p w14:paraId="1B0FECE3" w14:textId="77777777" w:rsidR="005F00AC" w:rsidRPr="005F00AC" w:rsidRDefault="005F00AC" w:rsidP="005F00AC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 xml:space="preserve">Sebastian Kaleta </w:t>
      </w:r>
    </w:p>
    <w:p w14:paraId="4528A865" w14:textId="77777777" w:rsidR="005F00AC" w:rsidRPr="005F00AC" w:rsidRDefault="005F00AC" w:rsidP="005F00AC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Pouczenie:</w:t>
      </w:r>
    </w:p>
    <w:p w14:paraId="15AC8960" w14:textId="3B519E0A" w:rsidR="005F00AC" w:rsidRPr="005F00AC" w:rsidRDefault="005F00AC" w:rsidP="005F00AC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5F00AC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171EEF49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01D40C6" w14:textId="77777777" w:rsidR="005F00AC" w:rsidRPr="005F00AC" w:rsidRDefault="005F00AC" w:rsidP="005F00AC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5F00AC" w:rsidRPr="005F00A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63C8" w14:textId="77777777" w:rsidR="00E368D3" w:rsidRDefault="00E368D3">
      <w:pPr>
        <w:spacing w:after="0" w:line="240" w:lineRule="auto"/>
      </w:pPr>
      <w:r>
        <w:separator/>
      </w:r>
    </w:p>
  </w:endnote>
  <w:endnote w:type="continuationSeparator" w:id="0">
    <w:p w14:paraId="41D37F92" w14:textId="77777777" w:rsidR="00E368D3" w:rsidRDefault="00E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0BE6" w14:textId="77777777" w:rsidR="00E368D3" w:rsidRDefault="00E368D3">
      <w:pPr>
        <w:spacing w:after="0" w:line="240" w:lineRule="auto"/>
      </w:pPr>
      <w:r>
        <w:separator/>
      </w:r>
    </w:p>
  </w:footnote>
  <w:footnote w:type="continuationSeparator" w:id="0">
    <w:p w14:paraId="1B3D5119" w14:textId="77777777" w:rsidR="00E368D3" w:rsidRDefault="00E3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44F5"/>
    <w:multiLevelType w:val="hybridMultilevel"/>
    <w:tmpl w:val="2E225A8E"/>
    <w:lvl w:ilvl="0" w:tplc="57F49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10F2C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6A14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00AC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60AD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87190"/>
    <w:rsid w:val="00894A4C"/>
    <w:rsid w:val="008A3CAC"/>
    <w:rsid w:val="008B16A0"/>
    <w:rsid w:val="008D62BF"/>
    <w:rsid w:val="008D6394"/>
    <w:rsid w:val="008D7604"/>
    <w:rsid w:val="00901D58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6306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054D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15EA5"/>
    <w:rsid w:val="00E368D3"/>
    <w:rsid w:val="00E504A0"/>
    <w:rsid w:val="00E66D73"/>
    <w:rsid w:val="00E75F8C"/>
    <w:rsid w:val="00E934A6"/>
    <w:rsid w:val="00EA1CA3"/>
    <w:rsid w:val="00ED4C05"/>
    <w:rsid w:val="00EF710D"/>
    <w:rsid w:val="00F53E4F"/>
    <w:rsid w:val="00F57B76"/>
    <w:rsid w:val="00F600FE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1CA3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unhideWhenUsed/>
    <w:rsid w:val="00AD054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D0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A5B2-6E0B-475D-8029-D10F3F8B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94.22 postanowienie o zawiadomieniu organów i sądów wersja cyfrowa [opublikowano w BIP 21.12.2022 r.]</vt:lpstr>
    </vt:vector>
  </TitlesOfParts>
  <Company>MS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94.22 postanowienie o wszczęciu postępowania wersja cyfrowa [opublikowano w BIP 21.12.2022 r.]</dc:title>
  <dc:creator>Galant Katarzyna  (DPA)</dc:creator>
  <cp:lastModifiedBy>Rzewińska Dorota  (DPA)</cp:lastModifiedBy>
  <cp:revision>4</cp:revision>
  <cp:lastPrinted>2019-01-15T08:29:00Z</cp:lastPrinted>
  <dcterms:created xsi:type="dcterms:W3CDTF">2022-12-21T14:20:00Z</dcterms:created>
  <dcterms:modified xsi:type="dcterms:W3CDTF">2022-12-21T14:26:00Z</dcterms:modified>
</cp:coreProperties>
</file>