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6C0DD5" w:rsidRDefault="00F879F1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5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/2021</w:t>
      </w:r>
    </w:p>
    <w:p w:rsidR="00025037" w:rsidRPr="006C0DD5" w:rsidRDefault="00025037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6C0DD5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6C0DD5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F37E10" w:rsidRPr="006C0DD5" w:rsidRDefault="004057C8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F879F1">
        <w:rPr>
          <w:rFonts w:asciiTheme="minorHAnsi" w:hAnsiTheme="minorHAnsi" w:cstheme="minorHAnsi"/>
          <w:b/>
          <w:sz w:val="24"/>
          <w:szCs w:val="24"/>
        </w:rPr>
        <w:t>3-31</w:t>
      </w:r>
      <w:r w:rsidR="00595953" w:rsidRPr="006C0DD5">
        <w:rPr>
          <w:rFonts w:asciiTheme="minorHAnsi" w:hAnsiTheme="minorHAnsi" w:cstheme="minorHAnsi"/>
          <w:b/>
          <w:sz w:val="24"/>
          <w:szCs w:val="24"/>
        </w:rPr>
        <w:t>.</w:t>
      </w:r>
      <w:r w:rsidR="00F879F1">
        <w:rPr>
          <w:rFonts w:asciiTheme="minorHAnsi" w:hAnsiTheme="minorHAnsi" w:cstheme="minorHAnsi"/>
          <w:b/>
          <w:sz w:val="24"/>
          <w:szCs w:val="24"/>
        </w:rPr>
        <w:t>05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6C0DD5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85FCD" w:rsidRPr="006C0DD5" w:rsidRDefault="00285FCD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6C0DD5">
        <w:rPr>
          <w:rFonts w:asciiTheme="minorHAnsi" w:hAnsiTheme="minorHAnsi" w:cstheme="minorHAnsi"/>
          <w:sz w:val="24"/>
          <w:szCs w:val="24"/>
        </w:rPr>
        <w:t>W okresie objętym n</w:t>
      </w:r>
      <w:r w:rsidR="00524678" w:rsidRPr="006C0DD5">
        <w:rPr>
          <w:rFonts w:asciiTheme="minorHAnsi" w:hAnsiTheme="minorHAnsi" w:cstheme="minorHAnsi"/>
          <w:sz w:val="24"/>
          <w:szCs w:val="24"/>
        </w:rPr>
        <w:t>iniejszą informacją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w związku z </w:t>
      </w:r>
      <w:r w:rsidR="00082540" w:rsidRPr="006C0DD5">
        <w:rPr>
          <w:rFonts w:asciiTheme="minorHAnsi" w:hAnsiTheme="minorHAnsi" w:cstheme="minorHAnsi"/>
          <w:sz w:val="24"/>
          <w:szCs w:val="24"/>
        </w:rPr>
        <w:t>pandemią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7521EB" w:rsidRPr="006C0DD5">
        <w:rPr>
          <w:rFonts w:asciiTheme="minorHAnsi" w:hAnsiTheme="minorHAnsi" w:cstheme="minorHAnsi"/>
          <w:sz w:val="24"/>
          <w:szCs w:val="24"/>
        </w:rPr>
        <w:t>koronawirusa (</w:t>
      </w:r>
      <w:r w:rsidR="00082540" w:rsidRPr="006C0DD5">
        <w:rPr>
          <w:rFonts w:asciiTheme="minorHAnsi" w:hAnsiTheme="minorHAnsi" w:cstheme="minorHAnsi"/>
          <w:iCs/>
          <w:sz w:val="24"/>
          <w:szCs w:val="24"/>
        </w:rPr>
        <w:t>COVID-19</w:t>
      </w:r>
      <w:r w:rsidR="007521EB" w:rsidRPr="006C0DD5">
        <w:rPr>
          <w:rFonts w:asciiTheme="minorHAnsi" w:hAnsiTheme="minorHAnsi" w:cstheme="minorHAnsi"/>
          <w:sz w:val="24"/>
          <w:szCs w:val="24"/>
        </w:rPr>
        <w:t>)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</w:t>
      </w:r>
      <w:r w:rsidR="00524678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nie </w:t>
      </w:r>
      <w:r w:rsidR="00B9410F" w:rsidRPr="006C0DD5">
        <w:rPr>
          <w:rFonts w:asciiTheme="minorHAnsi" w:hAnsiTheme="minorHAnsi" w:cstheme="minorHAnsi"/>
          <w:sz w:val="24"/>
          <w:szCs w:val="24"/>
        </w:rPr>
        <w:t>o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dbywały </w:t>
      </w:r>
      <w:r w:rsidR="00B9410F" w:rsidRPr="006C0DD5">
        <w:rPr>
          <w:rFonts w:asciiTheme="minorHAnsi" w:hAnsiTheme="minorHAnsi" w:cstheme="minorHAnsi"/>
          <w:sz w:val="24"/>
          <w:szCs w:val="24"/>
        </w:rPr>
        <w:t xml:space="preserve">się </w:t>
      </w:r>
      <w:r w:rsidRPr="006C0DD5">
        <w:rPr>
          <w:rFonts w:asciiTheme="minorHAnsi" w:hAnsiTheme="minorHAnsi" w:cstheme="minorHAnsi"/>
          <w:sz w:val="24"/>
          <w:szCs w:val="24"/>
        </w:rPr>
        <w:t>posiedzeni</w:t>
      </w:r>
      <w:r w:rsidR="00374A15" w:rsidRPr="006C0DD5">
        <w:rPr>
          <w:rFonts w:asciiTheme="minorHAnsi" w:hAnsiTheme="minorHAnsi" w:cstheme="minorHAnsi"/>
          <w:sz w:val="24"/>
          <w:szCs w:val="24"/>
        </w:rPr>
        <w:t>a Komitetu do Spraw Europejskich.</w:t>
      </w:r>
    </w:p>
    <w:p w:rsidR="003F74C0" w:rsidRPr="006C0DD5" w:rsidRDefault="003F74C0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6C0DD5">
        <w:rPr>
          <w:rFonts w:asciiTheme="minorHAnsi" w:hAnsiTheme="minorHAnsi" w:cstheme="minorHAnsi"/>
          <w:sz w:val="24"/>
          <w:szCs w:val="24"/>
          <w:u w:val="single"/>
        </w:rPr>
        <w:t>Komitet do Spraw Europejskich</w:t>
      </w:r>
      <w:r w:rsidR="00374A15" w:rsidRPr="006C0DD5">
        <w:rPr>
          <w:rFonts w:asciiTheme="minorHAnsi" w:hAnsiTheme="minorHAnsi" w:cstheme="minorHAnsi"/>
          <w:sz w:val="24"/>
          <w:szCs w:val="24"/>
          <w:u w:val="single"/>
        </w:rPr>
        <w:t xml:space="preserve"> w trybie obiegowym</w:t>
      </w:r>
      <w:r w:rsidRPr="006C0DD5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6C0DD5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6C0DD5" w:rsidRPr="00F879F1" w:rsidRDefault="00A73FE5" w:rsidP="00F879F1">
            <w:pPr>
              <w:pStyle w:val="Akapitzlist"/>
              <w:numPr>
                <w:ilvl w:val="0"/>
                <w:numId w:val="1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F879F1">
              <w:rPr>
                <w:rFonts w:asciiTheme="minorHAnsi" w:hAnsiTheme="minorHAnsi" w:cstheme="minorHAnsi"/>
                <w:b/>
              </w:rPr>
              <w:t>R</w:t>
            </w:r>
            <w:r w:rsidR="00B71F9D" w:rsidRPr="00F879F1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28 kwietnia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28 kwietnia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lub art. 260 TFUE.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na temat postępowań formalnych prowadzonych przez Komisję Europejską na podstawie art. 258 i 260 TFUE.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w sprawie zmiany instytucji wiodącej w gremium Komisji Europejskiej.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879F1">
              <w:rPr>
                <w:rFonts w:asciiTheme="minorHAnsi" w:hAnsiTheme="minorHAnsi" w:cstheme="minorHAnsi"/>
              </w:rPr>
              <w:t>Instrukcja na posiedzenie Rady do Spraw Zagranicznych w formacie Ministrów Obrony w dniu 6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</w:rPr>
            </w:pPr>
            <w:r w:rsidRPr="00F879F1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C-674/20 </w:t>
            </w:r>
            <w:r w:rsidRPr="00F879F1">
              <w:rPr>
                <w:rFonts w:asciiTheme="minorHAnsi" w:hAnsiTheme="minorHAnsi" w:cstheme="minorHAnsi"/>
                <w:i/>
                <w:iCs/>
              </w:rPr>
              <w:t>Airbnb Ireland</w:t>
            </w:r>
            <w:r w:rsidRPr="00F879F1">
              <w:rPr>
                <w:rFonts w:asciiTheme="minorHAnsi" w:hAnsiTheme="minorHAnsi" w:cstheme="minorHAnsi"/>
                <w:iCs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</w:rPr>
            </w:pPr>
            <w:r w:rsidRPr="00F879F1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>
              <w:rPr>
                <w:rFonts w:asciiTheme="minorHAnsi" w:hAnsiTheme="minorHAnsi" w:cstheme="minorHAnsi"/>
              </w:rPr>
              <w:br/>
            </w:r>
            <w:r w:rsidRPr="00F879F1">
              <w:rPr>
                <w:rFonts w:asciiTheme="minorHAnsi" w:hAnsiTheme="minorHAnsi" w:cstheme="minorHAnsi"/>
              </w:rPr>
              <w:t>C-204/21 R</w:t>
            </w:r>
            <w:r w:rsidRPr="00F879F1">
              <w:rPr>
                <w:rFonts w:asciiTheme="minorHAnsi" w:hAnsiTheme="minorHAnsi" w:cstheme="minorHAnsi"/>
                <w:i/>
                <w:iCs/>
              </w:rPr>
              <w:t xml:space="preserve"> Komisja Europejska przeciwko Rzeczypospolitej Polskiej</w:t>
            </w:r>
            <w:r w:rsidRPr="00F879F1">
              <w:rPr>
                <w:rFonts w:asciiTheme="minorHAnsi" w:hAnsiTheme="minorHAnsi" w:cstheme="minorHAnsi"/>
                <w:iCs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Raport podsumowujący stan wdrażania Instrumentu „Łącząc Europę” (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Connecting Europe Facility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 - CEF).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o stanie realizacji zadań nakładanych na ministerstwa i urzędy centralne.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Projekt stanowiska RP w odniesieniu do dokumentu UE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Wniosek Dyrektywa Rady zmieniająca dyrektywę 2006/112/WE w zakresie zwolnień w imporcie i niektórych dostawach, w odniesieniu do środków unijnych przyjmowanych w interesie publicznym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 (COM(2021) 181).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icieli COREPER II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5 i 6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dniu 5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w sprawie zmiany instytucji wiodącej w gremiach Komisji Europejskiej (MRPiT).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Projekt aktualizacji stanowiska Rządu w odniesieniu do dokumentu: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zmieniony wniosek rozporządzenie Parlamentu Europejskiego i Rady w sprawie dostępu towarów i usług z państw trzecich do rynku wewnętrznego Unii w zakresie zamówień publicznych oraz procedur wspierających negocjacje dotyczące dostępu unijnych towarów i usług do rynków zamówień publicznych państw trzecich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(COM(2016) 034).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stanowiska Rzeczypospolitej Polskiej w sprawie wyborów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na stanowisko dyrektora wykonawczego Europejskiej Agencji Bezpieczeństwa i Zdrowia w Pracy (EU-OSHA).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C-13/21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Pricoforest</w:t>
            </w:r>
            <w:r w:rsidRPr="00F879F1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Zagranicznych w dniu 10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Komitetu Odwo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ławczego w dniu 11 maja 2021 r.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dot. decyzji wykonawczej Komisji określającej zmienione ogólnounijne docelowe parametry skuteczności działania sieci zarządzania ruchem lotniczym na trzeci okres odniesienia (2020–2024) i uchylającej decyzję wykonawczą (UE) 2019/903.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Ogólnych w dniu 11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rozporządzenia Parlamentu Europejskiego i Rady ustanawiającego środki ochrony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 zarządzania obowiązujące na obszarze objętym ko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nwencją Komisji ds. Rybołówstwa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na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Zachodnim i Środkowym Pacyfiku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oraz zmieniającego rozporządzenie Rady (WE)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nr 520/2007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 (COM(2021) 198).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wicieli COREPER 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5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5 i 6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C-149/21 P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Fakro przeciwko Komisji Europejskiej</w:t>
            </w:r>
            <w:r w:rsidRPr="00F879F1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 w dniu 12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Założenia do odpowiedzi na zarzuty formalne w związku z brakiem transpozycji dyrektywy Parlamentu Europejskiego i Rady (UE) 2019/1 mającej na celu nadanie organom ochrony konkurencji państw członkowskich uprawnień w celu skut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eczniejszego egzekwowania prawa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 zapewnienia należytego funkcjonowania rynku wewnętrznego – naruszenie nr 2021/0126.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C-711/20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TanQuid Polska</w:t>
            </w:r>
            <w:r w:rsidRPr="00F879F1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polskiego wniosku o tłumaczenia w systemie „na żądanie” podczas posiedzeń organów przygotowawczych Rady UE w drugim semestrze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2021 roku – uzupełnienie.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C-696/20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Dyrektor Izby Skarbowej w W.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do Spraw Zagranicznych w dniu 10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cieli COREPER II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dniu 12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o wynikach procedury naboru do programu Erasmus dla pracowników administracji publicznej, dotyczącego staży krótkoterminowych w instytucjach UE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dla nowo zatrudnionych pracowników administracji publicznej państw członkowskich UE w 2021 roku (nabór na III sesję).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Unii Europejskiej ds. edukacji, młodzieży, kultury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 sportu (sesja edukacja i młodzież) w dniu 17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Unii Europejskiej ds. edukacji, młodzieży, kultury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 sportu (sesja ds. kultury i sportu) w dniu 18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posiedzenie Rady do Spraw Ogólnych w dniu 17 maja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29 kwietnia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dotyczący decyzji Parlamentu Europejskiego i Rady w sprawie uruchomienia Funduszu Solidarności Unii Europejskiej w celu udzielenia pomocy Grecji i Francji w związku z klęskami żywiołowymi oraz Albanii, Austrii, Belgii, Chorwacji, Czarnogórze, Czechom, Estonii, Francji, Grecji, Hiszpanii, Irlandii, Litwie, Luksemburgowi, Łotwie, Niemcom, Portugalii, Rumunii, Serbii, Węgrom i Włochom w związku z wystąpieniem stanu zagrożenia zdrowia publicznego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(COM(2021) 201).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przedłużenia oddelegowania na stanowisko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Misji Obserwacyjnej Unii Europejskiej (EUMM) w Gruzji.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COREPER 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12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Wspólny komunikatu do Rady Europejskiej: Stan stosunków politycznych, gospodarczych i handlowych między UE a Turcją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(JOIN(2021) 8).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Ogólnych w dniu 11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oddelegowania ekspertów narodowych z Ministerstwa Obrony Narodowej wykonujących zadania w Misji Obserwacyjnej Unii Europejskiej (EUMM) w Gruzji.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cieli COREPER II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12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ds. Rolnictwa 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 Rybołówstwa w dniach 26-27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przewidzianych do rozpatrzenia podczas posiedzenia Rady do Spraw Zagranicznych (handel) w dniu 20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Ministerstwa Spraw Zagranicznych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na stanowisko eksperta narodowego w Delegaturze UE w Genewie.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Raport dotyczący funkcjonowania Punktu Kontaktowego ds. Produktów (rozporządzenie (WE) nr 764/2008 oraz rozporządzenie (UE) 2019/515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ws. wzajemnego uznawania) w 2020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Ministerstwa Rozwoju, Pracy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 Technologii na stanowisko eksperta narodowego w Komisji Europejskiej.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nowych gremiach Komisji Europejskiej i Rady UE (MFiPR).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C-698/20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Gmina Wieliszew</w:t>
            </w:r>
            <w:r w:rsidRPr="00F879F1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Decyzja Parlamentu Europejskiego i Rady w sprawie uczestnictwa Unii w Europejskim Partnerstwie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dziedzinie Metrologii podjętym wspólnie przez kilka państw członkowskich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 (COM(2021) 89).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do Spraw Zagranicznych (handel) w dniu 20 maja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Ministerstwa Spraw Zagranicznych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na stanowisko eksperta narodowego w Wydziale ds. polityki bezpieczeństwa i obrony w Europejskiej Służbie Działań Zewnętrznych.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spotkanie ministrów UE ds. gospodarczych i finansowych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dniach 21-22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w sprawie zmiany instytucji wiodącej w gremiach Komisji Europejskiej (MI).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w sprawie przedłużenia oddelegowania na stanowisko eksperta w Misji Obserwacyjnej Unii Europejskiej w Gruzji (EUMM Gruzja).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19 i 21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ds. Konkurencyjności dniu 28 maja 2021 r. (sesja dot. badań naukowych).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ds. Konkurencyjności w dniach 27-28 maja 2021 r. (sesje dot. rynku wewnętrznego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 przemysłu oraz przestrzeni kosmicznej).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hd w:val="clear" w:color="auto" w:fill="FFFFFF"/>
                <w:lang w:val="en-GB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</w:t>
            </w:r>
            <w:r w:rsidRPr="00F879F1">
              <w:rPr>
                <w:rFonts w:asciiTheme="minorHAnsi" w:hAnsiTheme="minorHAnsi" w:cstheme="minorHAnsi"/>
                <w:shd w:val="clear" w:color="auto" w:fill="FFFFFF"/>
                <w:lang w:val="en-GB"/>
              </w:rPr>
              <w:t xml:space="preserve">C-700/20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GB"/>
              </w:rPr>
              <w:t>London Steam-Ship Owners’ Mutual Insurance Association</w:t>
            </w:r>
            <w:r w:rsidRPr="00F879F1">
              <w:rPr>
                <w:rFonts w:asciiTheme="minorHAnsi" w:hAnsiTheme="minorHAnsi" w:cstheme="minorHAnsi"/>
                <w:iCs/>
                <w:shd w:val="clear" w:color="auto" w:fill="FFFFFF"/>
                <w:lang w:val="en-GB"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Raport dla Komisji Europejskiej ws. działań podjętych w zakresie nadzoru rynku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nad wyrobami pirotechnicznymi w 2020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t xml:space="preserve">dstawicieli COREPER II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19 i 21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Parlamentu Europejskiego i Rady zastępujące załączniki A i B do rozporządzenia (UE) 2015/848 w sprawie postępowania upadłościowego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 (COM(2021) 231).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Rady ds. Rolnictwa i Rybołówstwa w dniach 26-27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Raport z realizacji Wytycznych Rządu RP wobec Bałkanów Zachodnich w 2020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Sprawozdanie z nieformalnego posiedzenia Rady d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t xml:space="preserve">o Spraw Ogólnych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dniu 17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kandydatów Krajowej Administracji Skarbowej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na stanowiska ekspertów w Misji Pomocy Gr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t xml:space="preserve">anicznej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dla Mołdawii i Ukrainy (EUBAM Mołdawia i Ukraina).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C-715/20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X</w:t>
            </w:r>
            <w:r w:rsidRPr="00F879F1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C-166/21 </w:t>
            </w:r>
            <w:r w:rsidRPr="00F879F1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Komisja Europejska przeciwko Rzeczypospolitej Polskiej</w:t>
            </w:r>
            <w:r w:rsidRPr="00F879F1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Ministerstwa Spraw Zagranicznych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na stanowisko eksperta narodowego w Wydziale Strategii Komunikacyjnej / Zespołów Za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t xml:space="preserve">daniowych i Analizy Informacji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Europejskiej Służbie Działań Zewnętrznych.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dniach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19 i 21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Sprawozdanie z działalności Zespołu roboczego ds. koordynacji wdrażania Strategii Unii Europejskiej dla regionu Morza Bałtyckiego w Polsce w 2020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spotkanie ministrów spraw zagranicznych UE (Gymnich)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dniu 27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nieformalne spotkanie ministrów UE ds. obrony w dniach 27-28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Unii Europejskiej ds. edukacji, młodzieży, kultury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 sportu (sesja edukacja i młodzież) w dniu 17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879F1">
              <w:rPr>
                <w:rFonts w:asciiTheme="minorHAnsi" w:hAnsiTheme="minorHAnsi" w:cstheme="minorHAnsi"/>
              </w:rPr>
              <w:t xml:space="preserve">Informacja w sprawie zatwierdzenia kandydata Ministerstwa Spraw Zagranicznych </w:t>
            </w:r>
            <w:r w:rsidR="00E23DFF">
              <w:rPr>
                <w:rFonts w:asciiTheme="minorHAnsi" w:hAnsiTheme="minorHAnsi" w:cstheme="minorHAnsi"/>
              </w:rPr>
              <w:br/>
            </w:r>
            <w:r w:rsidRPr="00F879F1">
              <w:rPr>
                <w:rFonts w:asciiTheme="minorHAnsi" w:hAnsiTheme="minorHAnsi" w:cstheme="minorHAnsi"/>
              </w:rPr>
              <w:t>na stanowisko eksperta</w:t>
            </w:r>
            <w:r w:rsidR="00E23DFF">
              <w:rPr>
                <w:rFonts w:asciiTheme="minorHAnsi" w:hAnsiTheme="minorHAnsi" w:cstheme="minorHAnsi"/>
              </w:rPr>
              <w:t xml:space="preserve"> narodowego </w:t>
            </w:r>
            <w:r w:rsidRPr="00F879F1">
              <w:rPr>
                <w:rFonts w:asciiTheme="minorHAnsi" w:hAnsiTheme="minorHAnsi" w:cstheme="minorHAnsi"/>
              </w:rPr>
              <w:t>w Europejskiej Służbie Działań Zewnętrznych.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Rady ds. Konkurencyjności w dniu 28 maja 2021 r. (sesja dot. badań naukowych).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t xml:space="preserve">icieli COREPER 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19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t xml:space="preserve">icieli COREPER 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21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Rady UE ds. konkurencyjności (rynek wewnętrzny, przemysł, przestrzeń kosmiczna) w dniach 27-28 maja 2021 r.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879F1">
              <w:rPr>
                <w:rFonts w:asciiTheme="minorHAnsi" w:hAnsiTheme="minorHAnsi" w:cstheme="minorHAnsi"/>
              </w:rPr>
              <w:t xml:space="preserve">Informacja w sprawie stanowiska Rzeczypospolitej Polskiej w sprawie wyborów </w:t>
            </w:r>
            <w:r w:rsidR="00E23DFF">
              <w:rPr>
                <w:rFonts w:asciiTheme="minorHAnsi" w:hAnsiTheme="minorHAnsi" w:cstheme="minorHAnsi"/>
              </w:rPr>
              <w:br/>
            </w:r>
            <w:r w:rsidRPr="00F879F1">
              <w:rPr>
                <w:rFonts w:asciiTheme="minorHAnsi" w:hAnsiTheme="minorHAnsi" w:cstheme="minorHAnsi"/>
              </w:rPr>
              <w:t xml:space="preserve">na stanowisko Przewodniczącego Izby Odwoławczej Urzędu Unii Europejskiej </w:t>
            </w:r>
            <w:r w:rsidR="00E23DFF">
              <w:rPr>
                <w:rFonts w:asciiTheme="minorHAnsi" w:hAnsiTheme="minorHAnsi" w:cstheme="minorHAnsi"/>
              </w:rPr>
              <w:br/>
            </w:r>
            <w:r w:rsidRPr="00F879F1">
              <w:rPr>
                <w:rFonts w:asciiTheme="minorHAnsi" w:hAnsiTheme="minorHAnsi" w:cstheme="minorHAnsi"/>
              </w:rPr>
              <w:t>ds. Własności Intelektualnej (EUIPO).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F879F1">
              <w:rPr>
                <w:rFonts w:asciiTheme="minorHAnsi" w:hAnsiTheme="minorHAnsi" w:cstheme="minorHAnsi"/>
              </w:rPr>
              <w:t>Informacja w sprawie przedłużenia oddelegowania pracownika Ministerstwa Spraw Zagranicznych na stanowisko eksperta narodowego w Europejskiej Służbie Działań Zewnętrznych.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</w:rPr>
            </w:pPr>
            <w:r w:rsidRPr="00F879F1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E23DFF">
              <w:rPr>
                <w:rFonts w:asciiTheme="minorHAnsi" w:hAnsiTheme="minorHAnsi" w:cstheme="minorHAnsi"/>
              </w:rPr>
              <w:br/>
            </w:r>
            <w:r w:rsidRPr="00F879F1">
              <w:rPr>
                <w:rFonts w:asciiTheme="minorHAnsi" w:hAnsiTheme="minorHAnsi" w:cstheme="minorHAnsi"/>
              </w:rPr>
              <w:t xml:space="preserve">C-156/21 </w:t>
            </w:r>
            <w:r w:rsidRPr="00F879F1">
              <w:rPr>
                <w:rFonts w:asciiTheme="minorHAnsi" w:hAnsiTheme="minorHAnsi" w:cstheme="minorHAnsi"/>
                <w:i/>
                <w:iCs/>
              </w:rPr>
              <w:t>Węgry przeciwko Parlamentowi Europejskiemu i Radzie Unii Europejskiej</w:t>
            </w:r>
            <w:r w:rsidRPr="00F879F1">
              <w:rPr>
                <w:rFonts w:asciiTheme="minorHAnsi" w:hAnsiTheme="minorHAnsi" w:cstheme="minorHAnsi"/>
                <w:iCs/>
              </w:rPr>
              <w:t>.</w:t>
            </w:r>
          </w:p>
          <w:p w:rsidR="00253295" w:rsidRPr="00E23DFF" w:rsidRDefault="00F879F1" w:rsidP="00F879F1">
            <w:pPr>
              <w:pStyle w:val="Akapitzlist"/>
              <w:numPr>
                <w:ilvl w:val="0"/>
                <w:numId w:val="5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t xml:space="preserve">icieli COREPER I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dniu 26 maja 2021 r.</w:t>
            </w:r>
          </w:p>
          <w:p w:rsidR="00826F50" w:rsidRPr="00F879F1" w:rsidRDefault="00E45F39" w:rsidP="00F879F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879F1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Projekt rozporządzenia Rady Ministrów w sprawie dokumentów wymaganych przy składaniu wniosku o wydanie zezwolenia na wykonywanie działalności związanej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z narażeniem na działanie promieniowania jonizującego albo przy zgłoszeniu wykonywania tej działalności (RD84).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Projekt ustawy o zmianie ustawy - Prawo ochrony środowiska  oraz ustawy o systemie zarządzania emisjami gazów cieplarnianych i innych substancji (UC58).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F879F1">
              <w:rPr>
                <w:rFonts w:asciiTheme="minorHAnsi" w:hAnsiTheme="minorHAnsi" w:cstheme="minorHAnsi"/>
              </w:rPr>
              <w:t>Projekt ustawy o zmianie ustawy o ochronie zwierząt wykorzystywanych do celów naukowych lub edukacyjnych (UC35).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Projekt ustawy o zmianie ustawy o odpadach oraz niektórych innych ustaw (UC43).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Projekt ustawy o zmianie ustawy – Prawo lotnicze oraz ustawy o Straży Granicznej (UC71).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F879F1">
              <w:rPr>
                <w:rFonts w:asciiTheme="minorHAnsi" w:hAnsiTheme="minorHAnsi" w:cstheme="minorHAnsi"/>
              </w:rPr>
              <w:t>Projekt ustawy – Prawo komunikacji elektronicznej (UC45).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F879F1">
              <w:rPr>
                <w:rFonts w:asciiTheme="minorHAnsi" w:hAnsiTheme="minorHAnsi" w:cstheme="minorHAnsi"/>
              </w:rPr>
              <w:t>Projekt ustawy – Przepisy wprowadzające ustawę – Prawo komunikacji elektronicznej (UC46).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Podział środków na programy Interreg 2021-2027 z udziałem Polski.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Roczny zbiorczy raport dla Komisji Europejskiej dotyczący zawartości siarki w lekkim oleju opałowym, ciężkim oleju opałowym, oleju do silników statków żeglugi śródlądowej ora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t xml:space="preserve">z paliwie żeglugowym stosowanym </w:t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statkach morskich w 2020 roku.</w:t>
            </w:r>
          </w:p>
          <w:p w:rsidR="00F879F1" w:rsidRPr="00E23DFF" w:rsidRDefault="00F879F1" w:rsidP="00E23DF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Wniosek o derogację dla Rzeczypospolitej Polskiej na podstawie art. 395 dyrektywy Rady 2006/112/WE w sprawie wspólnego systemu podatku od wartości dodanej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celu przedłużenia i rozszerzenia zakresu upoważnienia do stosowania odstępstwa od art. 226 tej dyrektywy zawartego w decyzji wykonawczej Rady (UE) 2019/310.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F879F1">
              <w:rPr>
                <w:rFonts w:asciiTheme="minorHAnsi" w:hAnsiTheme="minorHAnsi" w:cstheme="minorHAnsi"/>
                <w:b/>
              </w:rPr>
              <w:t>Uzgodnił oraz rekomendował Radzie Ministrów rozpatrzenie następujących dokumentów: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F879F1">
              <w:rPr>
                <w:rFonts w:asciiTheme="minorHAnsi" w:hAnsiTheme="minorHAnsi" w:cstheme="minorHAnsi"/>
              </w:rPr>
              <w:t>Informacja ws. stanowiska Polski na Szczyt Społeczny oraz nieformalne posiedzenie Rady Europejskiej w dniach 7-8 maja 2021 r.</w:t>
            </w:r>
          </w:p>
          <w:p w:rsidR="00F879F1" w:rsidRPr="00F879F1" w:rsidRDefault="00F879F1" w:rsidP="00F879F1">
            <w:pPr>
              <w:pStyle w:val="Akapitzlist"/>
              <w:rPr>
                <w:rFonts w:asciiTheme="minorHAnsi" w:hAnsiTheme="minorHAnsi" w:cstheme="minorHAnsi"/>
                <w:bCs/>
              </w:rPr>
            </w:pPr>
            <w:r w:rsidRPr="00F879F1">
              <w:rPr>
                <w:rStyle w:val="gwpcad635becolour"/>
                <w:rFonts w:asciiTheme="minorHAnsi" w:hAnsiTheme="minorHAnsi" w:cstheme="minorHAnsi"/>
              </w:rPr>
              <w:t>Komitet rekomendował RM rozpatrzenie „Stanowiska Polski na Szczyt Społeczny oraz nieformalne posiedzenie Rady Europejskiej w dniach 7-8 maja 2021 r.”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ws. przebiegu i wyników Szczytu Społecznego oraz nieformalnego posiedzenia Rady Europejskiej w dniach 7-8 maja 2021 r.</w:t>
            </w:r>
          </w:p>
          <w:p w:rsidR="00F879F1" w:rsidRPr="00F879F1" w:rsidRDefault="00F879F1" w:rsidP="00F879F1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Style w:val="gwpcad635becolour"/>
                <w:rFonts w:asciiTheme="minorHAnsi" w:hAnsiTheme="minorHAnsi" w:cstheme="minorHAnsi"/>
              </w:rPr>
              <w:t xml:space="preserve">Komitet rekomendował RM rozpatrzenie „Sprawozdania ze Szczytu Społecznego </w:t>
            </w:r>
            <w:r w:rsidR="00E23DFF">
              <w:rPr>
                <w:rStyle w:val="gwpcad635becolour"/>
                <w:rFonts w:asciiTheme="minorHAnsi" w:hAnsiTheme="minorHAnsi" w:cstheme="minorHAnsi"/>
              </w:rPr>
              <w:br/>
            </w:r>
            <w:r w:rsidRPr="00F879F1">
              <w:rPr>
                <w:rStyle w:val="gwpcad635becolour"/>
                <w:rFonts w:asciiTheme="minorHAnsi" w:hAnsiTheme="minorHAnsi" w:cstheme="minorHAnsi"/>
              </w:rPr>
              <w:t>oraz nieformalnego posiedzenia Rady Europejskiej w dniach 7-8 maja 2021 r.”.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 xml:space="preserve">Informacja ws. stanowiska Polski na nadzwyczajne posiedzenie Rady Europejskiej </w:t>
            </w:r>
            <w:r w:rsidR="00E23DFF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F879F1">
              <w:rPr>
                <w:rFonts w:asciiTheme="minorHAnsi" w:hAnsiTheme="minorHAnsi" w:cstheme="minorHAnsi"/>
                <w:shd w:val="clear" w:color="auto" w:fill="FFFFFF"/>
              </w:rPr>
              <w:t>w dniach 24-25 maja 2021 r.</w:t>
            </w:r>
          </w:p>
          <w:p w:rsidR="00F879F1" w:rsidRPr="00F879F1" w:rsidRDefault="00F879F1" w:rsidP="00F879F1">
            <w:pPr>
              <w:pStyle w:val="Akapitzlist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Style w:val="gwpcad635becolour"/>
                <w:rFonts w:asciiTheme="minorHAnsi" w:hAnsiTheme="minorHAnsi" w:cstheme="minorHAnsi"/>
              </w:rPr>
              <w:t>Komitet rekomendował RM rozpatrzenie „Stanowiska Polski na nadzwyczajne posiedzenie Rady Europejskiej w dniach 24-25 maja 2021 r.”</w:t>
            </w:r>
          </w:p>
          <w:p w:rsidR="00F879F1" w:rsidRPr="00F879F1" w:rsidRDefault="00F879F1" w:rsidP="00F879F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879F1">
              <w:rPr>
                <w:rFonts w:asciiTheme="minorHAnsi" w:hAnsiTheme="minorHAnsi" w:cstheme="minorHAnsi"/>
                <w:shd w:val="clear" w:color="auto" w:fill="FFFFFF"/>
              </w:rPr>
              <w:t>Informacja w sprawie kandydatury na stanowisko członka Rady Dyrektorów Europejskiego Banku Inwestycyjnego.</w:t>
            </w:r>
          </w:p>
          <w:p w:rsidR="00F879F1" w:rsidRPr="00F879F1" w:rsidRDefault="00F879F1" w:rsidP="00F879F1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F879F1">
              <w:rPr>
                <w:rStyle w:val="gwpcad635becolour"/>
                <w:rFonts w:asciiTheme="minorHAnsi" w:hAnsiTheme="minorHAnsi" w:cstheme="minorHAnsi"/>
              </w:rPr>
              <w:t xml:space="preserve">Komitet rekomendował RM </w:t>
            </w:r>
            <w:r w:rsidRPr="00F879F1">
              <w:rPr>
                <w:rFonts w:asciiTheme="minorHAnsi" w:hAnsiTheme="minorHAnsi" w:cstheme="minorHAnsi"/>
              </w:rPr>
              <w:t>zatwierdzenie kandydatury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5B7044" w:rsidRPr="006C0DD5" w:rsidRDefault="005B7044" w:rsidP="006C0DD5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6C0DD5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9D" w:rsidRDefault="00D8409D">
      <w:r>
        <w:separator/>
      </w:r>
    </w:p>
  </w:endnote>
  <w:endnote w:type="continuationSeparator" w:id="0">
    <w:p w:rsidR="00D8409D" w:rsidRDefault="00D8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50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9D" w:rsidRDefault="00D8409D">
      <w:r>
        <w:separator/>
      </w:r>
    </w:p>
  </w:footnote>
  <w:footnote w:type="continuationSeparator" w:id="0">
    <w:p w:rsidR="00D8409D" w:rsidRDefault="00D8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33A"/>
    <w:multiLevelType w:val="hybridMultilevel"/>
    <w:tmpl w:val="9386106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5F7D"/>
    <w:multiLevelType w:val="hybridMultilevel"/>
    <w:tmpl w:val="3808E6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5F0A"/>
    <w:multiLevelType w:val="hybridMultilevel"/>
    <w:tmpl w:val="90A69DB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021E"/>
    <w:multiLevelType w:val="hybridMultilevel"/>
    <w:tmpl w:val="B36A64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7ECB"/>
    <w:multiLevelType w:val="hybridMultilevel"/>
    <w:tmpl w:val="EA4871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66E3"/>
    <w:multiLevelType w:val="hybridMultilevel"/>
    <w:tmpl w:val="D9648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1D693F"/>
    <w:multiLevelType w:val="hybridMultilevel"/>
    <w:tmpl w:val="E1C03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0FB7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58CD"/>
    <w:rsid w:val="00055FEB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2540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92"/>
    <w:rsid w:val="000A1BB1"/>
    <w:rsid w:val="000A1D2F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5C0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24A"/>
    <w:rsid w:val="00147457"/>
    <w:rsid w:val="00152656"/>
    <w:rsid w:val="00152C81"/>
    <w:rsid w:val="00152F2B"/>
    <w:rsid w:val="001540ED"/>
    <w:rsid w:val="00154675"/>
    <w:rsid w:val="00154773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438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49E9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3295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5FCD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90E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15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78E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4E80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00D6"/>
    <w:rsid w:val="003F2C77"/>
    <w:rsid w:val="003F3A16"/>
    <w:rsid w:val="003F3A7A"/>
    <w:rsid w:val="003F3CFA"/>
    <w:rsid w:val="003F4622"/>
    <w:rsid w:val="003F494F"/>
    <w:rsid w:val="003F74C0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3C0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424E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7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241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5953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1C83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019A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6D6A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2AE1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629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0DD5"/>
    <w:rsid w:val="006C2179"/>
    <w:rsid w:val="006C388D"/>
    <w:rsid w:val="006C405D"/>
    <w:rsid w:val="006C4087"/>
    <w:rsid w:val="006C457A"/>
    <w:rsid w:val="006C50A7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3AE"/>
    <w:rsid w:val="007518A0"/>
    <w:rsid w:val="00751A7C"/>
    <w:rsid w:val="00751B54"/>
    <w:rsid w:val="00752073"/>
    <w:rsid w:val="007521B7"/>
    <w:rsid w:val="007521EB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5D81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7F779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6F50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071"/>
    <w:rsid w:val="008A3C60"/>
    <w:rsid w:val="008A4F47"/>
    <w:rsid w:val="008A51C3"/>
    <w:rsid w:val="008A58E4"/>
    <w:rsid w:val="008A703D"/>
    <w:rsid w:val="008A79FB"/>
    <w:rsid w:val="008B0E4D"/>
    <w:rsid w:val="008B1DB6"/>
    <w:rsid w:val="008B21C5"/>
    <w:rsid w:val="008B5089"/>
    <w:rsid w:val="008B5D60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1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1D5B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45AF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6E5A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78E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470A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1EE2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4852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33F8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16E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BAF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A74B5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0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05"/>
    <w:rsid w:val="00CF442D"/>
    <w:rsid w:val="00CF5B26"/>
    <w:rsid w:val="00CF63C9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1AF6"/>
    <w:rsid w:val="00D52149"/>
    <w:rsid w:val="00D52C1F"/>
    <w:rsid w:val="00D533B5"/>
    <w:rsid w:val="00D53C31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409D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4AA8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3DFF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39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37CD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566F"/>
    <w:rsid w:val="00E97A4B"/>
    <w:rsid w:val="00EA2372"/>
    <w:rsid w:val="00EA23DC"/>
    <w:rsid w:val="00EA3382"/>
    <w:rsid w:val="00EA380D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879F1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9c55249font">
    <w:name w:val="gwp89c55249_font"/>
    <w:basedOn w:val="Domylnaczcionkaakapitu"/>
    <w:rsid w:val="001D5438"/>
  </w:style>
  <w:style w:type="character" w:customStyle="1" w:styleId="font">
    <w:name w:val="font"/>
    <w:basedOn w:val="Domylnaczcionkaakapitu"/>
    <w:rsid w:val="001D5438"/>
  </w:style>
  <w:style w:type="character" w:customStyle="1" w:styleId="gwpa13d8e1ffont">
    <w:name w:val="gwpa13d8e1f_font"/>
    <w:basedOn w:val="Domylnaczcionkaakapitu"/>
    <w:rsid w:val="001D5438"/>
  </w:style>
  <w:style w:type="character" w:customStyle="1" w:styleId="gwp1619376efont">
    <w:name w:val="gwp1619376e_font"/>
    <w:basedOn w:val="Domylnaczcionkaakapitu"/>
    <w:rsid w:val="001D5438"/>
  </w:style>
  <w:style w:type="character" w:customStyle="1" w:styleId="gwpe32b5d2dgwp86abefe7gwp86abefe7gwp86abefe7font">
    <w:name w:val="gwpe32b5d2d_gwp86abefe7_gwp86abefe7_gwp86abefe7_font"/>
    <w:basedOn w:val="Domylnaczcionkaakapitu"/>
    <w:rsid w:val="001D5438"/>
  </w:style>
  <w:style w:type="paragraph" w:customStyle="1" w:styleId="gwp39f4d472gwp39f4d472gwp39f4d472gwp39f4d472gwp39f4d472gwp39f4d472gwp39f4d472gwp39f4d472gwp39f4d472gwp151c6b59gwp9a2ded00gwp9a2ded00gwp9a2ded00gwp9a2ded00gwp2bc11f8bgwpeb233c62gwp488dc570msonormal">
    <w:name w:val="gwp39f4d472_gwp39f4d472_gwp39f4d472_gwp39f4d472_gwp39f4d472_gwp39f4d472_gwp39f4d472_gwp39f4d472_gwp39f4d472_gwp151c6b59_gwp9a2ded00gwp9a2ded00gwp9a2ded00gwp9a2ded00gwp2bc11f8bgwpeb233c62gwp488dc570msonormal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D5438"/>
    <w:rPr>
      <w:i/>
      <w:iCs/>
      <w:color w:val="808080"/>
    </w:rPr>
  </w:style>
  <w:style w:type="character" w:customStyle="1" w:styleId="colour">
    <w:name w:val="colour"/>
    <w:basedOn w:val="Domylnaczcionkaakapitu"/>
    <w:rsid w:val="001D5438"/>
  </w:style>
  <w:style w:type="paragraph" w:customStyle="1" w:styleId="gwp242690bdgwp242690bdgwp242690bdgwp242690bdgwp242690bdgwp242690bdgwp242690bdgwp242690bdgwp1a81e7f1gwpbeb050a4gwpbeb050a4gwpbeb050a4gwpfd1fddb4gwpfd1fddb4gwp70810f61gwpfc29e24bgwpfc29e24bgwp39f4d472gwp39f4d472gwp39f4d472gwp39f4d472gwp151c6b59gw">
    <w:name w:val="gwp242690bd_gwp242690bd_gwp242690bd_gwp242690bd_gwp242690bd_gwp242690bd_gwp242690bd_gwp242690bd_gwp1a81e7f1_gwpbeb050a4gwpbeb050a4gwpbeb050a4gwpfd1fddb4gwpfd1fddb4gwp70810f61gwpfc29e24bgwpfc29e24bgwp39f4d472gwp39f4d472gwp39f4d472gwp39f4d472gwp151c6b59gw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1D543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wp242690bdgwp242690bdgwp242690bdwestern">
    <w:name w:val="gwp242690bd_gwp242690bd_gwp242690bd_western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gwpcad635becolour">
    <w:name w:val="gwpcad635becolour"/>
    <w:basedOn w:val="Domylnaczcionkaakapitu"/>
    <w:rsid w:val="00F8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F14C7-E264-4ADC-8D3F-5F387628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2212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2020-11-09T10:26:00Z</cp:lastPrinted>
  <dcterms:created xsi:type="dcterms:W3CDTF">2021-06-11T09:48:00Z</dcterms:created>
  <dcterms:modified xsi:type="dcterms:W3CDTF">2021-06-11T10:06:00Z</dcterms:modified>
</cp:coreProperties>
</file>