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Verdana" w:hAnsi="Verdana" w:cstheme="minorBidi"/>
          <w:color w:val="auto"/>
          <w:sz w:val="20"/>
          <w:szCs w:val="20"/>
        </w:rPr>
        <w:id w:val="-1409451139"/>
        <w:placeholder>
          <w:docPart w:val="762775CB547F442CB7F2D8CD17E8AB63"/>
        </w:placeholder>
      </w:sdtPr>
      <w:sdtEndPr/>
      <w:sdtContent>
        <w:p w:rsidR="00E90F81" w:rsidRPr="00F4283A" w:rsidRDefault="009E3738" w:rsidP="0001213A">
          <w:pPr>
            <w:pStyle w:val="Default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 w:cs="Times New Roman"/>
              <w:b/>
              <w:sz w:val="20"/>
              <w:szCs w:val="20"/>
            </w:rPr>
            <w:t>Opis</w:t>
          </w:r>
          <w:r w:rsidR="00E90F81" w:rsidRPr="00B708D8">
            <w:rPr>
              <w:rFonts w:ascii="Verdana" w:hAnsi="Verdana" w:cs="Times New Roman"/>
              <w:b/>
              <w:sz w:val="20"/>
              <w:szCs w:val="20"/>
            </w:rPr>
            <w:t xml:space="preserve"> przedmiot</w:t>
          </w:r>
          <w:r>
            <w:rPr>
              <w:rFonts w:ascii="Verdana" w:hAnsi="Verdana" w:cs="Times New Roman"/>
              <w:b/>
              <w:sz w:val="20"/>
              <w:szCs w:val="20"/>
            </w:rPr>
            <w:t>u</w:t>
          </w:r>
          <w:r w:rsidR="00E90F81" w:rsidRPr="00B708D8">
            <w:rPr>
              <w:rFonts w:ascii="Verdana" w:hAnsi="Verdana" w:cs="Times New Roman"/>
              <w:b/>
              <w:sz w:val="20"/>
              <w:szCs w:val="20"/>
            </w:rPr>
            <w:t xml:space="preserve"> zamówienia</w:t>
          </w:r>
        </w:p>
        <w:p w:rsidR="00E90F81" w:rsidRDefault="00E90F81" w:rsidP="0001213A">
          <w:pPr>
            <w:pStyle w:val="Default"/>
            <w:jc w:val="both"/>
            <w:rPr>
              <w:rFonts w:ascii="Verdana" w:hAnsi="Verdana" w:cs="Times New Roman"/>
              <w:sz w:val="20"/>
              <w:szCs w:val="20"/>
            </w:rPr>
          </w:pPr>
        </w:p>
        <w:p w:rsidR="00E90F81" w:rsidRDefault="00E90F81" w:rsidP="0001213A">
          <w:pPr>
            <w:pStyle w:val="Default"/>
            <w:jc w:val="both"/>
            <w:rPr>
              <w:rFonts w:ascii="Verdana" w:hAnsi="Verdana" w:cs="Times New Roman"/>
              <w:sz w:val="20"/>
              <w:szCs w:val="20"/>
            </w:rPr>
          </w:pPr>
          <w:r w:rsidRPr="004436BF">
            <w:rPr>
              <w:rFonts w:ascii="Verdana" w:hAnsi="Verdana" w:cs="Times New Roman"/>
              <w:sz w:val="20"/>
              <w:szCs w:val="20"/>
            </w:rPr>
            <w:t xml:space="preserve">Główny kod CPV -  </w:t>
          </w:r>
          <w:r w:rsidR="00233746" w:rsidRPr="00233746">
            <w:rPr>
              <w:rFonts w:ascii="Verdana" w:hAnsi="Verdana" w:cs="Times New Roman"/>
              <w:sz w:val="20"/>
              <w:szCs w:val="20"/>
            </w:rPr>
            <w:t>63712710-3</w:t>
          </w:r>
        </w:p>
        <w:p w:rsidR="00233746" w:rsidRPr="00233746" w:rsidRDefault="00233746" w:rsidP="0001213A">
          <w:pPr>
            <w:pStyle w:val="Default"/>
            <w:jc w:val="both"/>
            <w:rPr>
              <w:rFonts w:ascii="Verdana" w:hAnsi="Verdana" w:cs="Times New Roman"/>
              <w:sz w:val="20"/>
              <w:szCs w:val="20"/>
            </w:rPr>
          </w:pPr>
        </w:p>
        <w:p w:rsidR="001D3C26" w:rsidRDefault="00344371" w:rsidP="0001213A">
          <w:pPr>
            <w:spacing w:after="0" w:line="240" w:lineRule="auto"/>
            <w:jc w:val="both"/>
            <w:rPr>
              <w:rFonts w:ascii="Verdana" w:hAnsi="Verdana"/>
              <w:i/>
              <w:sz w:val="20"/>
              <w:szCs w:val="20"/>
            </w:rPr>
          </w:pPr>
          <w:r w:rsidRPr="00344371">
            <w:rPr>
              <w:rFonts w:ascii="Verdana" w:hAnsi="Verdana"/>
              <w:i/>
              <w:sz w:val="20"/>
              <w:szCs w:val="20"/>
            </w:rPr>
            <w:t xml:space="preserve">Wykonanie Analizy i Prognozy Ruchu dla zadania pn. „Budowa S19 na odc. </w:t>
          </w:r>
          <w:proofErr w:type="spellStart"/>
          <w:r w:rsidRPr="00344371">
            <w:rPr>
              <w:rFonts w:ascii="Verdana" w:hAnsi="Verdana"/>
              <w:i/>
              <w:sz w:val="20"/>
              <w:szCs w:val="20"/>
            </w:rPr>
            <w:t>w.Białystok</w:t>
          </w:r>
          <w:proofErr w:type="spellEnd"/>
          <w:r w:rsidRPr="00344371">
            <w:rPr>
              <w:rFonts w:ascii="Verdana" w:hAnsi="Verdana"/>
              <w:i/>
              <w:sz w:val="20"/>
              <w:szCs w:val="20"/>
            </w:rPr>
            <w:t xml:space="preserve"> Zach – Ploski (</w:t>
          </w:r>
          <w:proofErr w:type="spellStart"/>
          <w:r w:rsidRPr="00344371">
            <w:rPr>
              <w:rFonts w:ascii="Verdana" w:hAnsi="Verdana"/>
              <w:i/>
              <w:sz w:val="20"/>
              <w:szCs w:val="20"/>
            </w:rPr>
            <w:t>w.Deniski</w:t>
          </w:r>
          <w:proofErr w:type="spellEnd"/>
          <w:r w:rsidRPr="00344371">
            <w:rPr>
              <w:rFonts w:ascii="Verdana" w:hAnsi="Verdana"/>
              <w:i/>
              <w:sz w:val="20"/>
              <w:szCs w:val="20"/>
            </w:rPr>
            <w:t xml:space="preserve">) z odcinkiem dk65 od </w:t>
          </w:r>
          <w:proofErr w:type="spellStart"/>
          <w:r w:rsidRPr="00344371">
            <w:rPr>
              <w:rFonts w:ascii="Verdana" w:hAnsi="Verdana"/>
              <w:i/>
              <w:sz w:val="20"/>
              <w:szCs w:val="20"/>
            </w:rPr>
            <w:t>w.Białystok</w:t>
          </w:r>
          <w:proofErr w:type="spellEnd"/>
          <w:r w:rsidRPr="00344371">
            <w:rPr>
              <w:rFonts w:ascii="Verdana" w:hAnsi="Verdana"/>
              <w:i/>
              <w:sz w:val="20"/>
              <w:szCs w:val="20"/>
            </w:rPr>
            <w:t xml:space="preserve"> Płd. do Grabówki (włączenie w </w:t>
          </w:r>
          <w:proofErr w:type="spellStart"/>
          <w:r w:rsidRPr="00344371">
            <w:rPr>
              <w:rFonts w:ascii="Verdana" w:hAnsi="Verdana"/>
              <w:i/>
              <w:sz w:val="20"/>
              <w:szCs w:val="20"/>
            </w:rPr>
            <w:t>istn</w:t>
          </w:r>
          <w:proofErr w:type="spellEnd"/>
          <w:r w:rsidRPr="00344371">
            <w:rPr>
              <w:rFonts w:ascii="Verdana" w:hAnsi="Verdana"/>
              <w:i/>
              <w:sz w:val="20"/>
              <w:szCs w:val="20"/>
            </w:rPr>
            <w:t>. dk65)”</w:t>
          </w:r>
        </w:p>
        <w:p w:rsidR="001D3C26" w:rsidRPr="001D3C26" w:rsidRDefault="001D3C26" w:rsidP="0001213A">
          <w:pPr>
            <w:spacing w:after="0" w:line="240" w:lineRule="auto"/>
            <w:jc w:val="both"/>
            <w:rPr>
              <w:rFonts w:ascii="Verdana" w:hAnsi="Verdana"/>
              <w:i/>
              <w:sz w:val="20"/>
              <w:szCs w:val="20"/>
            </w:rPr>
          </w:pPr>
        </w:p>
        <w:p w:rsidR="00E90F81" w:rsidRDefault="00E90F81" w:rsidP="0001213A">
          <w:pPr>
            <w:spacing w:line="240" w:lineRule="auto"/>
            <w:jc w:val="both"/>
            <w:rPr>
              <w:rFonts w:ascii="Verdana" w:hAnsi="Verdana"/>
              <w:sz w:val="20"/>
            </w:rPr>
          </w:pPr>
          <w:r w:rsidRPr="000004E0">
            <w:rPr>
              <w:rFonts w:ascii="Verdana" w:hAnsi="Verdana"/>
              <w:sz w:val="20"/>
            </w:rPr>
            <w:t xml:space="preserve">Zamówienie będzie obejmowało </w:t>
          </w:r>
          <w:r w:rsidR="000004E0" w:rsidRPr="000004E0">
            <w:rPr>
              <w:rFonts w:ascii="Verdana" w:hAnsi="Verdana"/>
              <w:sz w:val="20"/>
            </w:rPr>
            <w:t xml:space="preserve">wykonanie opracowania </w:t>
          </w:r>
          <w:r w:rsidR="000004E0">
            <w:rPr>
              <w:rFonts w:ascii="Verdana" w:hAnsi="Verdana"/>
              <w:sz w:val="20"/>
            </w:rPr>
            <w:t>Analizy i Prognozy Ruchu</w:t>
          </w:r>
          <w:r w:rsidR="00D70C68">
            <w:rPr>
              <w:rFonts w:ascii="Verdana" w:hAnsi="Verdana"/>
              <w:sz w:val="20"/>
            </w:rPr>
            <w:t xml:space="preserve"> na podstawie wytycznych </w:t>
          </w:r>
          <w:r w:rsidR="001B3776">
            <w:rPr>
              <w:rFonts w:ascii="Verdana" w:hAnsi="Verdana"/>
              <w:sz w:val="20"/>
            </w:rPr>
            <w:t xml:space="preserve">Departamentu Strategii i Studiów </w:t>
          </w:r>
          <w:r w:rsidR="00D70C68">
            <w:rPr>
              <w:rFonts w:ascii="Verdana" w:hAnsi="Verdana"/>
              <w:sz w:val="20"/>
            </w:rPr>
            <w:t xml:space="preserve">Generalnej Dyrekcji Dróg Krajowych i Autostrad </w:t>
          </w:r>
          <w:r w:rsidR="006F5268">
            <w:rPr>
              <w:rFonts w:ascii="Verdana" w:hAnsi="Verdana"/>
              <w:sz w:val="20"/>
            </w:rPr>
            <w:t>pn</w:t>
          </w:r>
          <w:r w:rsidR="00D70C68">
            <w:rPr>
              <w:rFonts w:ascii="Verdana" w:hAnsi="Verdana"/>
              <w:sz w:val="20"/>
            </w:rPr>
            <w:t xml:space="preserve">. „Szczegółowe wymagania do dokumentacji. Analiza i prognoza ruchu”, które są załącznikiem </w:t>
          </w:r>
          <w:r w:rsidR="001B3776">
            <w:rPr>
              <w:rFonts w:ascii="Verdana" w:hAnsi="Verdana"/>
              <w:sz w:val="20"/>
            </w:rPr>
            <w:t>zamówienia</w:t>
          </w:r>
          <w:r w:rsidR="007E185B">
            <w:rPr>
              <w:rFonts w:ascii="Verdana" w:hAnsi="Verdana"/>
              <w:sz w:val="20"/>
            </w:rPr>
            <w:t>,</w:t>
          </w:r>
          <w:r w:rsidR="00D567E7">
            <w:rPr>
              <w:rFonts w:ascii="Verdana" w:hAnsi="Verdana"/>
              <w:sz w:val="20"/>
            </w:rPr>
            <w:t xml:space="preserve"> oraz:</w:t>
          </w:r>
        </w:p>
        <w:p w:rsidR="00F4283A" w:rsidRDefault="00164822" w:rsidP="00F428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>
            <w:rPr>
              <w:rFonts w:ascii="Verdana" w:hAnsi="Verdana"/>
              <w:bCs/>
              <w:sz w:val="20"/>
              <w:szCs w:val="20"/>
            </w:rPr>
            <w:t>P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t>rognozę</w:t>
          </w:r>
          <w:r w:rsidR="00F4283A">
            <w:rPr>
              <w:rFonts w:ascii="Verdana" w:hAnsi="Verdana"/>
              <w:bCs/>
              <w:sz w:val="20"/>
              <w:szCs w:val="20"/>
            </w:rPr>
            <w:t xml:space="preserve"> należy wykonać metodą modelową </w:t>
          </w:r>
          <w:r w:rsidR="0001213A">
            <w:rPr>
              <w:rFonts w:ascii="Verdana" w:hAnsi="Verdana"/>
              <w:bCs/>
              <w:sz w:val="20"/>
              <w:szCs w:val="20"/>
            </w:rPr>
            <w:t xml:space="preserve">przy następujących 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t>założeniach:</w:t>
          </w:r>
        </w:p>
        <w:p w:rsidR="0001213A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  <w:t>1. Należy przyjąć założenia dotyczące rozwoju sieci dróg krajowych zgodnie z Uchwałą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nr 253/2022 Rady Ministrów z dnia 13 grudnia 2022 r., ustanawiającą Rządowy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Program Budowy Dróg Krajowych do 2030 r. (z perspektywą do 2033 r.), dostępną na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stronie internetowej Ministerstwa Infrastruktury pod adresem www: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</w:r>
          <w:r w:rsidRPr="00B85ECE">
            <w:rPr>
              <w:rFonts w:ascii="Verdana" w:hAnsi="Verdana"/>
              <w:bCs/>
              <w:sz w:val="20"/>
              <w:szCs w:val="20"/>
              <w:u w:val="single"/>
            </w:rPr>
            <w:t>https://www.gov.pl/web/infrastruktura/rzadowy-program-budowy-drog-krajowychdo-2030-r-z-perspektywa-do-2033-r</w:t>
          </w:r>
          <w:r w:rsidRPr="0001213A">
            <w:rPr>
              <w:rFonts w:ascii="Verdana" w:hAnsi="Verdana"/>
              <w:bCs/>
              <w:sz w:val="20"/>
              <w:szCs w:val="20"/>
            </w:rPr>
            <w:t>, w szczególności zadania inwestycyjne zawarte w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załączniku do niniejszej Uchwały, tj. z załącznika nr 1 z listą zadań inwestycyjnych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realizowanych w ramach niniejszego Programu oraz z załącznika nr 2 z zadaniami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inwestycyjnymi kontynuowanymi z Programu Budowy Dróg Krajowych na lata 2014 –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2023 (z perspektywą do 2025 r.).</w:t>
          </w:r>
        </w:p>
        <w:p w:rsidR="0001213A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  <w:t>Harmonogram rozwoju sieci dróg szybkiego ruchu powinien również obejmować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inwestycje: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a) określone w rozporządzeniu Rady Ministrów z dnia 15 maja 2004 roku w sprawie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 xml:space="preserve">sieci autostrad i dróg ekspresowych (Dz. U. z 2018 r., poz. 741 z </w:t>
          </w:r>
          <w:proofErr w:type="spellStart"/>
          <w:r w:rsidRPr="0001213A">
            <w:rPr>
              <w:rFonts w:ascii="Verdana" w:hAnsi="Verdana"/>
              <w:bCs/>
              <w:sz w:val="20"/>
              <w:szCs w:val="20"/>
            </w:rPr>
            <w:t>późn</w:t>
          </w:r>
          <w:proofErr w:type="spellEnd"/>
          <w:r w:rsidRPr="0001213A">
            <w:rPr>
              <w:rFonts w:ascii="Verdana" w:hAnsi="Verdana"/>
              <w:bCs/>
              <w:sz w:val="20"/>
              <w:szCs w:val="20"/>
            </w:rPr>
            <w:t>. zm.),</w:t>
          </w:r>
        </w:p>
        <w:p w:rsidR="0001213A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  <w:t>b) uwzględnione w obowiązującej sieci TEN–T (dla odcinków sieci bazowej do 2030 r.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i odcinków sieci kompleksowej do 2050 r.),</w:t>
          </w:r>
        </w:p>
        <w:p w:rsidR="0001213A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  <w:t>c) przyjęte Uchwałą nr 46/2021 Rady Ministrów z 13 kwietnia 2021 r., w sprawie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ustanowienia programu wieloletniego pod nazwą „Program Budowy 100 Obwodnic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na lata 2020–2030”.</w:t>
          </w:r>
        </w:p>
        <w:p w:rsidR="00D74926" w:rsidRDefault="00D74926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>
            <w:rPr>
              <w:rFonts w:ascii="Verdana" w:hAnsi="Verdana"/>
              <w:bCs/>
              <w:sz w:val="20"/>
              <w:szCs w:val="20"/>
            </w:rPr>
            <w:br/>
            <w:t xml:space="preserve">2. W przedmiotowym opracowaniu należy m.in. przewidzieć 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t>w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br/>
            <w:t>planowanym rozwoju sie</w:t>
          </w:r>
          <w:r>
            <w:rPr>
              <w:rFonts w:ascii="Verdana" w:hAnsi="Verdana"/>
              <w:bCs/>
              <w:sz w:val="20"/>
              <w:szCs w:val="20"/>
            </w:rPr>
            <w:t>ci drogowej następujące odcinki:</w:t>
          </w:r>
        </w:p>
        <w:p w:rsidR="00A93CEB" w:rsidRPr="004D69B1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</w:r>
          <w:r w:rsidRPr="004D69B1">
            <w:rPr>
              <w:rFonts w:ascii="Verdana" w:hAnsi="Verdana"/>
              <w:bCs/>
              <w:sz w:val="20"/>
              <w:szCs w:val="20"/>
            </w:rPr>
            <w:t>a) budowa drogi S8 odc. Knyszyn</w:t>
          </w:r>
          <w:r w:rsidR="007848A7" w:rsidRPr="004D69B1">
            <w:rPr>
              <w:rFonts w:ascii="Verdana" w:hAnsi="Verdana"/>
              <w:bCs/>
              <w:sz w:val="20"/>
              <w:szCs w:val="20"/>
            </w:rPr>
            <w:t xml:space="preserve"> (z węzłem WB)</w:t>
          </w:r>
          <w:r w:rsidRPr="004D69B1">
            <w:rPr>
              <w:rFonts w:ascii="Verdana" w:hAnsi="Verdana"/>
              <w:bCs/>
              <w:sz w:val="20"/>
              <w:szCs w:val="20"/>
            </w:rPr>
            <w:t xml:space="preserve"> – Korycin </w:t>
          </w:r>
          <w:r w:rsidR="007848A7" w:rsidRPr="004D69B1">
            <w:rPr>
              <w:rFonts w:ascii="Verdana" w:hAnsi="Verdana"/>
              <w:bCs/>
              <w:sz w:val="20"/>
              <w:szCs w:val="20"/>
            </w:rPr>
            <w:t xml:space="preserve">(z węzłem) </w:t>
          </w:r>
          <w:r w:rsidRPr="004D69B1">
            <w:rPr>
              <w:rFonts w:ascii="Verdana" w:hAnsi="Verdana"/>
              <w:bCs/>
              <w:sz w:val="20"/>
              <w:szCs w:val="20"/>
            </w:rPr>
            <w:t>– lata r</w:t>
          </w:r>
          <w:r w:rsidR="00A93CEB" w:rsidRPr="004D69B1">
            <w:rPr>
              <w:rFonts w:ascii="Verdana" w:hAnsi="Verdana"/>
              <w:bCs/>
              <w:sz w:val="20"/>
              <w:szCs w:val="20"/>
            </w:rPr>
            <w:t>ealizacji 2026 – 2028;</w:t>
          </w:r>
        </w:p>
        <w:p w:rsidR="00A93CEB" w:rsidRPr="004D69B1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4D69B1">
            <w:rPr>
              <w:rFonts w:ascii="Verdana" w:hAnsi="Verdana"/>
              <w:bCs/>
              <w:sz w:val="20"/>
              <w:szCs w:val="20"/>
            </w:rPr>
            <w:br/>
            <w:t>b) budowa drogi ekspresowej S16 Ełk</w:t>
          </w:r>
          <w:r w:rsidR="007848A7" w:rsidRPr="004D69B1">
            <w:rPr>
              <w:rFonts w:ascii="Verdana" w:hAnsi="Verdana"/>
              <w:bCs/>
              <w:sz w:val="20"/>
              <w:szCs w:val="20"/>
            </w:rPr>
            <w:t xml:space="preserve"> (węzeł Guty)</w:t>
          </w:r>
          <w:r w:rsidRPr="004D69B1">
            <w:rPr>
              <w:rFonts w:ascii="Verdana" w:hAnsi="Verdana"/>
              <w:bCs/>
              <w:sz w:val="20"/>
              <w:szCs w:val="20"/>
            </w:rPr>
            <w:t xml:space="preserve"> – Knyszyn</w:t>
          </w:r>
          <w:r w:rsidR="007848A7" w:rsidRPr="004D69B1">
            <w:rPr>
              <w:rFonts w:ascii="Verdana" w:hAnsi="Verdana"/>
              <w:bCs/>
              <w:sz w:val="20"/>
              <w:szCs w:val="20"/>
            </w:rPr>
            <w:t xml:space="preserve"> (z rozbudową węzła z WB do WA)</w:t>
          </w:r>
          <w:r w:rsidR="00A93CEB" w:rsidRPr="004D69B1">
            <w:rPr>
              <w:rFonts w:ascii="Verdana" w:hAnsi="Verdana"/>
              <w:bCs/>
              <w:sz w:val="20"/>
              <w:szCs w:val="20"/>
            </w:rPr>
            <w:t xml:space="preserve"> – lata realizacji 2030 – 2032;</w:t>
          </w:r>
        </w:p>
        <w:p w:rsidR="0001213A" w:rsidRPr="004D69B1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4D69B1">
            <w:rPr>
              <w:rFonts w:ascii="Verdana" w:hAnsi="Verdana"/>
              <w:bCs/>
              <w:sz w:val="20"/>
              <w:szCs w:val="20"/>
            </w:rPr>
            <w:br/>
            <w:t xml:space="preserve">c) budowa drogi S16 Knyszyn </w:t>
          </w:r>
          <w:r w:rsidR="00763D41" w:rsidRPr="004D69B1">
            <w:rPr>
              <w:rFonts w:ascii="Verdana" w:hAnsi="Verdana"/>
              <w:bCs/>
              <w:sz w:val="20"/>
              <w:szCs w:val="20"/>
            </w:rPr>
            <w:t xml:space="preserve">(bez węzła) </w:t>
          </w:r>
          <w:r w:rsidRPr="004D69B1">
            <w:rPr>
              <w:rFonts w:ascii="Verdana" w:hAnsi="Verdana"/>
              <w:bCs/>
              <w:sz w:val="20"/>
              <w:szCs w:val="20"/>
            </w:rPr>
            <w:t>– Krynic</w:t>
          </w:r>
          <w:r w:rsidR="00A93CEB" w:rsidRPr="004D69B1">
            <w:rPr>
              <w:rFonts w:ascii="Verdana" w:hAnsi="Verdana"/>
              <w:bCs/>
              <w:sz w:val="20"/>
              <w:szCs w:val="20"/>
            </w:rPr>
            <w:t>e – lata realizacji 2025 – 2028;</w:t>
          </w:r>
        </w:p>
        <w:p w:rsidR="00A93CEB" w:rsidRPr="004D69B1" w:rsidRDefault="00A93CEB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</w:p>
        <w:p w:rsidR="007848A7" w:rsidRPr="004D69B1" w:rsidRDefault="007848A7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4D69B1">
            <w:rPr>
              <w:rFonts w:ascii="Verdana" w:hAnsi="Verdana"/>
              <w:bCs/>
              <w:sz w:val="20"/>
              <w:szCs w:val="20"/>
            </w:rPr>
            <w:t xml:space="preserve">d) budowa </w:t>
          </w:r>
          <w:r w:rsidR="00763D41" w:rsidRPr="004D69B1">
            <w:rPr>
              <w:rFonts w:ascii="Verdana" w:hAnsi="Verdana"/>
              <w:bCs/>
              <w:sz w:val="20"/>
              <w:szCs w:val="20"/>
            </w:rPr>
            <w:t xml:space="preserve">drogi </w:t>
          </w:r>
          <w:r w:rsidRPr="004D69B1">
            <w:rPr>
              <w:rFonts w:ascii="Verdana" w:hAnsi="Verdana"/>
              <w:bCs/>
              <w:sz w:val="20"/>
              <w:szCs w:val="20"/>
            </w:rPr>
            <w:t xml:space="preserve">S19 </w:t>
          </w:r>
          <w:r w:rsidR="007E185B" w:rsidRPr="004D69B1">
            <w:rPr>
              <w:rFonts w:ascii="Verdana" w:hAnsi="Verdana"/>
              <w:bCs/>
              <w:sz w:val="20"/>
              <w:szCs w:val="20"/>
            </w:rPr>
            <w:t xml:space="preserve">Krynice - </w:t>
          </w:r>
          <w:r w:rsidRPr="004D69B1">
            <w:rPr>
              <w:rFonts w:ascii="Verdana" w:hAnsi="Verdana"/>
              <w:bCs/>
              <w:sz w:val="20"/>
              <w:szCs w:val="20"/>
            </w:rPr>
            <w:t xml:space="preserve">Dobrzyniewo – Białystok </w:t>
          </w:r>
          <w:r w:rsidR="007E185B" w:rsidRPr="004D69B1">
            <w:rPr>
              <w:rFonts w:ascii="Verdana" w:hAnsi="Verdana"/>
              <w:bCs/>
              <w:sz w:val="20"/>
              <w:szCs w:val="20"/>
            </w:rPr>
            <w:t>Zachód</w:t>
          </w:r>
          <w:r w:rsidRPr="004D69B1">
            <w:rPr>
              <w:rFonts w:ascii="Verdana" w:hAnsi="Verdana"/>
              <w:bCs/>
              <w:sz w:val="20"/>
              <w:szCs w:val="20"/>
            </w:rPr>
            <w:t xml:space="preserve"> -  lata realizacji 202</w:t>
          </w:r>
          <w:r w:rsidR="007E185B" w:rsidRPr="004D69B1">
            <w:rPr>
              <w:rFonts w:ascii="Verdana" w:hAnsi="Verdana"/>
              <w:bCs/>
              <w:sz w:val="20"/>
              <w:szCs w:val="20"/>
            </w:rPr>
            <w:t>4</w:t>
          </w:r>
          <w:r w:rsidRPr="004D69B1">
            <w:rPr>
              <w:rFonts w:ascii="Verdana" w:hAnsi="Verdana"/>
              <w:bCs/>
              <w:sz w:val="20"/>
              <w:szCs w:val="20"/>
            </w:rPr>
            <w:t>-202</w:t>
          </w:r>
          <w:r w:rsidR="007E185B" w:rsidRPr="004D69B1">
            <w:rPr>
              <w:rFonts w:ascii="Verdana" w:hAnsi="Verdana"/>
              <w:bCs/>
              <w:sz w:val="20"/>
              <w:szCs w:val="20"/>
            </w:rPr>
            <w:t>6</w:t>
          </w:r>
          <w:r w:rsidR="00A93CEB" w:rsidRPr="004D69B1">
            <w:rPr>
              <w:rFonts w:ascii="Verdana" w:hAnsi="Verdana"/>
              <w:bCs/>
              <w:sz w:val="20"/>
              <w:szCs w:val="20"/>
            </w:rPr>
            <w:t>;</w:t>
          </w:r>
        </w:p>
        <w:p w:rsidR="007E185B" w:rsidRPr="004D69B1" w:rsidRDefault="007E185B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</w:p>
        <w:p w:rsidR="007E185B" w:rsidRPr="004D69B1" w:rsidRDefault="007E185B" w:rsidP="007E185B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4D69B1">
            <w:rPr>
              <w:rFonts w:ascii="Verdana" w:hAnsi="Verdana"/>
              <w:bCs/>
              <w:sz w:val="20"/>
              <w:szCs w:val="20"/>
            </w:rPr>
            <w:t>e</w:t>
          </w:r>
          <w:r w:rsidRPr="004D69B1">
            <w:rPr>
              <w:rFonts w:ascii="Verdana" w:hAnsi="Verdana"/>
              <w:bCs/>
              <w:sz w:val="20"/>
              <w:szCs w:val="20"/>
            </w:rPr>
            <w:t xml:space="preserve">) budowa drogi S19 Dobrzyniewo – Białystok Północ – </w:t>
          </w:r>
          <w:r w:rsidRPr="004D69B1">
            <w:rPr>
              <w:rFonts w:ascii="Verdana" w:hAnsi="Verdana"/>
              <w:bCs/>
              <w:sz w:val="20"/>
              <w:szCs w:val="20"/>
            </w:rPr>
            <w:t xml:space="preserve">Wasilków - </w:t>
          </w:r>
          <w:r w:rsidRPr="004D69B1">
            <w:rPr>
              <w:rFonts w:ascii="Verdana" w:hAnsi="Verdana"/>
              <w:bCs/>
              <w:sz w:val="20"/>
              <w:szCs w:val="20"/>
            </w:rPr>
            <w:t>Sokółka – Kuźnica -  lata realizacji 2023-2028;</w:t>
          </w:r>
        </w:p>
        <w:p w:rsidR="00F4283A" w:rsidRPr="004D69B1" w:rsidRDefault="00F428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</w:p>
        <w:p w:rsidR="00F4283A" w:rsidRPr="004D69B1" w:rsidRDefault="007E185B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4D69B1">
            <w:rPr>
              <w:rFonts w:ascii="Verdana" w:hAnsi="Verdana"/>
              <w:bCs/>
              <w:sz w:val="20"/>
              <w:szCs w:val="20"/>
            </w:rPr>
            <w:t>f</w:t>
          </w:r>
          <w:r w:rsidR="00F4283A" w:rsidRPr="004D69B1">
            <w:rPr>
              <w:rFonts w:ascii="Verdana" w:hAnsi="Verdana"/>
              <w:bCs/>
              <w:sz w:val="20"/>
              <w:szCs w:val="20"/>
            </w:rPr>
            <w:t xml:space="preserve">) budowa </w:t>
          </w:r>
          <w:r w:rsidR="00763D41" w:rsidRPr="004D69B1">
            <w:rPr>
              <w:rFonts w:ascii="Verdana" w:hAnsi="Verdana"/>
              <w:bCs/>
              <w:sz w:val="20"/>
              <w:szCs w:val="20"/>
            </w:rPr>
            <w:t xml:space="preserve">drogi </w:t>
          </w:r>
          <w:r w:rsidR="00F4283A" w:rsidRPr="004D69B1">
            <w:rPr>
              <w:rFonts w:ascii="Verdana" w:hAnsi="Verdana"/>
              <w:bCs/>
              <w:sz w:val="20"/>
              <w:szCs w:val="20"/>
            </w:rPr>
            <w:t xml:space="preserve">S19 Białystok Zachód – </w:t>
          </w:r>
          <w:r w:rsidR="004D69B1" w:rsidRPr="004D69B1">
            <w:rPr>
              <w:rFonts w:ascii="Verdana" w:hAnsi="Verdana"/>
              <w:bCs/>
              <w:sz w:val="20"/>
              <w:szCs w:val="20"/>
            </w:rPr>
            <w:t xml:space="preserve">Księżyno – Białystok Południe – </w:t>
          </w:r>
          <w:r w:rsidR="00F4283A" w:rsidRPr="004D69B1">
            <w:rPr>
              <w:rFonts w:ascii="Verdana" w:hAnsi="Verdana"/>
              <w:bCs/>
              <w:sz w:val="20"/>
              <w:szCs w:val="20"/>
            </w:rPr>
            <w:t>Ploski</w:t>
          </w:r>
          <w:r w:rsidR="004D69B1" w:rsidRPr="004D69B1">
            <w:rPr>
              <w:rFonts w:ascii="Verdana" w:hAnsi="Verdana"/>
              <w:bCs/>
              <w:sz w:val="20"/>
              <w:szCs w:val="20"/>
            </w:rPr>
            <w:t>, z odcinkiem dk65 Białystok Płd. - Grabówka</w:t>
          </w:r>
          <w:r w:rsidR="00F4283A" w:rsidRPr="004D69B1">
            <w:rPr>
              <w:rFonts w:ascii="Verdana" w:hAnsi="Verdana"/>
              <w:bCs/>
              <w:sz w:val="20"/>
              <w:szCs w:val="20"/>
            </w:rPr>
            <w:t xml:space="preserve"> – lata realizacji 202</w:t>
          </w:r>
          <w:r w:rsidR="00164822" w:rsidRPr="004D69B1">
            <w:rPr>
              <w:rFonts w:ascii="Verdana" w:hAnsi="Verdana"/>
              <w:bCs/>
              <w:sz w:val="20"/>
              <w:szCs w:val="20"/>
            </w:rPr>
            <w:t>5</w:t>
          </w:r>
          <w:r w:rsidR="00F4283A" w:rsidRPr="004D69B1">
            <w:rPr>
              <w:rFonts w:ascii="Verdana" w:hAnsi="Verdana"/>
              <w:bCs/>
              <w:sz w:val="20"/>
              <w:szCs w:val="20"/>
            </w:rPr>
            <w:t>-202</w:t>
          </w:r>
          <w:r w:rsidR="00164822" w:rsidRPr="004D69B1">
            <w:rPr>
              <w:rFonts w:ascii="Verdana" w:hAnsi="Verdana"/>
              <w:bCs/>
              <w:sz w:val="20"/>
              <w:szCs w:val="20"/>
            </w:rPr>
            <w:t>8</w:t>
          </w:r>
        </w:p>
        <w:p w:rsidR="00D55B75" w:rsidRDefault="00D55B75" w:rsidP="00F121BF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>
            <w:rPr>
              <w:rFonts w:ascii="Verdana" w:hAnsi="Verdana"/>
              <w:bCs/>
              <w:sz w:val="20"/>
              <w:szCs w:val="20"/>
            </w:rPr>
            <w:lastRenderedPageBreak/>
            <w:t xml:space="preserve">3. </w:t>
          </w:r>
          <w:r w:rsidRPr="00D55B75">
            <w:rPr>
              <w:rFonts w:ascii="Verdana" w:hAnsi="Verdana"/>
              <w:bCs/>
              <w:sz w:val="20"/>
              <w:szCs w:val="20"/>
            </w:rPr>
            <w:t xml:space="preserve">Horyzonty czasowe </w:t>
          </w:r>
          <w:r w:rsidR="00F121BF">
            <w:rPr>
              <w:rFonts w:ascii="Verdana" w:hAnsi="Verdana"/>
              <w:bCs/>
              <w:sz w:val="20"/>
              <w:szCs w:val="20"/>
            </w:rPr>
            <w:t>prognozy ruchu:</w:t>
          </w:r>
        </w:p>
        <w:p w:rsidR="00D55B75" w:rsidRPr="00D55B75" w:rsidRDefault="00D55B75" w:rsidP="00D55B75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</w:p>
        <w:p w:rsidR="00F121BF" w:rsidRDefault="00F121BF" w:rsidP="00F121BF">
          <w:pPr>
            <w:pStyle w:val="Akapitzlist"/>
            <w:numPr>
              <w:ilvl w:val="0"/>
              <w:numId w:val="8"/>
            </w:numPr>
            <w:spacing w:line="240" w:lineRule="auto"/>
            <w:jc w:val="both"/>
            <w:rPr>
              <w:rFonts w:ascii="Verdana" w:hAnsi="Verdana"/>
              <w:bCs/>
              <w:sz w:val="20"/>
            </w:rPr>
          </w:pPr>
          <w:r w:rsidRPr="00F121BF">
            <w:rPr>
              <w:rFonts w:ascii="Verdana" w:hAnsi="Verdana"/>
              <w:bCs/>
              <w:sz w:val="20"/>
            </w:rPr>
            <w:t>202</w:t>
          </w:r>
          <w:r w:rsidR="00164822">
            <w:rPr>
              <w:rFonts w:ascii="Verdana" w:hAnsi="Verdana"/>
              <w:bCs/>
              <w:sz w:val="20"/>
            </w:rPr>
            <w:t>4</w:t>
          </w:r>
          <w:r w:rsidRPr="00F121BF">
            <w:rPr>
              <w:rFonts w:ascii="Verdana" w:hAnsi="Verdana"/>
              <w:bCs/>
              <w:sz w:val="20"/>
            </w:rPr>
            <w:t xml:space="preserve"> (rok bieżący), 2029 (pierwszy pełny rok eksploatacji), 2033, 2038, 2043, 2048, 2058</w:t>
          </w:r>
          <w:r w:rsidR="00164822">
            <w:rPr>
              <w:rFonts w:ascii="Verdana" w:hAnsi="Verdana"/>
              <w:bCs/>
              <w:sz w:val="20"/>
            </w:rPr>
            <w:t>, 2063</w:t>
          </w:r>
          <w:r w:rsidRPr="00F121BF">
            <w:rPr>
              <w:rFonts w:ascii="Verdana" w:hAnsi="Verdana"/>
              <w:bCs/>
              <w:sz w:val="20"/>
            </w:rPr>
            <w:t>.</w:t>
          </w:r>
        </w:p>
        <w:p w:rsidR="00D55B75" w:rsidRPr="00D55B75" w:rsidRDefault="00F121BF" w:rsidP="00D55B75">
          <w:pPr>
            <w:pStyle w:val="Akapitzlist"/>
            <w:numPr>
              <w:ilvl w:val="0"/>
              <w:numId w:val="8"/>
            </w:numPr>
            <w:spacing w:line="240" w:lineRule="auto"/>
            <w:jc w:val="both"/>
            <w:rPr>
              <w:rFonts w:ascii="Verdana" w:hAnsi="Verdana"/>
              <w:bCs/>
              <w:sz w:val="20"/>
            </w:rPr>
          </w:pPr>
          <w:r>
            <w:rPr>
              <w:rFonts w:ascii="Verdana" w:hAnsi="Verdana"/>
              <w:bCs/>
              <w:sz w:val="20"/>
            </w:rPr>
            <w:t>Prog</w:t>
          </w:r>
          <w:r w:rsidR="00D55B75" w:rsidRPr="00D55B75">
            <w:rPr>
              <w:rFonts w:ascii="Verdana" w:hAnsi="Verdana"/>
              <w:bCs/>
              <w:sz w:val="20"/>
            </w:rPr>
            <w:t>nozy ruchu dla lat pośrednich pomiędzy uzgodnionymi latami prognoz,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jeśli są wymagane np. dla analiz bezpieczeństwa, analiz ekonomicznych,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obliczania konstrukcji nawierzchni czy analiz środowiskowych, nie podlegają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uzgodnieniom i z wystarczającą dokładnością mogą być obliczane, dla danej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inwestycji, za pomocą metod prostej interpolacji liniowej. Natomiast wskazane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jest wprowadzenie dodatkowych horyzontów prognozy w przypadku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wystąpienia kluczowych zmian w sieci lub powstania inwestycji generujących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ruch, które mogą mieć znaczny wpływ na wielkości prognozowanego ruchu na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analizowanym odcinku. W takim wypadku taka prognoza wymaga uzgodnienia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z DSS.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Oprócz powyższych horyzontów czasowych obciążenie modelu sieci drogowej ruchem</w:t>
          </w:r>
          <w:r w:rsidR="00D55B75">
            <w:rPr>
              <w:rFonts w:ascii="Verdana" w:hAnsi="Verdana"/>
              <w:bCs/>
              <w:sz w:val="20"/>
            </w:rPr>
            <w:t xml:space="preserve"> </w:t>
          </w:r>
          <w:r w:rsidR="00D55B75" w:rsidRPr="00D55B75">
            <w:rPr>
              <w:rFonts w:ascii="Verdana" w:hAnsi="Verdana"/>
              <w:bCs/>
              <w:sz w:val="20"/>
            </w:rPr>
            <w:t>należy również wykonać dla:</w:t>
          </w:r>
        </w:p>
        <w:p w:rsidR="00D55B75" w:rsidRPr="00D55B75" w:rsidRDefault="00D55B75" w:rsidP="00D55B75">
          <w:pPr>
            <w:pStyle w:val="Akapitzlist"/>
            <w:numPr>
              <w:ilvl w:val="0"/>
              <w:numId w:val="9"/>
            </w:numPr>
            <w:spacing w:line="240" w:lineRule="auto"/>
            <w:jc w:val="both"/>
            <w:rPr>
              <w:rFonts w:ascii="Verdana" w:hAnsi="Verdana"/>
              <w:bCs/>
              <w:sz w:val="20"/>
            </w:rPr>
          </w:pPr>
          <w:r w:rsidRPr="00D55B75">
            <w:rPr>
              <w:rFonts w:ascii="Verdana" w:hAnsi="Verdana"/>
              <w:bCs/>
              <w:sz w:val="20"/>
            </w:rPr>
            <w:t>roku bazowego (kalibracja modelu) dla wszystkich prognoz ruchu czyli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roku, dla którego dostępne są wyniki ostatniego Generalnego Pomiaru Ruchu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i dla tego roku przeprowadzana jest kalibracja modelu ruchu. Prawidłowo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przeprowadzona kalibracja jest warunkiem koniecznym poprawnego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wykonania prognozy ruchu i jej uzgodnienia. Obciążenie ruchem modelu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sieci dla roku bazowego nie jest prognozą ruchu.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Uwaga: Kalibracja modelu ruchu do innych wielkości ruchu niż wyniki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ostatniego GPR może być prowadzona tylko w sytuacjach nietypowych,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wyłącznie po uzgodnieniu z DSS.</w:t>
          </w:r>
        </w:p>
        <w:p w:rsidR="00D55B75" w:rsidRDefault="00D55B75" w:rsidP="00D55B75">
          <w:pPr>
            <w:pStyle w:val="Akapitzlist"/>
            <w:numPr>
              <w:ilvl w:val="0"/>
              <w:numId w:val="9"/>
            </w:numPr>
            <w:spacing w:line="240" w:lineRule="auto"/>
            <w:jc w:val="both"/>
            <w:rPr>
              <w:rFonts w:ascii="Verdana" w:hAnsi="Verdana"/>
              <w:bCs/>
              <w:sz w:val="20"/>
            </w:rPr>
          </w:pPr>
          <w:r w:rsidRPr="00D55B75">
            <w:rPr>
              <w:rFonts w:ascii="Verdana" w:hAnsi="Verdana"/>
              <w:bCs/>
              <w:sz w:val="20"/>
            </w:rPr>
            <w:t>roku bieżącego, w którym wykonywane jest opracowanie, wielkości ruchu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dla stanu istniejącego obliczane są w celu ich weryfikacji z wielkościami ruchu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otrzymanymi na podstawie dodatkowych pomiarów ruchu oraz z innych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źródeł. Obliczenia te umożliwiają DSS ocenę prawidłowości przeprowadzonych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prac. Również wyniki pomiarów, badań i analiz ruchu wykonywanych</w:t>
          </w:r>
          <w:r>
            <w:rPr>
              <w:rFonts w:ascii="Verdana" w:hAnsi="Verdana"/>
              <w:bCs/>
              <w:sz w:val="20"/>
            </w:rPr>
            <w:t xml:space="preserve"> </w:t>
          </w:r>
          <w:r w:rsidRPr="00D55B75">
            <w:rPr>
              <w:rFonts w:ascii="Verdana" w:hAnsi="Verdana"/>
              <w:bCs/>
              <w:sz w:val="20"/>
            </w:rPr>
            <w:t>w roku wykonywania projektu nie są prognozami ruchu.</w:t>
          </w:r>
        </w:p>
        <w:p w:rsidR="00D55B75" w:rsidRPr="00D55B75" w:rsidRDefault="00D55B75" w:rsidP="00D55B75">
          <w:pPr>
            <w:pStyle w:val="Akapitzlist"/>
            <w:spacing w:line="240" w:lineRule="auto"/>
            <w:jc w:val="both"/>
            <w:rPr>
              <w:rFonts w:ascii="Verdana" w:hAnsi="Verdana"/>
              <w:bCs/>
              <w:sz w:val="20"/>
            </w:rPr>
          </w:pPr>
        </w:p>
        <w:p w:rsidR="00D55B75" w:rsidRPr="00D55B75" w:rsidRDefault="00D55B75" w:rsidP="0001213A">
          <w:pPr>
            <w:spacing w:after="0" w:line="240" w:lineRule="auto"/>
            <w:contextualSpacing/>
            <w:jc w:val="both"/>
            <w:rPr>
              <w:rFonts w:ascii="Verdana" w:hAnsi="Verdana"/>
              <w:b/>
              <w:bCs/>
              <w:sz w:val="20"/>
              <w:szCs w:val="20"/>
            </w:rPr>
          </w:pPr>
          <w:r w:rsidRPr="00D55B75">
            <w:rPr>
              <w:rFonts w:ascii="Verdana" w:hAnsi="Verdana"/>
              <w:b/>
              <w:bCs/>
              <w:sz w:val="20"/>
              <w:szCs w:val="20"/>
            </w:rPr>
            <w:t>W horyzontach czasowych przedstawić rozkład natęże</w:t>
          </w:r>
          <w:r w:rsidR="00F4283A">
            <w:rPr>
              <w:rFonts w:ascii="Verdana" w:hAnsi="Verdana"/>
              <w:b/>
              <w:bCs/>
              <w:sz w:val="20"/>
              <w:szCs w:val="20"/>
            </w:rPr>
            <w:t xml:space="preserve">ń ruchu na węzłach </w:t>
          </w:r>
          <w:r w:rsidR="00164822">
            <w:rPr>
              <w:rFonts w:ascii="Verdana" w:hAnsi="Verdana"/>
              <w:b/>
              <w:bCs/>
              <w:sz w:val="20"/>
              <w:szCs w:val="20"/>
            </w:rPr>
            <w:t>Białystok Zach.</w:t>
          </w:r>
          <w:r w:rsidR="00F4283A">
            <w:rPr>
              <w:rFonts w:ascii="Verdana" w:hAnsi="Verdana"/>
              <w:b/>
              <w:bCs/>
              <w:sz w:val="20"/>
              <w:szCs w:val="20"/>
            </w:rPr>
            <w:t xml:space="preserve">, </w:t>
          </w:r>
          <w:r w:rsidR="00164822">
            <w:rPr>
              <w:rFonts w:ascii="Verdana" w:hAnsi="Verdana"/>
              <w:b/>
              <w:bCs/>
              <w:sz w:val="20"/>
              <w:szCs w:val="20"/>
            </w:rPr>
            <w:t>Białystok-</w:t>
          </w:r>
          <w:proofErr w:type="spellStart"/>
          <w:r w:rsidR="00164822">
            <w:rPr>
              <w:rFonts w:ascii="Verdana" w:hAnsi="Verdana"/>
              <w:b/>
              <w:bCs/>
              <w:sz w:val="20"/>
              <w:szCs w:val="20"/>
            </w:rPr>
            <w:t>Starosielce</w:t>
          </w:r>
          <w:proofErr w:type="spellEnd"/>
          <w:r w:rsidR="00164822">
            <w:rPr>
              <w:rFonts w:ascii="Verdana" w:hAnsi="Verdana"/>
              <w:b/>
              <w:bCs/>
              <w:sz w:val="20"/>
              <w:szCs w:val="20"/>
            </w:rPr>
            <w:t>, Księżyno, Białystok Płd., Deniski</w:t>
          </w:r>
          <w:r w:rsidR="00F4283A">
            <w:rPr>
              <w:rFonts w:ascii="Verdana" w:hAnsi="Verdana"/>
              <w:b/>
              <w:bCs/>
              <w:sz w:val="20"/>
              <w:szCs w:val="20"/>
            </w:rPr>
            <w:t xml:space="preserve"> </w:t>
          </w:r>
          <w:r w:rsidR="004D69B1">
            <w:rPr>
              <w:rFonts w:ascii="Verdana" w:hAnsi="Verdana"/>
              <w:b/>
              <w:bCs/>
              <w:sz w:val="20"/>
              <w:szCs w:val="20"/>
            </w:rPr>
            <w:t xml:space="preserve">a także dla odcinka: węzeł Białystok Płd. – Grabówka na skrzyżowaniach proj. dk65 z </w:t>
          </w:r>
          <w:proofErr w:type="spellStart"/>
          <w:r w:rsidR="004D69B1">
            <w:rPr>
              <w:rFonts w:ascii="Verdana" w:hAnsi="Verdana"/>
              <w:b/>
              <w:bCs/>
              <w:sz w:val="20"/>
              <w:szCs w:val="20"/>
            </w:rPr>
            <w:t>istn</w:t>
          </w:r>
          <w:proofErr w:type="spellEnd"/>
          <w:r w:rsidR="004D69B1">
            <w:rPr>
              <w:rFonts w:ascii="Verdana" w:hAnsi="Verdana"/>
              <w:b/>
              <w:bCs/>
              <w:sz w:val="20"/>
              <w:szCs w:val="20"/>
            </w:rPr>
            <w:t xml:space="preserve">. dk19 oraz z </w:t>
          </w:r>
          <w:proofErr w:type="spellStart"/>
          <w:r w:rsidR="004D69B1">
            <w:rPr>
              <w:rFonts w:ascii="Verdana" w:hAnsi="Verdana"/>
              <w:b/>
              <w:bCs/>
              <w:sz w:val="20"/>
              <w:szCs w:val="20"/>
            </w:rPr>
            <w:t>istn</w:t>
          </w:r>
          <w:proofErr w:type="spellEnd"/>
          <w:r w:rsidR="004D69B1">
            <w:rPr>
              <w:rFonts w:ascii="Verdana" w:hAnsi="Verdana"/>
              <w:b/>
              <w:bCs/>
              <w:sz w:val="20"/>
              <w:szCs w:val="20"/>
            </w:rPr>
            <w:t xml:space="preserve">. dk65 </w:t>
          </w:r>
          <w:r w:rsidRPr="00D55B75">
            <w:rPr>
              <w:rFonts w:ascii="Verdana" w:hAnsi="Verdana"/>
              <w:b/>
              <w:bCs/>
              <w:sz w:val="20"/>
              <w:szCs w:val="20"/>
            </w:rPr>
            <w:t>w powiązaniu z rozwojem sieci drogowej.</w:t>
          </w:r>
        </w:p>
        <w:p w:rsidR="0001213A" w:rsidRPr="0001213A" w:rsidRDefault="0001213A" w:rsidP="0001213A">
          <w:pPr>
            <w:spacing w:after="0" w:line="240" w:lineRule="auto"/>
            <w:contextualSpacing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</w:r>
          <w:r w:rsidR="00230BA4">
            <w:rPr>
              <w:rFonts w:ascii="Verdana" w:hAnsi="Verdana"/>
              <w:bCs/>
              <w:sz w:val="20"/>
              <w:szCs w:val="20"/>
            </w:rPr>
            <w:t>4</w:t>
          </w:r>
          <w:r w:rsidRPr="0001213A">
            <w:rPr>
              <w:rFonts w:ascii="Verdana" w:hAnsi="Verdana"/>
              <w:bCs/>
              <w:sz w:val="20"/>
              <w:szCs w:val="20"/>
            </w:rPr>
            <w:t xml:space="preserve">. </w:t>
          </w:r>
          <w:r w:rsidR="007848A7">
            <w:rPr>
              <w:rFonts w:ascii="Verdana" w:hAnsi="Verdana"/>
              <w:bCs/>
              <w:sz w:val="20"/>
              <w:szCs w:val="20"/>
            </w:rPr>
            <w:t>P</w:t>
          </w:r>
          <w:r w:rsidRPr="0001213A">
            <w:rPr>
              <w:rFonts w:ascii="Verdana" w:hAnsi="Verdana"/>
              <w:bCs/>
              <w:sz w:val="20"/>
              <w:szCs w:val="20"/>
            </w:rPr>
            <w:t>otwierdza</w:t>
          </w:r>
          <w:r w:rsidR="007848A7">
            <w:rPr>
              <w:rFonts w:ascii="Verdana" w:hAnsi="Verdana"/>
              <w:bCs/>
              <w:sz w:val="20"/>
              <w:szCs w:val="20"/>
            </w:rPr>
            <w:t xml:space="preserve"> się</w:t>
          </w:r>
          <w:r w:rsidRPr="0001213A">
            <w:rPr>
              <w:rFonts w:ascii="Verdana" w:hAnsi="Verdana"/>
              <w:bCs/>
              <w:sz w:val="20"/>
              <w:szCs w:val="20"/>
            </w:rPr>
            <w:t xml:space="preserve"> aktualność obowiązujących wskaźników wzrostu PKB dostępnych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na stronie internetowej GDDKiA (w zakładce: Co robimy &gt; Drogi i mosty &gt; Pomiary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i analizy ruchu &gt; Założenia do prognoz ruchu). Dodatkowo dla lat 2041–2050 należy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przyjąć następujące wartości wskaźnika wzrostu PKB (średnie dla obszaru całego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kraju):</w:t>
          </w:r>
        </w:p>
        <w:tbl>
          <w:tblPr>
            <w:tblW w:w="0" w:type="auto"/>
            <w:tblInd w:w="2070" w:type="dxa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30"/>
            <w:gridCol w:w="1230"/>
            <w:gridCol w:w="1230"/>
            <w:gridCol w:w="1230"/>
          </w:tblGrid>
          <w:tr w:rsidR="0001213A" w:rsidRPr="0001213A" w:rsidTr="0001213A"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Rok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PKB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Rok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>PKB</w:t>
                </w:r>
              </w:p>
            </w:tc>
          </w:tr>
          <w:tr w:rsidR="0001213A" w:rsidRPr="0001213A" w:rsidTr="0001213A"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2041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2,10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2046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>2,00</w:t>
                </w:r>
              </w:p>
            </w:tc>
          </w:tr>
          <w:tr w:rsidR="0001213A" w:rsidRPr="0001213A" w:rsidTr="0001213A"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2042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2,10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2047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>2,00</w:t>
                </w:r>
              </w:p>
            </w:tc>
          </w:tr>
          <w:tr w:rsidR="0001213A" w:rsidRPr="0001213A" w:rsidTr="0001213A"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2043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2,10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2048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>2,00</w:t>
                </w:r>
              </w:p>
            </w:tc>
          </w:tr>
          <w:tr w:rsidR="0001213A" w:rsidRPr="0001213A" w:rsidTr="0001213A"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2044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2,10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2049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>2,00</w:t>
                </w:r>
              </w:p>
            </w:tc>
          </w:tr>
          <w:tr w:rsidR="0001213A" w:rsidRPr="0001213A" w:rsidTr="0001213A"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2045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2,00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 xml:space="preserve">2050 </w:t>
                </w:r>
              </w:p>
            </w:tc>
            <w:tc>
              <w:tcPr>
                <w:tcW w:w="1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1213A" w:rsidRPr="0001213A" w:rsidRDefault="0001213A" w:rsidP="0001213A">
                <w:pPr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</w:rPr>
                </w:pPr>
                <w:r w:rsidRPr="0001213A">
                  <w:rPr>
                    <w:rFonts w:ascii="Verdana" w:hAnsi="Verdana"/>
                    <w:bCs/>
                    <w:sz w:val="20"/>
                    <w:szCs w:val="20"/>
                  </w:rPr>
                  <w:t>1,90</w:t>
                </w:r>
              </w:p>
            </w:tc>
          </w:tr>
        </w:tbl>
        <w:p w:rsidR="0001213A" w:rsidRDefault="0001213A" w:rsidP="0001213A">
          <w:pPr>
            <w:spacing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</w:p>
        <w:p w:rsidR="0001213A" w:rsidRDefault="0001213A" w:rsidP="0001213A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t>Po roku 2050 należy przyjmować wskaźniki PKB na poziomie 1.9. Wskaźniki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elastyczności dla poszczególnych kategorii pojazdów należy przyjmować takie jak dla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</w:r>
          <w:r>
            <w:rPr>
              <w:rFonts w:ascii="Verdana" w:hAnsi="Verdana"/>
              <w:bCs/>
              <w:sz w:val="20"/>
              <w:szCs w:val="20"/>
            </w:rPr>
            <w:t xml:space="preserve">roku </w:t>
          </w:r>
          <w:r w:rsidRPr="0001213A">
            <w:rPr>
              <w:rFonts w:ascii="Verdana" w:hAnsi="Verdana"/>
              <w:bCs/>
              <w:sz w:val="20"/>
              <w:szCs w:val="20"/>
            </w:rPr>
            <w:t>2040.</w:t>
          </w:r>
        </w:p>
        <w:p w:rsidR="0001213A" w:rsidRDefault="0001213A" w:rsidP="0001213A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</w:r>
          <w:r w:rsidR="00230BA4">
            <w:rPr>
              <w:rFonts w:ascii="Verdana" w:hAnsi="Verdana"/>
              <w:bCs/>
              <w:sz w:val="20"/>
              <w:szCs w:val="20"/>
            </w:rPr>
            <w:t>5</w:t>
          </w:r>
          <w:r w:rsidRPr="0001213A">
            <w:rPr>
              <w:rFonts w:ascii="Verdana" w:hAnsi="Verdana"/>
              <w:bCs/>
              <w:sz w:val="20"/>
              <w:szCs w:val="20"/>
            </w:rPr>
            <w:t>. Informacje o wysokości stawek opłat obowiązujących dla elektronicznego poboru opłat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 xml:space="preserve">(e-TOLL) i dla autostrad płatnych przedstawiono w załączniku </w:t>
          </w:r>
          <w:r w:rsidR="00A93CEB">
            <w:rPr>
              <w:rFonts w:ascii="Verdana" w:hAnsi="Verdana"/>
              <w:bCs/>
              <w:sz w:val="20"/>
              <w:szCs w:val="20"/>
            </w:rPr>
            <w:t>2</w:t>
          </w:r>
          <w:r w:rsidRPr="0001213A">
            <w:rPr>
              <w:rFonts w:ascii="Verdana" w:hAnsi="Verdana"/>
              <w:bCs/>
              <w:sz w:val="20"/>
              <w:szCs w:val="20"/>
            </w:rPr>
            <w:t>. Dodatkowo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informujemy, że od 01.07.2023 r. weszła w życie, podpisana 23.06.2023 r. przez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Prezydenta RP Andrzeja Dudę, ustawa z 26.05.2023 r. o zmianie ustawy o autostradach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płatnych oraz o Krajowym Funduszu Drogowym oraz niektórych innych ustaw, która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przewiduje zwolnienie z opłat za przejazd pojazdów lekkich autostradą na odcinkach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</w:r>
          <w:r w:rsidRPr="0001213A">
            <w:rPr>
              <w:rFonts w:ascii="Verdana" w:hAnsi="Verdana"/>
              <w:bCs/>
              <w:sz w:val="20"/>
              <w:szCs w:val="20"/>
            </w:rPr>
            <w:lastRenderedPageBreak/>
            <w:t>zarządzanych przez GDDKiA. Więcej informacji o bezpłatnych przejazdach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 xml:space="preserve">autostradami znajduje się na stronie </w:t>
          </w:r>
          <w:r w:rsidRPr="00B85ECE">
            <w:rPr>
              <w:rFonts w:ascii="Verdana" w:hAnsi="Verdana"/>
              <w:bCs/>
              <w:sz w:val="20"/>
              <w:szCs w:val="20"/>
              <w:u w:val="single"/>
            </w:rPr>
            <w:t>etoll.gov.pl</w:t>
          </w:r>
          <w:r w:rsidRPr="0001213A">
            <w:rPr>
              <w:rFonts w:ascii="Verdana" w:hAnsi="Verdana"/>
              <w:bCs/>
              <w:sz w:val="20"/>
              <w:szCs w:val="20"/>
            </w:rPr>
            <w:t>.</w:t>
          </w:r>
        </w:p>
        <w:p w:rsidR="0001213A" w:rsidRDefault="00A93CEB" w:rsidP="0001213A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>
            <w:rPr>
              <w:rFonts w:ascii="Verdana" w:hAnsi="Verdana"/>
              <w:bCs/>
              <w:sz w:val="20"/>
              <w:szCs w:val="20"/>
            </w:rPr>
            <w:br/>
          </w:r>
          <w:r w:rsidR="00230BA4">
            <w:rPr>
              <w:rFonts w:ascii="Verdana" w:hAnsi="Verdana"/>
              <w:bCs/>
              <w:sz w:val="20"/>
              <w:szCs w:val="20"/>
            </w:rPr>
            <w:t>6</w:t>
          </w:r>
          <w:r>
            <w:rPr>
              <w:rFonts w:ascii="Verdana" w:hAnsi="Verdana"/>
              <w:bCs/>
              <w:sz w:val="20"/>
              <w:szCs w:val="20"/>
            </w:rPr>
            <w:t>. P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t xml:space="preserve">rzekazuje </w:t>
          </w:r>
          <w:r>
            <w:rPr>
              <w:rFonts w:ascii="Verdana" w:hAnsi="Verdana"/>
              <w:bCs/>
              <w:sz w:val="20"/>
              <w:szCs w:val="20"/>
            </w:rPr>
            <w:t xml:space="preserve">się 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t>w formie linku do strony internetowej</w:t>
          </w:r>
          <w:r w:rsidR="0001213A" w:rsidRPr="00B85ECE">
            <w:rPr>
              <w:rFonts w:ascii="Verdana" w:hAnsi="Verdana"/>
              <w:bCs/>
              <w:sz w:val="20"/>
              <w:szCs w:val="20"/>
              <w:u w:val="single"/>
            </w:rPr>
            <w:t>: https://www.gov.pl/web/gddkia/</w:t>
          </w:r>
          <w:r w:rsidR="0001213A" w:rsidRPr="00B85ECE">
            <w:rPr>
              <w:rFonts w:ascii="Verdana" w:hAnsi="Verdana"/>
              <w:bCs/>
              <w:sz w:val="20"/>
              <w:szCs w:val="20"/>
              <w:u w:val="single"/>
            </w:rPr>
            <w:br/>
            <w:t>generalny-pomiar-ruchu-20202021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t>, wyniki GPR2020/2021 dla dróg krajowych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br/>
            <w:t>i wojewódzkich, gdzie szczegółowe informacje ze Średnim Dobowym Ruchem Rocznym</w:t>
          </w:r>
          <w:r w:rsidR="0001213A" w:rsidRPr="0001213A">
            <w:rPr>
              <w:rFonts w:ascii="Verdana" w:hAnsi="Verdana"/>
              <w:bCs/>
              <w:sz w:val="20"/>
              <w:szCs w:val="20"/>
            </w:rPr>
            <w:br/>
            <w:t>znajdują się odpowiednio w plikach:</w:t>
          </w:r>
        </w:p>
        <w:p w:rsidR="0001213A" w:rsidRDefault="0001213A" w:rsidP="0001213A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  <w:t>- Tab02_20_dk_KRAJ.pdf - dla dróg krajowych oraz</w:t>
          </w:r>
        </w:p>
        <w:p w:rsidR="0001213A" w:rsidRDefault="0001213A" w:rsidP="0001213A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  <w:t>- Tab02_20_dw_KRAJ_v2.pdf - dla dróg wojewódzkich.</w:t>
          </w:r>
        </w:p>
        <w:p w:rsidR="0001213A" w:rsidRDefault="00A93CEB" w:rsidP="00A93CEB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>
            <w:rPr>
              <w:rFonts w:ascii="Verdana" w:hAnsi="Verdana"/>
              <w:bCs/>
              <w:sz w:val="20"/>
              <w:szCs w:val="20"/>
            </w:rPr>
            <w:br/>
          </w:r>
          <w:r w:rsidR="00230BA4">
            <w:rPr>
              <w:rFonts w:ascii="Verdana" w:hAnsi="Verdana"/>
              <w:bCs/>
              <w:sz w:val="20"/>
              <w:szCs w:val="20"/>
            </w:rPr>
            <w:t>7</w:t>
          </w:r>
          <w:r>
            <w:rPr>
              <w:rFonts w:ascii="Verdana" w:hAnsi="Verdana"/>
              <w:bCs/>
              <w:sz w:val="20"/>
              <w:szCs w:val="20"/>
            </w:rPr>
            <w:t>. Pominąć obowiązek wykonania dodatkowych pomiarów i badań ruchu.</w:t>
          </w:r>
        </w:p>
        <w:p w:rsidR="0001213A" w:rsidRDefault="0001213A" w:rsidP="0001213A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 w:rsidRPr="0001213A">
            <w:rPr>
              <w:rFonts w:ascii="Verdana" w:hAnsi="Verdana"/>
              <w:bCs/>
              <w:sz w:val="20"/>
              <w:szCs w:val="20"/>
            </w:rPr>
            <w:br/>
          </w:r>
          <w:r w:rsidR="00230BA4">
            <w:rPr>
              <w:rFonts w:ascii="Verdana" w:hAnsi="Verdana"/>
              <w:bCs/>
              <w:sz w:val="20"/>
              <w:szCs w:val="20"/>
            </w:rPr>
            <w:t>8</w:t>
          </w:r>
          <w:r w:rsidRPr="0001213A">
            <w:rPr>
              <w:rFonts w:ascii="Verdana" w:hAnsi="Verdana"/>
              <w:bCs/>
              <w:sz w:val="20"/>
              <w:szCs w:val="20"/>
            </w:rPr>
            <w:t>. Miarodajną godzinę szczytu dla przedmiotowego odcinka należy przyjąć na poziomie</w:t>
          </w:r>
          <w:r w:rsidRPr="0001213A">
            <w:rPr>
              <w:rFonts w:ascii="Verdana" w:hAnsi="Verdana"/>
              <w:bCs/>
              <w:sz w:val="20"/>
              <w:szCs w:val="20"/>
            </w:rPr>
            <w:br/>
            <w:t>9,0 %.</w:t>
          </w:r>
        </w:p>
        <w:p w:rsidR="0001213A" w:rsidRPr="0001213A" w:rsidRDefault="0001213A" w:rsidP="0001213A">
          <w:p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</w:p>
        <w:p w:rsidR="00E90F81" w:rsidRPr="004436BF" w:rsidRDefault="00E90F81" w:rsidP="0001213A">
          <w:pPr>
            <w:spacing w:line="240" w:lineRule="auto"/>
            <w:jc w:val="both"/>
            <w:rPr>
              <w:rFonts w:ascii="Verdana" w:hAnsi="Verdana"/>
              <w:sz w:val="20"/>
            </w:rPr>
          </w:pPr>
          <w:r w:rsidRPr="004436BF">
            <w:rPr>
              <w:rFonts w:ascii="Verdana" w:hAnsi="Verdana"/>
              <w:sz w:val="20"/>
            </w:rPr>
            <w:t xml:space="preserve">Dodatkowo </w:t>
          </w:r>
          <w:r w:rsidR="00722C39">
            <w:rPr>
              <w:rFonts w:ascii="Verdana" w:hAnsi="Verdana"/>
              <w:sz w:val="20"/>
            </w:rPr>
            <w:t>Wykonawca</w:t>
          </w:r>
          <w:r w:rsidRPr="004436BF">
            <w:rPr>
              <w:rFonts w:ascii="Verdana" w:hAnsi="Verdana"/>
              <w:sz w:val="20"/>
            </w:rPr>
            <w:t xml:space="preserve"> będzie zobowiązany do:</w:t>
          </w:r>
        </w:p>
        <w:p w:rsidR="001B3776" w:rsidRDefault="00E90F81" w:rsidP="0001213A">
          <w:pPr>
            <w:pStyle w:val="Akapitzlist"/>
            <w:numPr>
              <w:ilvl w:val="0"/>
              <w:numId w:val="1"/>
            </w:numPr>
            <w:spacing w:line="240" w:lineRule="auto"/>
            <w:ind w:left="426" w:hanging="426"/>
            <w:jc w:val="both"/>
            <w:rPr>
              <w:rFonts w:ascii="Verdana" w:hAnsi="Verdana" w:cs="Times New Roman"/>
              <w:sz w:val="20"/>
            </w:rPr>
          </w:pPr>
          <w:r w:rsidRPr="004436BF">
            <w:rPr>
              <w:rFonts w:ascii="Verdana" w:hAnsi="Verdana" w:cs="Times New Roman"/>
              <w:sz w:val="20"/>
            </w:rPr>
            <w:t>Organizowani</w:t>
          </w:r>
          <w:r w:rsidR="00EA7FB6">
            <w:rPr>
              <w:rFonts w:ascii="Verdana" w:hAnsi="Verdana" w:cs="Times New Roman"/>
              <w:sz w:val="20"/>
            </w:rPr>
            <w:t xml:space="preserve">a w razie zaistnienia potrzeby </w:t>
          </w:r>
          <w:r w:rsidRPr="004436BF">
            <w:rPr>
              <w:rFonts w:ascii="Verdana" w:hAnsi="Verdana" w:cs="Times New Roman"/>
              <w:sz w:val="20"/>
            </w:rPr>
            <w:t>narad</w:t>
          </w:r>
          <w:r w:rsidR="00EA7FB6">
            <w:rPr>
              <w:rFonts w:ascii="Verdana" w:hAnsi="Verdana" w:cs="Times New Roman"/>
              <w:sz w:val="20"/>
            </w:rPr>
            <w:t>y</w:t>
          </w:r>
          <w:r w:rsidR="00722C39">
            <w:rPr>
              <w:rFonts w:ascii="Verdana" w:hAnsi="Verdana" w:cs="Times New Roman"/>
              <w:sz w:val="20"/>
            </w:rPr>
            <w:t xml:space="preserve"> </w:t>
          </w:r>
          <w:r w:rsidR="00EA7FB6">
            <w:rPr>
              <w:rFonts w:ascii="Verdana" w:hAnsi="Verdana" w:cs="Times New Roman"/>
              <w:sz w:val="20"/>
            </w:rPr>
            <w:t xml:space="preserve">technicznej w uzgodnionym z Zamawiającym terminie. </w:t>
          </w:r>
          <w:r w:rsidR="00722C39">
            <w:rPr>
              <w:rFonts w:ascii="Verdana" w:hAnsi="Verdana" w:cs="Times New Roman"/>
              <w:sz w:val="20"/>
            </w:rPr>
            <w:t>Narady techniczne organizuje się za pomocą środ</w:t>
          </w:r>
          <w:r w:rsidR="00EA7FB6">
            <w:rPr>
              <w:rFonts w:ascii="Verdana" w:hAnsi="Verdana" w:cs="Times New Roman"/>
              <w:sz w:val="20"/>
            </w:rPr>
            <w:t xml:space="preserve">ków komunikowania na odległość. </w:t>
          </w:r>
        </w:p>
        <w:p w:rsidR="00A93CEB" w:rsidRPr="00D55B75" w:rsidRDefault="001B3776" w:rsidP="00A93CEB">
          <w:pPr>
            <w:pStyle w:val="Akapitzlist"/>
            <w:numPr>
              <w:ilvl w:val="0"/>
              <w:numId w:val="1"/>
            </w:numPr>
            <w:spacing w:line="240" w:lineRule="auto"/>
            <w:ind w:left="426" w:hanging="426"/>
            <w:jc w:val="both"/>
            <w:rPr>
              <w:rFonts w:ascii="Verdana" w:hAnsi="Verdana" w:cs="Times New Roman"/>
              <w:sz w:val="20"/>
            </w:rPr>
          </w:pPr>
          <w:r>
            <w:rPr>
              <w:rFonts w:ascii="Verdana" w:hAnsi="Verdana"/>
              <w:color w:val="000000"/>
              <w:sz w:val="20"/>
            </w:rPr>
            <w:t>U</w:t>
          </w:r>
          <w:r w:rsidRPr="001B3776">
            <w:rPr>
              <w:rFonts w:ascii="Verdana" w:hAnsi="Verdana"/>
              <w:color w:val="000000"/>
              <w:sz w:val="20"/>
            </w:rPr>
            <w:t>zgodni</w:t>
          </w:r>
          <w:r>
            <w:rPr>
              <w:rFonts w:ascii="Verdana" w:hAnsi="Verdana"/>
              <w:color w:val="000000"/>
              <w:sz w:val="20"/>
            </w:rPr>
            <w:t>enia</w:t>
          </w:r>
          <w:r w:rsidRPr="001B3776">
            <w:rPr>
              <w:rFonts w:ascii="Verdana" w:hAnsi="Verdana"/>
              <w:color w:val="000000"/>
              <w:sz w:val="20"/>
            </w:rPr>
            <w:t xml:space="preserve"> dokumentacji z Departamentem Strategii i Studiów Generalnej Dyrekcji Dróg Krajowych i Autostrad;</w:t>
          </w:r>
        </w:p>
        <w:p w:rsidR="001D3C26" w:rsidRPr="001D3C26" w:rsidRDefault="001D3C26" w:rsidP="0001213A">
          <w:pPr>
            <w:pStyle w:val="Akapitzlist"/>
            <w:spacing w:line="240" w:lineRule="auto"/>
            <w:ind w:left="426"/>
            <w:jc w:val="both"/>
            <w:rPr>
              <w:rFonts w:ascii="Verdana" w:hAnsi="Verdana" w:cs="Times New Roman"/>
              <w:sz w:val="20"/>
            </w:rPr>
          </w:pPr>
        </w:p>
        <w:p w:rsidR="00E90F81" w:rsidRPr="00B708D8" w:rsidRDefault="00961475" w:rsidP="0001213A">
          <w:pPr>
            <w:pStyle w:val="Akapitzlist"/>
            <w:widowControl/>
            <w:spacing w:after="120" w:line="240" w:lineRule="auto"/>
            <w:ind w:left="0"/>
            <w:jc w:val="both"/>
            <w:rPr>
              <w:rFonts w:ascii="Verdana" w:hAnsi="Verdana"/>
              <w:b/>
              <w:sz w:val="20"/>
            </w:rPr>
          </w:pPr>
          <w:r>
            <w:rPr>
              <w:rFonts w:ascii="Verdana" w:hAnsi="Verdana"/>
              <w:b/>
              <w:sz w:val="20"/>
            </w:rPr>
            <w:t xml:space="preserve">Zaplecze Wykonawcy </w:t>
          </w:r>
        </w:p>
        <w:p w:rsidR="0085315E" w:rsidRPr="00B708D8" w:rsidRDefault="0085315E" w:rsidP="0001213A">
          <w:pPr>
            <w:jc w:val="both"/>
            <w:rPr>
              <w:rFonts w:ascii="Verdana" w:hAnsi="Verdana"/>
              <w:bCs/>
              <w:sz w:val="20"/>
              <w:szCs w:val="20"/>
            </w:rPr>
          </w:pPr>
          <w:r w:rsidRPr="00B708D8">
            <w:rPr>
              <w:rFonts w:ascii="Verdana" w:hAnsi="Verdana"/>
              <w:bCs/>
              <w:sz w:val="20"/>
              <w:szCs w:val="20"/>
            </w:rPr>
            <w:t xml:space="preserve">Koszty wyposażenia w niezbędne narzędzia pracy ponosi </w:t>
          </w:r>
          <w:r>
            <w:rPr>
              <w:rFonts w:ascii="Verdana" w:hAnsi="Verdana"/>
              <w:bCs/>
              <w:sz w:val="20"/>
              <w:szCs w:val="20"/>
            </w:rPr>
            <w:t>Wykonawca.</w:t>
          </w:r>
          <w:r w:rsidRPr="00B708D8">
            <w:rPr>
              <w:rFonts w:ascii="Verdana" w:hAnsi="Verdana"/>
              <w:bCs/>
              <w:sz w:val="20"/>
              <w:szCs w:val="20"/>
            </w:rPr>
            <w:t xml:space="preserve"> Personel </w:t>
          </w:r>
          <w:r>
            <w:rPr>
              <w:rFonts w:ascii="Verdana" w:hAnsi="Verdana"/>
              <w:bCs/>
              <w:sz w:val="20"/>
              <w:szCs w:val="20"/>
            </w:rPr>
            <w:t>Wykonawcy</w:t>
          </w:r>
          <w:r w:rsidRPr="00B708D8">
            <w:rPr>
              <w:rFonts w:ascii="Verdana" w:hAnsi="Verdana"/>
              <w:bCs/>
              <w:sz w:val="20"/>
              <w:szCs w:val="20"/>
            </w:rPr>
            <w:t xml:space="preserve"> będzie </w:t>
          </w:r>
          <w:r>
            <w:rPr>
              <w:rFonts w:ascii="Verdana" w:hAnsi="Verdana"/>
              <w:bCs/>
              <w:sz w:val="20"/>
              <w:szCs w:val="20"/>
            </w:rPr>
            <w:t xml:space="preserve">w razie potrzeby </w:t>
          </w:r>
          <w:r w:rsidRPr="00B708D8">
            <w:rPr>
              <w:rFonts w:ascii="Verdana" w:hAnsi="Verdana"/>
              <w:bCs/>
              <w:sz w:val="20"/>
              <w:szCs w:val="20"/>
            </w:rPr>
            <w:t xml:space="preserve">dysponować </w:t>
          </w:r>
          <w:r>
            <w:rPr>
              <w:rFonts w:ascii="Verdana" w:hAnsi="Verdana"/>
              <w:bCs/>
              <w:sz w:val="20"/>
              <w:szCs w:val="20"/>
            </w:rPr>
            <w:t xml:space="preserve">środkami transportu samochodowego, </w:t>
          </w:r>
          <w:r w:rsidRPr="00B708D8">
            <w:rPr>
              <w:rFonts w:ascii="Verdana" w:hAnsi="Verdana"/>
              <w:bCs/>
              <w:sz w:val="20"/>
              <w:szCs w:val="20"/>
            </w:rPr>
            <w:t xml:space="preserve">sprzętem </w:t>
          </w:r>
          <w:r>
            <w:rPr>
              <w:rFonts w:ascii="Verdana" w:hAnsi="Verdana"/>
              <w:bCs/>
              <w:sz w:val="20"/>
              <w:szCs w:val="20"/>
            </w:rPr>
            <w:t xml:space="preserve">biurowym i </w:t>
          </w:r>
          <w:r w:rsidRPr="00B708D8">
            <w:rPr>
              <w:rFonts w:ascii="Verdana" w:hAnsi="Verdana"/>
              <w:bCs/>
              <w:sz w:val="20"/>
              <w:szCs w:val="20"/>
            </w:rPr>
            <w:t xml:space="preserve">komputerowym wraz z oprogramowaniem i dostępem </w:t>
          </w:r>
          <w:r w:rsidRPr="00B708D8">
            <w:rPr>
              <w:rFonts w:ascii="Verdana" w:hAnsi="Verdana"/>
              <w:bCs/>
              <w:color w:val="000000"/>
              <w:sz w:val="20"/>
              <w:szCs w:val="20"/>
            </w:rPr>
            <w:t>do Internetu, sprzętem pomiarowym i badawczym, telefonami</w:t>
          </w:r>
          <w:r w:rsidRPr="00B708D8">
            <w:rPr>
              <w:rFonts w:ascii="Verdana" w:hAnsi="Verdana"/>
              <w:bCs/>
              <w:sz w:val="20"/>
              <w:szCs w:val="20"/>
            </w:rPr>
            <w:t xml:space="preserve"> komórkowymi w ilości i jakości niezbędnej do prowadzenia Usługi rzetelnie, należycie i terminowo, zgodnie z wymaganiami Zamawiającego.</w:t>
          </w:r>
          <w:r>
            <w:rPr>
              <w:rFonts w:ascii="Verdana" w:hAnsi="Verdana"/>
              <w:bCs/>
              <w:sz w:val="20"/>
              <w:szCs w:val="20"/>
            </w:rPr>
            <w:t xml:space="preserve"> Zamawiający nie ma wymagań co do siedziby Wykonawcy, która byłaby dedykowana tylko i wyłącznie realizacji niniejszego zamówienia, tym niemniej po podpisaniu Umowy Wykonawca winien wskazać adres do kierowania korespondencji przez Zamawiającego na adres Wykonawcy.</w:t>
          </w:r>
          <w:r w:rsidRPr="00B708D8">
            <w:rPr>
              <w:rFonts w:ascii="Verdana" w:hAnsi="Verdana"/>
              <w:bCs/>
              <w:sz w:val="20"/>
              <w:szCs w:val="20"/>
            </w:rPr>
            <w:t xml:space="preserve"> </w:t>
          </w:r>
        </w:p>
        <w:p w:rsidR="00961475" w:rsidRDefault="00E90F81" w:rsidP="0001213A">
          <w:pPr>
            <w:spacing w:after="120" w:line="240" w:lineRule="auto"/>
            <w:jc w:val="both"/>
            <w:rPr>
              <w:rFonts w:ascii="Verdana" w:hAnsi="Verdana"/>
              <w:b/>
              <w:bCs/>
              <w:sz w:val="20"/>
            </w:rPr>
          </w:pPr>
          <w:r w:rsidRPr="00B708D8">
            <w:rPr>
              <w:rFonts w:ascii="Verdana" w:hAnsi="Verdana"/>
              <w:b/>
              <w:bCs/>
              <w:sz w:val="20"/>
            </w:rPr>
            <w:t>Koszty</w:t>
          </w:r>
          <w:r w:rsidR="00560735">
            <w:rPr>
              <w:rFonts w:ascii="Verdana" w:hAnsi="Verdana"/>
              <w:b/>
              <w:bCs/>
              <w:sz w:val="20"/>
            </w:rPr>
            <w:t xml:space="preserve"> realizacji usługi</w:t>
          </w:r>
        </w:p>
        <w:p w:rsidR="00E90F81" w:rsidRPr="00961475" w:rsidRDefault="00961475" w:rsidP="0001213A">
          <w:pPr>
            <w:spacing w:after="120" w:line="240" w:lineRule="auto"/>
            <w:jc w:val="both"/>
            <w:rPr>
              <w:rFonts w:ascii="Verdana" w:hAnsi="Verdana"/>
              <w:b/>
              <w:bCs/>
              <w:sz w:val="20"/>
            </w:rPr>
          </w:pPr>
          <w:r>
            <w:rPr>
              <w:rFonts w:ascii="Verdana" w:hAnsi="Verdana"/>
              <w:bCs/>
              <w:sz w:val="20"/>
              <w:szCs w:val="20"/>
            </w:rPr>
            <w:t>Całkowite koszty wynagrodzeń i pozapłacowe koszty pracy P</w:t>
          </w:r>
          <w:r w:rsidR="00E90F81" w:rsidRPr="00B708D8">
            <w:rPr>
              <w:rFonts w:ascii="Verdana" w:hAnsi="Verdana"/>
              <w:bCs/>
              <w:sz w:val="20"/>
              <w:szCs w:val="20"/>
            </w:rPr>
            <w:t>ersonelu</w:t>
          </w:r>
          <w:r>
            <w:rPr>
              <w:rFonts w:ascii="Verdana" w:hAnsi="Verdana"/>
              <w:bCs/>
              <w:sz w:val="20"/>
              <w:szCs w:val="20"/>
            </w:rPr>
            <w:t xml:space="preserve"> Wykonawcy</w:t>
          </w:r>
          <w:r w:rsidR="00E90F81" w:rsidRPr="00B708D8">
            <w:rPr>
              <w:rFonts w:ascii="Verdana" w:hAnsi="Verdana"/>
              <w:bCs/>
              <w:sz w:val="20"/>
              <w:szCs w:val="20"/>
            </w:rPr>
            <w:t xml:space="preserve">, </w:t>
          </w:r>
          <w:r>
            <w:rPr>
              <w:rFonts w:ascii="Verdana" w:hAnsi="Verdana"/>
              <w:bCs/>
              <w:sz w:val="20"/>
              <w:szCs w:val="20"/>
            </w:rPr>
            <w:t xml:space="preserve">całkowite koszty środków biurowych, łączności, </w:t>
          </w:r>
          <w:r w:rsidR="00E90F81" w:rsidRPr="00B708D8">
            <w:rPr>
              <w:rFonts w:ascii="Verdana" w:hAnsi="Verdana"/>
              <w:bCs/>
              <w:sz w:val="20"/>
              <w:szCs w:val="20"/>
            </w:rPr>
            <w:t>transportu</w:t>
          </w:r>
          <w:r>
            <w:rPr>
              <w:rFonts w:ascii="Verdana" w:hAnsi="Verdana"/>
              <w:bCs/>
              <w:sz w:val="20"/>
              <w:szCs w:val="20"/>
            </w:rPr>
            <w:t>, a także całkowity koszt wszelkich innych środków wynikających z realizacji usługi</w:t>
          </w:r>
          <w:r w:rsidR="00E90F81" w:rsidRPr="00B708D8">
            <w:rPr>
              <w:rFonts w:ascii="Verdana" w:hAnsi="Verdana"/>
              <w:bCs/>
              <w:sz w:val="20"/>
              <w:szCs w:val="20"/>
            </w:rPr>
            <w:t xml:space="preserve"> </w:t>
          </w:r>
          <w:r>
            <w:rPr>
              <w:rFonts w:ascii="Verdana" w:hAnsi="Verdana"/>
              <w:bCs/>
              <w:sz w:val="20"/>
              <w:szCs w:val="20"/>
            </w:rPr>
            <w:t xml:space="preserve">Wykonawca winien wkalkulować do ceny ofertowej brutto, a Zamawiający i Wykonawca uznają, że oferta uwzględnia wszystkie te koszta. </w:t>
          </w:r>
        </w:p>
        <w:p w:rsidR="00E90F81" w:rsidRPr="00B708D8" w:rsidRDefault="00E90F81" w:rsidP="0001213A">
          <w:pPr>
            <w:spacing w:after="120" w:line="240" w:lineRule="auto"/>
            <w:jc w:val="both"/>
            <w:rPr>
              <w:rFonts w:ascii="Verdana" w:hAnsi="Verdana"/>
              <w:b/>
              <w:bCs/>
              <w:sz w:val="20"/>
            </w:rPr>
          </w:pPr>
          <w:r w:rsidRPr="00B708D8">
            <w:rPr>
              <w:rFonts w:ascii="Verdana" w:hAnsi="Verdana"/>
              <w:b/>
              <w:bCs/>
              <w:sz w:val="20"/>
            </w:rPr>
            <w:t xml:space="preserve">Kontrola realizacji </w:t>
          </w:r>
          <w:r w:rsidR="002E695C">
            <w:rPr>
              <w:rFonts w:ascii="Verdana" w:hAnsi="Verdana"/>
              <w:b/>
              <w:bCs/>
              <w:sz w:val="20"/>
            </w:rPr>
            <w:t>Umowy</w:t>
          </w:r>
        </w:p>
        <w:p w:rsidR="00E90F81" w:rsidRDefault="00E90F81" w:rsidP="0001213A">
          <w:pPr>
            <w:spacing w:after="120"/>
            <w:jc w:val="both"/>
            <w:rPr>
              <w:rFonts w:ascii="Verdana" w:hAnsi="Verdana"/>
              <w:sz w:val="20"/>
              <w:szCs w:val="20"/>
            </w:rPr>
          </w:pPr>
          <w:r w:rsidRPr="00B708D8">
            <w:rPr>
              <w:rFonts w:ascii="Verdana" w:hAnsi="Verdana"/>
              <w:sz w:val="20"/>
              <w:szCs w:val="20"/>
            </w:rPr>
            <w:t xml:space="preserve">Podstawowym zadaniem </w:t>
          </w:r>
          <w:r w:rsidR="002E695C">
            <w:rPr>
              <w:rFonts w:ascii="Verdana" w:hAnsi="Verdana"/>
              <w:sz w:val="20"/>
              <w:szCs w:val="20"/>
            </w:rPr>
            <w:t>Osoby odpowiedzialnej za realizację Umowy z ramienia Wykonawcy</w:t>
          </w:r>
          <w:r w:rsidRPr="00B708D8">
            <w:rPr>
              <w:rFonts w:ascii="Verdana" w:hAnsi="Verdana"/>
              <w:sz w:val="20"/>
              <w:szCs w:val="20"/>
            </w:rPr>
            <w:t xml:space="preserve"> jest kontrola zgodności </w:t>
          </w:r>
          <w:r w:rsidR="000004E0">
            <w:rPr>
              <w:rFonts w:ascii="Verdana" w:hAnsi="Verdana"/>
              <w:sz w:val="20"/>
              <w:szCs w:val="20"/>
            </w:rPr>
            <w:t>wykonywanej dokumentacji</w:t>
          </w:r>
          <w:r w:rsidRPr="00B708D8">
            <w:rPr>
              <w:rFonts w:ascii="Verdana" w:hAnsi="Verdana"/>
              <w:sz w:val="20"/>
              <w:szCs w:val="20"/>
            </w:rPr>
            <w:t xml:space="preserve"> z wymaganiami określonymi w </w:t>
          </w:r>
          <w:r w:rsidR="002176B4">
            <w:rPr>
              <w:rFonts w:ascii="Verdana" w:hAnsi="Verdana"/>
              <w:sz w:val="20"/>
              <w:szCs w:val="20"/>
            </w:rPr>
            <w:t>Umowie</w:t>
          </w:r>
          <w:r w:rsidRPr="00B708D8">
            <w:rPr>
              <w:rFonts w:ascii="Verdana" w:hAnsi="Verdana"/>
              <w:sz w:val="20"/>
              <w:szCs w:val="20"/>
            </w:rPr>
            <w:t xml:space="preserve"> i obowiązujących przepisach prawa. </w:t>
          </w:r>
        </w:p>
        <w:p w:rsidR="00E90F81" w:rsidRDefault="00E90F81" w:rsidP="0001213A">
          <w:pPr>
            <w:spacing w:after="120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Wykonawca zapewni </w:t>
          </w:r>
          <w:r w:rsidR="00560735">
            <w:rPr>
              <w:rFonts w:ascii="Verdana" w:hAnsi="Verdana"/>
              <w:sz w:val="20"/>
              <w:szCs w:val="20"/>
            </w:rPr>
            <w:t>pracę co najmniej następującego</w:t>
          </w:r>
          <w:r>
            <w:rPr>
              <w:rFonts w:ascii="Verdana" w:hAnsi="Verdana"/>
              <w:sz w:val="20"/>
              <w:szCs w:val="20"/>
            </w:rPr>
            <w:t xml:space="preserve"> Personel</w:t>
          </w:r>
          <w:r w:rsidR="00560735">
            <w:rPr>
              <w:rFonts w:ascii="Verdana" w:hAnsi="Verdana"/>
              <w:sz w:val="20"/>
              <w:szCs w:val="20"/>
            </w:rPr>
            <w:t>u</w:t>
          </w:r>
          <w:r>
            <w:rPr>
              <w:rFonts w:ascii="Verdana" w:hAnsi="Verdana"/>
              <w:sz w:val="20"/>
              <w:szCs w:val="20"/>
            </w:rPr>
            <w:t>:</w:t>
          </w:r>
        </w:p>
        <w:p w:rsidR="00E90F81" w:rsidRPr="00A93CEB" w:rsidRDefault="002176B4" w:rsidP="00A93CEB">
          <w:pPr>
            <w:pStyle w:val="Akapitzlist"/>
            <w:numPr>
              <w:ilvl w:val="0"/>
              <w:numId w:val="5"/>
            </w:numPr>
            <w:spacing w:after="120" w:line="240" w:lineRule="auto"/>
            <w:jc w:val="both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 xml:space="preserve">Osoba </w:t>
          </w:r>
          <w:r w:rsidR="000004E0">
            <w:rPr>
              <w:rFonts w:ascii="Verdana" w:hAnsi="Verdana"/>
              <w:sz w:val="20"/>
            </w:rPr>
            <w:t>odpowiedzialna za realizację przedmiotu Umowy oraz kontakt z Zamawiającym</w:t>
          </w:r>
        </w:p>
        <w:p w:rsidR="002176B4" w:rsidRDefault="00E90F81" w:rsidP="0001213A">
          <w:pPr>
            <w:pStyle w:val="Tekstpodstawowy2"/>
            <w:tabs>
              <w:tab w:val="left" w:pos="-142"/>
            </w:tabs>
            <w:rPr>
              <w:rFonts w:ascii="Verdana" w:hAnsi="Verdana"/>
              <w:sz w:val="20"/>
            </w:rPr>
          </w:pPr>
          <w:r w:rsidRPr="00B708D8">
            <w:rPr>
              <w:rFonts w:ascii="Verdana" w:hAnsi="Verdana"/>
              <w:sz w:val="20"/>
            </w:rPr>
            <w:t>Termin realizacji zamówienia</w:t>
          </w:r>
        </w:p>
        <w:p w:rsidR="002176B4" w:rsidRPr="002176B4" w:rsidRDefault="002176B4" w:rsidP="0001213A">
          <w:pPr>
            <w:pStyle w:val="Tekstpodstawowy2"/>
            <w:tabs>
              <w:tab w:val="left" w:pos="-142"/>
            </w:tabs>
            <w:rPr>
              <w:rFonts w:ascii="Verdana" w:hAnsi="Verdana"/>
              <w:sz w:val="12"/>
              <w:szCs w:val="12"/>
            </w:rPr>
          </w:pPr>
        </w:p>
        <w:p w:rsidR="002176B4" w:rsidRDefault="00E90F81" w:rsidP="0001213A">
          <w:pPr>
            <w:spacing w:line="240" w:lineRule="auto"/>
            <w:jc w:val="both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>Zam</w:t>
          </w:r>
          <w:r w:rsidR="00961475">
            <w:rPr>
              <w:rFonts w:ascii="Verdana" w:hAnsi="Verdana"/>
              <w:sz w:val="20"/>
            </w:rPr>
            <w:t>a</w:t>
          </w:r>
          <w:r>
            <w:rPr>
              <w:rFonts w:ascii="Verdana" w:hAnsi="Verdana"/>
              <w:sz w:val="20"/>
            </w:rPr>
            <w:t xml:space="preserve">wiający określa </w:t>
          </w:r>
          <w:r w:rsidR="00961475">
            <w:rPr>
              <w:rFonts w:ascii="Verdana" w:hAnsi="Verdana"/>
              <w:sz w:val="20"/>
            </w:rPr>
            <w:t xml:space="preserve">prognozowany </w:t>
          </w:r>
          <w:r>
            <w:rPr>
              <w:rFonts w:ascii="Verdana" w:hAnsi="Verdana"/>
              <w:sz w:val="20"/>
            </w:rPr>
            <w:t>czas realizacji usługi na</w:t>
          </w:r>
          <w:r w:rsidR="002176B4">
            <w:rPr>
              <w:rFonts w:ascii="Verdana" w:hAnsi="Verdana"/>
              <w:sz w:val="20"/>
            </w:rPr>
            <w:t xml:space="preserve"> </w:t>
          </w:r>
          <w:r w:rsidR="002176B4" w:rsidRPr="00C95AAD">
            <w:rPr>
              <w:rFonts w:ascii="Verdana" w:hAnsi="Verdana"/>
              <w:b/>
              <w:sz w:val="20"/>
            </w:rPr>
            <w:t>maksymalnie</w:t>
          </w:r>
          <w:r w:rsidRPr="00C95AAD">
            <w:rPr>
              <w:rFonts w:ascii="Verdana" w:hAnsi="Verdana"/>
              <w:b/>
              <w:sz w:val="20"/>
            </w:rPr>
            <w:t xml:space="preserve"> </w:t>
          </w:r>
          <w:r w:rsidR="00C95AAD" w:rsidRPr="00C95AAD">
            <w:rPr>
              <w:rFonts w:ascii="Verdana" w:hAnsi="Verdana"/>
              <w:b/>
              <w:sz w:val="20"/>
            </w:rPr>
            <w:t>1 miesiąc</w:t>
          </w:r>
          <w:r w:rsidR="00C95AAD">
            <w:rPr>
              <w:rFonts w:ascii="Verdana" w:hAnsi="Verdana"/>
              <w:sz w:val="20"/>
            </w:rPr>
            <w:t xml:space="preserve">, </w:t>
          </w:r>
          <w:r w:rsidR="001B3776">
            <w:rPr>
              <w:rFonts w:ascii="Verdana" w:hAnsi="Verdana"/>
              <w:sz w:val="20"/>
            </w:rPr>
            <w:t xml:space="preserve">licząc </w:t>
          </w:r>
          <w:r w:rsidR="00560735">
            <w:rPr>
              <w:rFonts w:ascii="Verdana" w:hAnsi="Verdana"/>
              <w:sz w:val="20"/>
            </w:rPr>
            <w:t>od dnia podpisania Umowy z Wykonawcą</w:t>
          </w:r>
          <w:r w:rsidR="00D962F6">
            <w:rPr>
              <w:rFonts w:ascii="Verdana" w:hAnsi="Verdana"/>
              <w:sz w:val="20"/>
            </w:rPr>
            <w:t xml:space="preserve"> – termin przekazania do wstępnej weryfikacji Zamawiającego, celem dalszych uzgodnień Wykonawcy z DSS,</w:t>
          </w:r>
          <w:r w:rsidR="00560735">
            <w:rPr>
              <w:rFonts w:ascii="Verdana" w:hAnsi="Verdana"/>
              <w:sz w:val="20"/>
            </w:rPr>
            <w:t xml:space="preserve"> </w:t>
          </w:r>
          <w:r>
            <w:rPr>
              <w:rFonts w:ascii="Verdana" w:hAnsi="Verdana"/>
              <w:sz w:val="20"/>
            </w:rPr>
            <w:t xml:space="preserve">z </w:t>
          </w:r>
          <w:r>
            <w:rPr>
              <w:rFonts w:ascii="Verdana" w:hAnsi="Verdana"/>
              <w:sz w:val="20"/>
            </w:rPr>
            <w:lastRenderedPageBreak/>
            <w:t>zastrzeżeniem, że realizacja usługi zakończy się z dniem</w:t>
          </w:r>
          <w:r w:rsidR="00D962F6">
            <w:rPr>
              <w:rFonts w:ascii="Verdana" w:hAnsi="Verdana"/>
              <w:sz w:val="20"/>
            </w:rPr>
            <w:t xml:space="preserve"> dostarczenia przez Wykonawcę dokumentacji uzgodnionej z DSS i</w:t>
          </w:r>
          <w:r>
            <w:rPr>
              <w:rFonts w:ascii="Verdana" w:hAnsi="Verdana"/>
              <w:sz w:val="20"/>
            </w:rPr>
            <w:t xml:space="preserve"> </w:t>
          </w:r>
          <w:r w:rsidR="002176B4">
            <w:rPr>
              <w:rFonts w:ascii="Verdana" w:hAnsi="Verdana"/>
              <w:sz w:val="20"/>
            </w:rPr>
            <w:t>podpisania przez Zamawiającego</w:t>
          </w:r>
          <w:r>
            <w:rPr>
              <w:rFonts w:ascii="Verdana" w:hAnsi="Verdana"/>
              <w:sz w:val="20"/>
            </w:rPr>
            <w:t xml:space="preserve"> </w:t>
          </w:r>
          <w:r w:rsidR="002176B4">
            <w:rPr>
              <w:rFonts w:ascii="Verdana" w:hAnsi="Verdana"/>
              <w:sz w:val="20"/>
            </w:rPr>
            <w:t xml:space="preserve">protokołu </w:t>
          </w:r>
          <w:r w:rsidR="00C3586D">
            <w:rPr>
              <w:rFonts w:ascii="Verdana" w:hAnsi="Verdana"/>
              <w:sz w:val="20"/>
            </w:rPr>
            <w:t>odbioru</w:t>
          </w:r>
          <w:r w:rsidR="00B66444">
            <w:rPr>
              <w:rFonts w:ascii="Verdana" w:hAnsi="Verdana"/>
              <w:sz w:val="20"/>
            </w:rPr>
            <w:t xml:space="preserve"> bez uwag</w:t>
          </w:r>
          <w:r>
            <w:rPr>
              <w:rFonts w:ascii="Verdana" w:hAnsi="Verdana"/>
              <w:sz w:val="20"/>
            </w:rPr>
            <w:t xml:space="preserve">, a zatem prognozowany okres realizacji usługi może ulec </w:t>
          </w:r>
          <w:r w:rsidR="00D962F6">
            <w:rPr>
              <w:rFonts w:ascii="Verdana" w:hAnsi="Verdana"/>
              <w:sz w:val="20"/>
            </w:rPr>
            <w:t>wydłużeniu</w:t>
          </w:r>
          <w:r>
            <w:rPr>
              <w:rFonts w:ascii="Verdana" w:hAnsi="Verdana"/>
              <w:sz w:val="20"/>
            </w:rPr>
            <w:t xml:space="preserve"> w zależności od realnych potrzeb</w:t>
          </w:r>
          <w:r w:rsidR="002176B4">
            <w:rPr>
              <w:rFonts w:ascii="Verdana" w:hAnsi="Verdana"/>
              <w:sz w:val="20"/>
            </w:rPr>
            <w:t xml:space="preserve"> czasowych na </w:t>
          </w:r>
          <w:r w:rsidR="00D962F6">
            <w:rPr>
              <w:rFonts w:ascii="Verdana" w:hAnsi="Verdana"/>
              <w:sz w:val="20"/>
            </w:rPr>
            <w:t>uzyskanie ww. uzgodnienia</w:t>
          </w:r>
          <w:r>
            <w:rPr>
              <w:rFonts w:ascii="Verdana" w:hAnsi="Verdana"/>
              <w:sz w:val="20"/>
            </w:rPr>
            <w:t>.</w:t>
          </w:r>
          <w:r w:rsidR="005445E4">
            <w:rPr>
              <w:rFonts w:ascii="Verdana" w:hAnsi="Verdana"/>
              <w:sz w:val="20"/>
            </w:rPr>
            <w:t xml:space="preserve"> </w:t>
          </w:r>
        </w:p>
        <w:p w:rsidR="00E90F81" w:rsidRPr="002176B4" w:rsidRDefault="00E90F81" w:rsidP="0001213A">
          <w:pPr>
            <w:spacing w:line="240" w:lineRule="auto"/>
            <w:jc w:val="both"/>
            <w:rPr>
              <w:rFonts w:ascii="Verdana" w:hAnsi="Verdana"/>
              <w:b/>
              <w:sz w:val="20"/>
            </w:rPr>
          </w:pPr>
          <w:r w:rsidRPr="002176B4">
            <w:rPr>
              <w:rFonts w:ascii="Verdana" w:hAnsi="Verdana"/>
              <w:b/>
              <w:sz w:val="20"/>
            </w:rPr>
            <w:t>Sposób rozliczenia</w:t>
          </w:r>
          <w:r w:rsidR="00560735" w:rsidRPr="002176B4">
            <w:rPr>
              <w:rFonts w:ascii="Verdana" w:hAnsi="Verdana"/>
              <w:b/>
              <w:sz w:val="20"/>
            </w:rPr>
            <w:t xml:space="preserve"> z Wykonawcą</w:t>
          </w:r>
        </w:p>
        <w:p w:rsidR="00560735" w:rsidRDefault="00E90F81" w:rsidP="0001213A">
          <w:pPr>
            <w:pStyle w:val="Tekstpodstawowy2"/>
            <w:tabs>
              <w:tab w:val="left" w:pos="-142"/>
            </w:tabs>
            <w:rPr>
              <w:rFonts w:ascii="Verdana" w:hAnsi="Verdana"/>
              <w:b w:val="0"/>
              <w:sz w:val="20"/>
            </w:rPr>
          </w:pPr>
          <w:r w:rsidRPr="00A77285">
            <w:rPr>
              <w:rFonts w:ascii="Verdana" w:hAnsi="Verdana"/>
              <w:b w:val="0"/>
              <w:sz w:val="20"/>
            </w:rPr>
            <w:t>Rozliczen</w:t>
          </w:r>
          <w:r w:rsidR="002176B4">
            <w:rPr>
              <w:rFonts w:ascii="Verdana" w:hAnsi="Verdana"/>
              <w:b w:val="0"/>
              <w:sz w:val="20"/>
            </w:rPr>
            <w:t xml:space="preserve">ie usługi nastąpi </w:t>
          </w:r>
          <w:r w:rsidR="00A220B1">
            <w:rPr>
              <w:rFonts w:ascii="Verdana" w:hAnsi="Verdana"/>
              <w:b w:val="0"/>
              <w:sz w:val="20"/>
            </w:rPr>
            <w:t>na podstawie podpisanego przez Zamawiającego protokołu odbioru bez uwag. W przypadku uwag ze strony Zamawiającego, Wykonawca zobowiązany jest do uzupełnienia dokumentacji w ciągu 7 dni od otrzymania takiego wezwania.</w:t>
          </w:r>
        </w:p>
        <w:p w:rsidR="00560735" w:rsidRDefault="00560735" w:rsidP="0001213A">
          <w:pPr>
            <w:pStyle w:val="Tekstpodstawowy2"/>
            <w:tabs>
              <w:tab w:val="left" w:pos="-142"/>
            </w:tabs>
            <w:rPr>
              <w:rFonts w:ascii="Verdana" w:hAnsi="Verdana"/>
              <w:b w:val="0"/>
              <w:sz w:val="20"/>
            </w:rPr>
          </w:pPr>
        </w:p>
        <w:p w:rsidR="00E90F81" w:rsidRPr="00560735" w:rsidRDefault="00560735" w:rsidP="0001213A">
          <w:pPr>
            <w:pStyle w:val="Tekstpodstawowy2"/>
            <w:tabs>
              <w:tab w:val="left" w:pos="-142"/>
            </w:tabs>
            <w:rPr>
              <w:rFonts w:ascii="Verdana" w:hAnsi="Verdana"/>
              <w:sz w:val="20"/>
            </w:rPr>
          </w:pPr>
          <w:r w:rsidRPr="00560735">
            <w:rPr>
              <w:rFonts w:ascii="Verdana" w:hAnsi="Verdana"/>
              <w:sz w:val="20"/>
            </w:rPr>
            <w:t>Kontrola pracy Wykonawcy</w:t>
          </w:r>
          <w:r w:rsidR="00E90F81" w:rsidRPr="00560735">
            <w:rPr>
              <w:rFonts w:ascii="Verdana" w:hAnsi="Verdana"/>
              <w:sz w:val="20"/>
            </w:rPr>
            <w:t xml:space="preserve"> </w:t>
          </w:r>
        </w:p>
        <w:p w:rsidR="007418D4" w:rsidRDefault="007418D4" w:rsidP="0001213A">
          <w:pPr>
            <w:pStyle w:val="Tekstpodstawowy2"/>
            <w:tabs>
              <w:tab w:val="left" w:pos="-142"/>
            </w:tabs>
            <w:rPr>
              <w:rFonts w:ascii="Verdana" w:hAnsi="Verdana"/>
              <w:b w:val="0"/>
              <w:sz w:val="20"/>
            </w:rPr>
          </w:pPr>
        </w:p>
        <w:p w:rsidR="00E90F81" w:rsidRDefault="007418D4" w:rsidP="00A93CEB">
          <w:pPr>
            <w:pStyle w:val="Tekstpodstawowy2"/>
            <w:tabs>
              <w:tab w:val="left" w:pos="-142"/>
            </w:tabs>
            <w:rPr>
              <w:rFonts w:ascii="Verdana" w:hAnsi="Verdana"/>
              <w:b w:val="0"/>
              <w:sz w:val="20"/>
            </w:rPr>
          </w:pPr>
          <w:r>
            <w:rPr>
              <w:rFonts w:ascii="Verdana" w:hAnsi="Verdana"/>
              <w:b w:val="0"/>
              <w:sz w:val="20"/>
            </w:rPr>
            <w:t>Podstawą płatności Wykonawcy</w:t>
          </w:r>
          <w:r w:rsidR="00560735">
            <w:rPr>
              <w:rFonts w:ascii="Verdana" w:hAnsi="Verdana"/>
              <w:b w:val="0"/>
              <w:sz w:val="20"/>
            </w:rPr>
            <w:t>, oprócz prawidłowo wystawionej faktury VAT,</w:t>
          </w:r>
          <w:r>
            <w:rPr>
              <w:rFonts w:ascii="Verdana" w:hAnsi="Verdana"/>
              <w:b w:val="0"/>
              <w:sz w:val="20"/>
            </w:rPr>
            <w:t xml:space="preserve"> będzie pozytywnie zaopiniowan</w:t>
          </w:r>
          <w:r w:rsidR="002176B4">
            <w:rPr>
              <w:rFonts w:ascii="Verdana" w:hAnsi="Verdana"/>
              <w:b w:val="0"/>
              <w:sz w:val="20"/>
            </w:rPr>
            <w:t>a dokumentacja przez Zamawiającego potwierdzona protokołem</w:t>
          </w:r>
          <w:r w:rsidR="00A220B1">
            <w:rPr>
              <w:rFonts w:ascii="Verdana" w:hAnsi="Verdana"/>
              <w:b w:val="0"/>
              <w:sz w:val="20"/>
            </w:rPr>
            <w:t xml:space="preserve"> odbioru bez uwag</w:t>
          </w:r>
          <w:r w:rsidR="002176B4">
            <w:rPr>
              <w:rFonts w:ascii="Verdana" w:hAnsi="Verdana"/>
              <w:b w:val="0"/>
              <w:sz w:val="20"/>
            </w:rPr>
            <w:t>.</w:t>
          </w:r>
          <w:r>
            <w:rPr>
              <w:rFonts w:ascii="Verdana" w:hAnsi="Verdana"/>
              <w:b w:val="0"/>
              <w:sz w:val="20"/>
            </w:rPr>
            <w:t xml:space="preserve"> </w:t>
          </w:r>
        </w:p>
        <w:p w:rsidR="00A93CEB" w:rsidRPr="00A93CEB" w:rsidRDefault="00A93CEB" w:rsidP="00A93CEB">
          <w:pPr>
            <w:pStyle w:val="Tekstpodstawowy2"/>
            <w:tabs>
              <w:tab w:val="left" w:pos="-142"/>
            </w:tabs>
            <w:rPr>
              <w:rFonts w:ascii="Verdana" w:hAnsi="Verdana"/>
              <w:b w:val="0"/>
              <w:sz w:val="20"/>
            </w:rPr>
          </w:pPr>
        </w:p>
        <w:p w:rsidR="00A93CEB" w:rsidRPr="00A93CEB" w:rsidRDefault="00A93CEB" w:rsidP="0001213A">
          <w:pPr>
            <w:jc w:val="both"/>
            <w:rPr>
              <w:rFonts w:ascii="Verdana" w:hAnsi="Verdana"/>
              <w:sz w:val="20"/>
              <w:szCs w:val="20"/>
              <w:u w:val="single"/>
            </w:rPr>
          </w:pPr>
          <w:r w:rsidRPr="00A93CEB">
            <w:rPr>
              <w:rFonts w:ascii="Verdana" w:hAnsi="Verdana"/>
              <w:sz w:val="20"/>
              <w:szCs w:val="20"/>
              <w:u w:val="single"/>
            </w:rPr>
            <w:t>Załączniki:</w:t>
          </w:r>
        </w:p>
        <w:p w:rsidR="00A93CEB" w:rsidRDefault="00A93CEB" w:rsidP="0001213A">
          <w:pPr>
            <w:jc w:val="both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  <w:szCs w:val="20"/>
            </w:rPr>
            <w:t xml:space="preserve">1. Wytyczne </w:t>
          </w:r>
          <w:r>
            <w:rPr>
              <w:rFonts w:ascii="Verdana" w:hAnsi="Verdana"/>
              <w:sz w:val="20"/>
            </w:rPr>
            <w:t>Departamentu Strategii i Studiów Generalnej Dyrekcji Dróg Krajowych i Autostrad pn. „Szczegółowe wymagania do dokumentacji. Analiza i prognoza ruchu” (wrzesień 2022).</w:t>
          </w:r>
        </w:p>
        <w:p w:rsidR="00D55B75" w:rsidRDefault="00D17827" w:rsidP="0001213A">
          <w:pPr>
            <w:jc w:val="both"/>
            <w:rPr>
              <w:rFonts w:ascii="Verdana" w:hAnsi="Verdana"/>
              <w:bCs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2</w:t>
          </w:r>
          <w:r w:rsidR="00A93CEB">
            <w:rPr>
              <w:rFonts w:ascii="Verdana" w:hAnsi="Verdana"/>
              <w:sz w:val="20"/>
              <w:szCs w:val="20"/>
            </w:rPr>
            <w:t xml:space="preserve">. </w:t>
          </w:r>
          <w:r w:rsidR="00A93CEB" w:rsidRPr="0001213A">
            <w:rPr>
              <w:rFonts w:ascii="Verdana" w:hAnsi="Verdana"/>
              <w:bCs/>
              <w:sz w:val="20"/>
              <w:szCs w:val="20"/>
            </w:rPr>
            <w:t>Informacje o wysokości stawek opłat obowiązujących dla elektronicznego poboru opłat</w:t>
          </w:r>
          <w:r w:rsidR="00A93CEB" w:rsidRPr="0001213A">
            <w:rPr>
              <w:rFonts w:ascii="Verdana" w:hAnsi="Verdana"/>
              <w:bCs/>
              <w:sz w:val="20"/>
              <w:szCs w:val="20"/>
            </w:rPr>
            <w:br/>
            <w:t>(e-TOLL) i dla autostrad płatnych</w:t>
          </w:r>
          <w:r w:rsidR="00A93CEB">
            <w:rPr>
              <w:rFonts w:ascii="Verdana" w:hAnsi="Verdana"/>
              <w:bCs/>
              <w:sz w:val="20"/>
              <w:szCs w:val="20"/>
            </w:rPr>
            <w:t>.</w:t>
          </w:r>
        </w:p>
        <w:p w:rsidR="0043578C" w:rsidRPr="00A93CEB" w:rsidRDefault="00D17827" w:rsidP="0001213A">
          <w:pPr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Cs/>
              <w:sz w:val="20"/>
              <w:szCs w:val="20"/>
            </w:rPr>
            <w:t>3</w:t>
          </w:r>
          <w:r w:rsidR="00375EE3">
            <w:rPr>
              <w:rFonts w:ascii="Verdana" w:hAnsi="Verdana"/>
              <w:bCs/>
              <w:sz w:val="20"/>
              <w:szCs w:val="20"/>
            </w:rPr>
            <w:t xml:space="preserve">. </w:t>
          </w:r>
          <w:r w:rsidR="00D55B75">
            <w:rPr>
              <w:rFonts w:ascii="Verdana" w:hAnsi="Verdana"/>
              <w:bCs/>
              <w:sz w:val="20"/>
              <w:szCs w:val="20"/>
            </w:rPr>
            <w:t xml:space="preserve">Rysunek poglądowy z </w:t>
          </w:r>
          <w:r w:rsidR="00230BA4">
            <w:rPr>
              <w:rFonts w:ascii="Verdana" w:hAnsi="Verdana"/>
              <w:bCs/>
              <w:sz w:val="20"/>
              <w:szCs w:val="20"/>
            </w:rPr>
            <w:t>docelowym układem dróg ekspresowych Województwa Podlaskiego – rozwój sieci drogowej.</w:t>
          </w:r>
        </w:p>
      </w:sdtContent>
    </w:sdt>
    <w:bookmarkStart w:id="0" w:name="_GoBack" w:displacedByCustomXml="prev"/>
    <w:bookmarkEnd w:id="0" w:displacedByCustomXml="prev"/>
    <w:sectPr w:rsidR="0043578C" w:rsidRPr="00A93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3AB"/>
    <w:multiLevelType w:val="hybridMultilevel"/>
    <w:tmpl w:val="10AC0540"/>
    <w:lvl w:ilvl="0" w:tplc="BE2635C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602D1"/>
    <w:multiLevelType w:val="hybridMultilevel"/>
    <w:tmpl w:val="54862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C16B9"/>
    <w:multiLevelType w:val="hybridMultilevel"/>
    <w:tmpl w:val="DB64033A"/>
    <w:lvl w:ilvl="0" w:tplc="D39CA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B2D5B"/>
    <w:multiLevelType w:val="hybridMultilevel"/>
    <w:tmpl w:val="BAE0A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27160"/>
    <w:multiLevelType w:val="hybridMultilevel"/>
    <w:tmpl w:val="EBD4B824"/>
    <w:lvl w:ilvl="0" w:tplc="CCC8CD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354D7"/>
    <w:multiLevelType w:val="hybridMultilevel"/>
    <w:tmpl w:val="B2643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B27E0"/>
    <w:multiLevelType w:val="hybridMultilevel"/>
    <w:tmpl w:val="5380D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20FBA"/>
    <w:multiLevelType w:val="hybridMultilevel"/>
    <w:tmpl w:val="B8C86ACC"/>
    <w:lvl w:ilvl="0" w:tplc="BE263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44049"/>
    <w:multiLevelType w:val="hybridMultilevel"/>
    <w:tmpl w:val="6A768D62"/>
    <w:lvl w:ilvl="0" w:tplc="D39CA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1DB"/>
    <w:rsid w:val="000004E0"/>
    <w:rsid w:val="0001213A"/>
    <w:rsid w:val="000477A5"/>
    <w:rsid w:val="0006785E"/>
    <w:rsid w:val="000C48AC"/>
    <w:rsid w:val="000F599A"/>
    <w:rsid w:val="00164822"/>
    <w:rsid w:val="001A2E7E"/>
    <w:rsid w:val="001B3776"/>
    <w:rsid w:val="001D3C26"/>
    <w:rsid w:val="002176B4"/>
    <w:rsid w:val="00230BA4"/>
    <w:rsid w:val="00233746"/>
    <w:rsid w:val="002E695C"/>
    <w:rsid w:val="00303118"/>
    <w:rsid w:val="00314BBA"/>
    <w:rsid w:val="00344371"/>
    <w:rsid w:val="00375EE3"/>
    <w:rsid w:val="0043578C"/>
    <w:rsid w:val="00466190"/>
    <w:rsid w:val="004D69B1"/>
    <w:rsid w:val="005445E4"/>
    <w:rsid w:val="00560735"/>
    <w:rsid w:val="006A48FB"/>
    <w:rsid w:val="006F5268"/>
    <w:rsid w:val="00702EDC"/>
    <w:rsid w:val="00722C39"/>
    <w:rsid w:val="00724D4D"/>
    <w:rsid w:val="007418D4"/>
    <w:rsid w:val="00763D41"/>
    <w:rsid w:val="007848A7"/>
    <w:rsid w:val="007C0580"/>
    <w:rsid w:val="007E185B"/>
    <w:rsid w:val="0085315E"/>
    <w:rsid w:val="008701DB"/>
    <w:rsid w:val="00916695"/>
    <w:rsid w:val="0092228C"/>
    <w:rsid w:val="00961475"/>
    <w:rsid w:val="009E3738"/>
    <w:rsid w:val="00A220B1"/>
    <w:rsid w:val="00A93CEB"/>
    <w:rsid w:val="00AA2C79"/>
    <w:rsid w:val="00B66444"/>
    <w:rsid w:val="00B85ECE"/>
    <w:rsid w:val="00C3586D"/>
    <w:rsid w:val="00C91171"/>
    <w:rsid w:val="00C95AAD"/>
    <w:rsid w:val="00D17827"/>
    <w:rsid w:val="00D55B75"/>
    <w:rsid w:val="00D567E7"/>
    <w:rsid w:val="00D70C68"/>
    <w:rsid w:val="00D74926"/>
    <w:rsid w:val="00D962F6"/>
    <w:rsid w:val="00E13BE0"/>
    <w:rsid w:val="00E45542"/>
    <w:rsid w:val="00E90F81"/>
    <w:rsid w:val="00EA7FB6"/>
    <w:rsid w:val="00F121BF"/>
    <w:rsid w:val="00F4283A"/>
    <w:rsid w:val="00F5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480D"/>
  <w15:chartTrackingRefBased/>
  <w15:docId w15:val="{CC38371E-E789-4A82-B1D1-E58201BB0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F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0F81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Akapitzlist">
    <w:name w:val="List Paragraph"/>
    <w:aliases w:val="Akapit z listą1,Lista uwag,normalny tekst"/>
    <w:basedOn w:val="Normalny"/>
    <w:link w:val="AkapitzlistZnak"/>
    <w:uiPriority w:val="34"/>
    <w:qFormat/>
    <w:rsid w:val="00E90F81"/>
    <w:pPr>
      <w:widowControl w:val="0"/>
      <w:autoSpaceDE w:val="0"/>
      <w:autoSpaceDN w:val="0"/>
      <w:adjustRightInd w:val="0"/>
      <w:spacing w:after="0" w:line="360" w:lineRule="auto"/>
      <w:ind w:left="72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90F8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90F8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AkapitzlistZnak">
    <w:name w:val="Akapit z listą Znak"/>
    <w:aliases w:val="Akapit z listą1 Znak,Lista uwag Znak,normalny tekst Znak"/>
    <w:link w:val="Akapitzlist"/>
    <w:uiPriority w:val="34"/>
    <w:locked/>
    <w:rsid w:val="00E90F81"/>
    <w:rPr>
      <w:rFonts w:ascii="Times New Roman" w:eastAsiaTheme="minorEastAsia" w:hAnsi="Times New Roman" w:cs="Arial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01213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01213A"/>
    <w:rPr>
      <w:rFonts w:ascii="Verdana-Italic" w:hAnsi="Verdana-Italic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2775CB547F442CB7F2D8CD17E8AB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A2B580-EB47-4545-B6E7-E8D0CEF2DFBD}"/>
      </w:docPartPr>
      <w:docPartBody>
        <w:p w:rsidR="00803B2C" w:rsidRDefault="007D2068" w:rsidP="007D2068">
          <w:pPr>
            <w:pStyle w:val="762775CB547F442CB7F2D8CD17E8AB63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68"/>
    <w:rsid w:val="00236F15"/>
    <w:rsid w:val="004A3E3C"/>
    <w:rsid w:val="007D2068"/>
    <w:rsid w:val="00803B2C"/>
    <w:rsid w:val="00A942DE"/>
    <w:rsid w:val="00B61FC1"/>
    <w:rsid w:val="00E5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2068"/>
    <w:rPr>
      <w:color w:val="808080"/>
    </w:rPr>
  </w:style>
  <w:style w:type="paragraph" w:customStyle="1" w:styleId="762775CB547F442CB7F2D8CD17E8AB63">
    <w:name w:val="762775CB547F442CB7F2D8CD17E8AB63"/>
    <w:rsid w:val="007D2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1411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Grądzki Łukasz</dc:creator>
  <cp:keywords/>
  <dc:description/>
  <cp:lastModifiedBy>Topczewski Sławomir</cp:lastModifiedBy>
  <cp:revision>36</cp:revision>
  <dcterms:created xsi:type="dcterms:W3CDTF">2023-06-26T06:44:00Z</dcterms:created>
  <dcterms:modified xsi:type="dcterms:W3CDTF">2023-12-18T11:39:00Z</dcterms:modified>
</cp:coreProperties>
</file>