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8C13B" w14:textId="754F5DCB" w:rsidR="00B438B3" w:rsidRPr="00156418" w:rsidRDefault="008A225E" w:rsidP="006A6300">
      <w:pPr>
        <w:pStyle w:val="Tytu"/>
        <w:rPr>
          <w:color w:val="1F4E79" w:themeColor="accent1" w:themeShade="80"/>
        </w:rPr>
      </w:pPr>
      <w:r w:rsidRPr="00604F47">
        <w:rPr>
          <w:color w:val="1F4E79" w:themeColor="accent1" w:themeShade="80"/>
        </w:rPr>
        <w:t>Zakres studium wykonalności dla przedsięwzięć inwestycyjnych w</w:t>
      </w:r>
      <w:r w:rsidR="00785E67" w:rsidRPr="00604F47">
        <w:rPr>
          <w:color w:val="1F4E79" w:themeColor="accent1" w:themeShade="80"/>
        </w:rPr>
        <w:t> </w:t>
      </w:r>
      <w:r w:rsidRPr="00604F47">
        <w:rPr>
          <w:color w:val="1F4E79" w:themeColor="accent1" w:themeShade="80"/>
        </w:rPr>
        <w:t>sektorze wodno-ściekowym</w:t>
      </w:r>
      <w:r w:rsidR="00B438B3" w:rsidRPr="00604F47">
        <w:rPr>
          <w:color w:val="1F4E79" w:themeColor="accent1" w:themeShade="80"/>
        </w:rPr>
        <w:t xml:space="preserve"> (</w:t>
      </w:r>
      <w:proofErr w:type="spellStart"/>
      <w:r w:rsidR="00B438B3" w:rsidRPr="00604F47">
        <w:rPr>
          <w:color w:val="1F4E79" w:themeColor="accent1" w:themeShade="80"/>
        </w:rPr>
        <w:t>FEnIKS</w:t>
      </w:r>
      <w:proofErr w:type="spellEnd"/>
      <w:r w:rsidR="00B438B3" w:rsidRPr="00604F47">
        <w:rPr>
          <w:color w:val="1F4E79" w:themeColor="accent1" w:themeShade="80"/>
        </w:rPr>
        <w:t xml:space="preserve"> 2021-2027, priorytet FENX.01 Wsparcie sektorów energetyka i środowisko z Funduszu Spójności, działania FENX.01.03 Gospodarka wodno-ściekowa)</w:t>
      </w:r>
    </w:p>
    <w:p w14:paraId="20507302" w14:textId="28C623AB" w:rsidR="00B438B3" w:rsidRPr="00B438B3" w:rsidRDefault="00B438B3" w:rsidP="006A6300">
      <w:pPr>
        <w:tabs>
          <w:tab w:val="left" w:pos="1188"/>
        </w:tabs>
        <w:spacing w:line="276" w:lineRule="auto"/>
        <w:jc w:val="left"/>
        <w:sectPr w:rsidR="00B438B3" w:rsidRPr="00B438B3" w:rsidSect="00795CAD">
          <w:footerReference w:type="even" r:id="rId8"/>
          <w:footerReference w:type="default" r:id="rId9"/>
          <w:headerReference w:type="first" r:id="rId10"/>
          <w:footerReference w:type="first" r:id="rId11"/>
          <w:pgSz w:w="12240" w:h="15840"/>
          <w:pgMar w:top="1125" w:right="1591" w:bottom="1247" w:left="1853" w:header="708" w:footer="687" w:gutter="0"/>
          <w:cols w:space="708"/>
          <w:titlePg/>
          <w:docGrid w:linePitch="313"/>
        </w:sectPr>
      </w:pPr>
      <w:r>
        <w:tab/>
      </w:r>
    </w:p>
    <w:p w14:paraId="4019AA26" w14:textId="77777777" w:rsidR="004170C7" w:rsidRPr="00E11F0F" w:rsidRDefault="002B5A4C" w:rsidP="006A6300">
      <w:pPr>
        <w:pStyle w:val="Nagwek1"/>
        <w:spacing w:before="480"/>
      </w:pPr>
      <w:r w:rsidRPr="00E11F0F">
        <w:lastRenderedPageBreak/>
        <w:t>Podsumowanie danych na temat przedsięwzięcia</w:t>
      </w:r>
    </w:p>
    <w:p w14:paraId="4019AA27" w14:textId="10AE8828" w:rsidR="00BF1B62" w:rsidRPr="00E11F0F" w:rsidRDefault="002B5A4C" w:rsidP="006A6300">
      <w:pPr>
        <w:pStyle w:val="Nagwek2"/>
        <w:spacing w:line="276" w:lineRule="auto"/>
        <w:jc w:val="left"/>
      </w:pPr>
      <w:r w:rsidRPr="00E11F0F">
        <w:t xml:space="preserve">Wnioskodawca przedsięwzięcia </w:t>
      </w:r>
    </w:p>
    <w:p w14:paraId="4019AA28" w14:textId="190B240F" w:rsidR="00ED5DAE" w:rsidRPr="00FA5CFF" w:rsidRDefault="002B5A4C" w:rsidP="006A6300">
      <w:pPr>
        <w:pStyle w:val="Nagwek2"/>
        <w:spacing w:line="276" w:lineRule="auto"/>
        <w:jc w:val="left"/>
      </w:pPr>
      <w:r w:rsidRPr="00FA5CFF">
        <w:t>Podmiot</w:t>
      </w:r>
      <w:r w:rsidR="00757BEE" w:rsidRPr="00FA5CFF">
        <w:t>y</w:t>
      </w:r>
      <w:r w:rsidR="005F3358" w:rsidRPr="00FA5CFF">
        <w:t xml:space="preserve"> </w:t>
      </w:r>
      <w:r w:rsidR="00757BEE" w:rsidRPr="00FA5CFF">
        <w:t xml:space="preserve">odpowiedzialne </w:t>
      </w:r>
      <w:r w:rsidRPr="00FA5CFF">
        <w:t xml:space="preserve">za </w:t>
      </w:r>
      <w:r w:rsidR="00ED5DAE" w:rsidRPr="00FA5CFF">
        <w:t>realizację</w:t>
      </w:r>
      <w:r w:rsidRPr="00FA5CFF">
        <w:t xml:space="preserve"> przedsięwzięcia (</w:t>
      </w:r>
      <w:r w:rsidR="00757BEE" w:rsidRPr="00FA5CFF">
        <w:t>b</w:t>
      </w:r>
      <w:r w:rsidRPr="00FA5CFF">
        <w:t>eneficjent</w:t>
      </w:r>
      <w:r w:rsidR="00757BEE" w:rsidRPr="00FA5CFF">
        <w:t xml:space="preserve">, </w:t>
      </w:r>
      <w:r w:rsidR="00004B55" w:rsidRPr="00FA5CFF">
        <w:t>podmioty upoważnione do ponoszenia wydatków kwalifikowanych</w:t>
      </w:r>
      <w:r w:rsidR="00757BEE" w:rsidRPr="00FA5CFF">
        <w:t xml:space="preserve"> – </w:t>
      </w:r>
      <w:r w:rsidR="00757BEE" w:rsidRPr="00FA5CFF">
        <w:rPr>
          <w:i/>
        </w:rPr>
        <w:t>o ile dotyczy</w:t>
      </w:r>
      <w:r w:rsidRPr="00FA5CFF">
        <w:t>)</w:t>
      </w:r>
    </w:p>
    <w:p w14:paraId="4019AA29" w14:textId="2DC4FFD3" w:rsidR="004170C7" w:rsidRPr="00FA5CFF" w:rsidRDefault="00ED5DAE" w:rsidP="006A6300">
      <w:pPr>
        <w:pStyle w:val="Nagwek3"/>
        <w:ind w:left="993" w:hanging="709"/>
        <w:jc w:val="left"/>
      </w:pPr>
      <w:r w:rsidRPr="00FA5CFF">
        <w:t>Potencjał techniczny, prawny, finansowy i administracyjny</w:t>
      </w:r>
      <w:r w:rsidR="00757BEE" w:rsidRPr="00FA5CFF">
        <w:t xml:space="preserve"> beneficjenta</w:t>
      </w:r>
    </w:p>
    <w:p w14:paraId="4019AA2A" w14:textId="483BE059" w:rsidR="00ED5DAE" w:rsidRPr="00FA5CFF" w:rsidRDefault="00004B55" w:rsidP="006A6300">
      <w:pPr>
        <w:pStyle w:val="Nagwek3"/>
        <w:ind w:left="993" w:hanging="709"/>
        <w:jc w:val="left"/>
      </w:pPr>
      <w:r w:rsidRPr="00FA5CFF">
        <w:t>Podmioty upoważnione do ponoszenia wydatków kwalifikowanych</w:t>
      </w:r>
      <w:r w:rsidR="00ED5DAE" w:rsidRPr="00FA5CFF">
        <w:t xml:space="preserve"> (</w:t>
      </w:r>
      <w:r w:rsidR="00ED5DAE" w:rsidRPr="00FA5CFF">
        <w:rPr>
          <w:i/>
        </w:rPr>
        <w:t>o ile dotyczy</w:t>
      </w:r>
      <w:r w:rsidR="00ED5DAE" w:rsidRPr="00FA5CFF">
        <w:t>)</w:t>
      </w:r>
    </w:p>
    <w:p w14:paraId="4019AA2B" w14:textId="53883AFB" w:rsidR="004170C7" w:rsidRPr="00FA5CFF" w:rsidRDefault="002B5A4C" w:rsidP="006A6300">
      <w:pPr>
        <w:pStyle w:val="Nagwek2"/>
        <w:spacing w:line="276" w:lineRule="auto"/>
        <w:jc w:val="left"/>
      </w:pPr>
      <w:r w:rsidRPr="00FA5CFF">
        <w:t>Dane dotyczące przedsięwzięcia</w:t>
      </w:r>
    </w:p>
    <w:p w14:paraId="4019AA2C" w14:textId="2AB9EF46" w:rsidR="004170C7" w:rsidRPr="00FA5CFF" w:rsidRDefault="002B5A4C" w:rsidP="006A6300">
      <w:pPr>
        <w:pStyle w:val="Nagwek3"/>
        <w:ind w:left="993" w:hanging="709"/>
        <w:jc w:val="left"/>
      </w:pPr>
      <w:r w:rsidRPr="00FA5CFF">
        <w:t>Tytuł przedsięwzięcia</w:t>
      </w:r>
    </w:p>
    <w:p w14:paraId="4019AA2D" w14:textId="3B15AA49" w:rsidR="004170C7" w:rsidRPr="00FA5CFF" w:rsidRDefault="002B5A4C" w:rsidP="006A6300">
      <w:pPr>
        <w:pStyle w:val="Nagwek3"/>
        <w:ind w:left="993" w:hanging="709"/>
        <w:jc w:val="left"/>
      </w:pPr>
      <w:r w:rsidRPr="00FA5CFF">
        <w:t>Podstawowe niedobory systemu wodno-ściekowego</w:t>
      </w:r>
    </w:p>
    <w:p w14:paraId="4019AA2E" w14:textId="2F5AC329" w:rsidR="004170C7" w:rsidRPr="00FA5CFF" w:rsidRDefault="002B5A4C" w:rsidP="006A6300">
      <w:pPr>
        <w:pStyle w:val="Nagwek3"/>
        <w:ind w:left="993" w:hanging="709"/>
        <w:jc w:val="left"/>
      </w:pPr>
      <w:r w:rsidRPr="00FA5CFF">
        <w:t>Cele przedsięwzięcia</w:t>
      </w:r>
      <w:r w:rsidR="009F474A" w:rsidRPr="00FA5CFF">
        <w:t xml:space="preserve"> z wyszczególnieniem tych, kt</w:t>
      </w:r>
      <w:r w:rsidR="00991311" w:rsidRPr="00FA5CFF">
        <w:t>óre przyczyniają się do</w:t>
      </w:r>
      <w:r w:rsidR="009F474A" w:rsidRPr="00FA5CFF">
        <w:t xml:space="preserve"> wypełnienia przez aglomerację dyrektywy ściekowej</w:t>
      </w:r>
      <w:r w:rsidRPr="00FA5CFF">
        <w:t xml:space="preserve"> </w:t>
      </w:r>
      <w:r w:rsidR="009F474A" w:rsidRPr="00FA5CFF">
        <w:t>(cele muszą jednoznacznie wynikać ze zidentyfikowanych niedoborów)</w:t>
      </w:r>
    </w:p>
    <w:p w14:paraId="4019AA2F" w14:textId="60B603BF" w:rsidR="004170C7" w:rsidRPr="00FA5CFF" w:rsidRDefault="002B5A4C" w:rsidP="006A6300">
      <w:pPr>
        <w:pStyle w:val="Nagwek3"/>
        <w:ind w:left="993" w:hanging="709"/>
        <w:jc w:val="left"/>
      </w:pPr>
      <w:r w:rsidRPr="00FA5CFF">
        <w:t xml:space="preserve">Opis przedsięwzięcia, w tym zakres rzeczowy </w:t>
      </w:r>
      <w:r w:rsidR="00757BEE" w:rsidRPr="00FA5CFF">
        <w:t>i koszt przedsięwzięcia</w:t>
      </w:r>
    </w:p>
    <w:p w14:paraId="4019AA30" w14:textId="201F2229" w:rsidR="004170C7" w:rsidRPr="00FA5CFF" w:rsidRDefault="002B5A4C" w:rsidP="006A6300">
      <w:pPr>
        <w:pStyle w:val="Nagwek3"/>
        <w:ind w:left="993" w:hanging="709"/>
        <w:jc w:val="left"/>
      </w:pPr>
      <w:r w:rsidRPr="00FA5CFF">
        <w:t xml:space="preserve">Wyniki analizy </w:t>
      </w:r>
      <w:r w:rsidR="00757BEE" w:rsidRPr="00FA5CFF">
        <w:t xml:space="preserve">wykonalności, popytu i </w:t>
      </w:r>
      <w:r w:rsidRPr="00FA5CFF">
        <w:t>opcji</w:t>
      </w:r>
    </w:p>
    <w:p w14:paraId="4019AA31" w14:textId="5C79870B" w:rsidR="004170C7" w:rsidRPr="00FA5CFF" w:rsidRDefault="002B5A4C" w:rsidP="006A6300">
      <w:pPr>
        <w:pStyle w:val="Nagwek3"/>
        <w:ind w:left="993" w:hanging="709"/>
        <w:jc w:val="left"/>
      </w:pPr>
      <w:r w:rsidRPr="00FA5CFF">
        <w:t>Zgodność przedsięwzięcia z Programem Operacyjnym oraz polityką Polski i</w:t>
      </w:r>
      <w:r w:rsidR="00802AE3">
        <w:t> </w:t>
      </w:r>
      <w:r w:rsidRPr="00FA5CFF">
        <w:t>UE w zakresie ochrony środowiska</w:t>
      </w:r>
    </w:p>
    <w:p w14:paraId="4019AA32" w14:textId="3231F84F" w:rsidR="004170C7" w:rsidRPr="00FA5CFF" w:rsidRDefault="002B5A4C" w:rsidP="006A6300">
      <w:pPr>
        <w:pStyle w:val="Nagwek2"/>
        <w:spacing w:line="276" w:lineRule="auto"/>
        <w:jc w:val="left"/>
      </w:pPr>
      <w:r w:rsidRPr="00FA5CFF">
        <w:t xml:space="preserve">Analiza </w:t>
      </w:r>
      <w:r w:rsidR="00ED5DAE" w:rsidRPr="00FA5CFF">
        <w:t xml:space="preserve">oddziaływania przedsięwzięcia </w:t>
      </w:r>
      <w:r w:rsidRPr="00FA5CFF">
        <w:t>na środowisko</w:t>
      </w:r>
      <w:r w:rsidR="00ED5DAE" w:rsidRPr="00FA5CFF">
        <w:t>, z uwzględnieniem potrzeb dotyczących przystosowania się do zmiany klimatu i łagodzenia zmian klimatu</w:t>
      </w:r>
    </w:p>
    <w:p w14:paraId="4019AA33" w14:textId="04896DE6" w:rsidR="004170C7" w:rsidRPr="00FA5CFF" w:rsidRDefault="002B5A4C" w:rsidP="006A6300">
      <w:pPr>
        <w:pStyle w:val="Nagwek2"/>
        <w:spacing w:line="276" w:lineRule="auto"/>
        <w:jc w:val="left"/>
      </w:pPr>
      <w:r w:rsidRPr="00FA5CFF">
        <w:t xml:space="preserve">Plan </w:t>
      </w:r>
      <w:r w:rsidR="00126E67" w:rsidRPr="00FA5CFF">
        <w:t>wdrożenia</w:t>
      </w:r>
      <w:r w:rsidRPr="00FA5CFF">
        <w:t xml:space="preserve"> przedsięwzięcia</w:t>
      </w:r>
    </w:p>
    <w:p w14:paraId="4019AA34" w14:textId="3AC22F3B" w:rsidR="004170C7" w:rsidRPr="00FA5CFF" w:rsidRDefault="002B5A4C" w:rsidP="006A6300">
      <w:pPr>
        <w:pStyle w:val="Nagwek3"/>
        <w:ind w:left="851" w:hanging="567"/>
        <w:jc w:val="left"/>
      </w:pPr>
      <w:r w:rsidRPr="00FA5CFF">
        <w:t xml:space="preserve">Struktura </w:t>
      </w:r>
      <w:r w:rsidR="00757BEE" w:rsidRPr="00FA5CFF">
        <w:t>instytucjonalna realizacji</w:t>
      </w:r>
      <w:r w:rsidRPr="00FA5CFF">
        <w:t xml:space="preserve"> przedsięwzięcia</w:t>
      </w:r>
    </w:p>
    <w:p w14:paraId="4019AA35" w14:textId="0DCD68D3" w:rsidR="004170C7" w:rsidRPr="00FA5CFF" w:rsidRDefault="002B5A4C" w:rsidP="006A6300">
      <w:pPr>
        <w:pStyle w:val="Nagwek3"/>
        <w:ind w:left="851" w:hanging="567"/>
        <w:jc w:val="left"/>
      </w:pPr>
      <w:r w:rsidRPr="00FA5CFF">
        <w:t>Niezbędne działania instytucjonalne i administracyjne</w:t>
      </w:r>
    </w:p>
    <w:p w14:paraId="4019AA36" w14:textId="3E4A7A0A" w:rsidR="004170C7" w:rsidRPr="00FA5CFF" w:rsidRDefault="002B5A4C" w:rsidP="006A6300">
      <w:pPr>
        <w:pStyle w:val="Nagwek3"/>
        <w:ind w:left="851" w:hanging="567"/>
        <w:jc w:val="left"/>
      </w:pPr>
      <w:r w:rsidRPr="00FA5CFF">
        <w:t>Harmonogram realizacji przedsięwzięcia</w:t>
      </w:r>
    </w:p>
    <w:p w14:paraId="4019AA37" w14:textId="38F96CF5" w:rsidR="004170C7" w:rsidRPr="00FA5CFF" w:rsidRDefault="002B5A4C" w:rsidP="006A6300">
      <w:pPr>
        <w:pStyle w:val="Nagwek2"/>
        <w:spacing w:line="276" w:lineRule="auto"/>
        <w:jc w:val="left"/>
      </w:pPr>
      <w:r w:rsidRPr="00FA5CFF">
        <w:t>Wyniki analizy finansowej</w:t>
      </w:r>
    </w:p>
    <w:p w14:paraId="4019AA38" w14:textId="55CD5582" w:rsidR="00757BEE" w:rsidRPr="00FA5CFF" w:rsidRDefault="00757BEE" w:rsidP="006A6300">
      <w:pPr>
        <w:pStyle w:val="Nagwek2"/>
        <w:spacing w:line="276" w:lineRule="auto"/>
        <w:jc w:val="left"/>
        <w:rPr>
          <w:rFonts w:eastAsia="Arial"/>
        </w:rPr>
      </w:pPr>
      <w:r w:rsidRPr="00FA5CFF">
        <w:rPr>
          <w:rFonts w:eastAsia="Arial"/>
        </w:rPr>
        <w:t>Plan finansowania przedsięwzięcia</w:t>
      </w:r>
    </w:p>
    <w:p w14:paraId="4019AA39" w14:textId="27D2E36D" w:rsidR="00757BEE" w:rsidRPr="00FA5CFF" w:rsidRDefault="00757BEE" w:rsidP="006A6300">
      <w:pPr>
        <w:pStyle w:val="Nagwek2"/>
        <w:spacing w:line="276" w:lineRule="auto"/>
        <w:jc w:val="left"/>
      </w:pPr>
      <w:r w:rsidRPr="00FA5CFF">
        <w:t>Wyniki analizy trwałości finansowej</w:t>
      </w:r>
    </w:p>
    <w:p w14:paraId="4019AA3A" w14:textId="43BD6D31" w:rsidR="004170C7" w:rsidRPr="00FA5CFF" w:rsidRDefault="002B5A4C" w:rsidP="006A6300">
      <w:pPr>
        <w:pStyle w:val="Nagwek2"/>
        <w:spacing w:line="276" w:lineRule="auto"/>
        <w:jc w:val="left"/>
      </w:pPr>
      <w:r w:rsidRPr="00FA5CFF">
        <w:t xml:space="preserve">Wyniki analizy </w:t>
      </w:r>
      <w:r w:rsidR="00757BEE" w:rsidRPr="00FA5CFF">
        <w:t>kosztów i korzyści</w:t>
      </w:r>
    </w:p>
    <w:p w14:paraId="4019AA3B" w14:textId="24D19FA8" w:rsidR="004170C7" w:rsidRPr="00FA5CFF" w:rsidRDefault="002B5A4C" w:rsidP="006A6300">
      <w:pPr>
        <w:pStyle w:val="Nagwek2"/>
        <w:spacing w:line="276" w:lineRule="auto"/>
        <w:jc w:val="left"/>
      </w:pPr>
      <w:r w:rsidRPr="00FA5CFF">
        <w:lastRenderedPageBreak/>
        <w:t xml:space="preserve">Wyniki analizy ryzyka i </w:t>
      </w:r>
      <w:r w:rsidR="00126E67" w:rsidRPr="00FA5CFF">
        <w:t>wrażliwości</w:t>
      </w:r>
    </w:p>
    <w:p w14:paraId="4019AA3C" w14:textId="43313F93" w:rsidR="00A97DB9" w:rsidRPr="00FA5CFF" w:rsidRDefault="00795CAD" w:rsidP="006A6300">
      <w:pPr>
        <w:pStyle w:val="Nagwek2"/>
        <w:spacing w:line="276" w:lineRule="auto"/>
        <w:jc w:val="left"/>
      </w:pPr>
      <w:r>
        <w:t>K</w:t>
      </w:r>
      <w:r w:rsidR="00A97DB9" w:rsidRPr="00FA5CFF">
        <w:t>omplementarność przedsięwzięcia względem innych projektów</w:t>
      </w:r>
    </w:p>
    <w:p w14:paraId="4019AA3E" w14:textId="690443B6" w:rsidR="004170C7" w:rsidRPr="00E11F0F" w:rsidRDefault="002B5A4C" w:rsidP="006A6300">
      <w:pPr>
        <w:pStyle w:val="Nagwek1"/>
        <w:keepLines w:val="0"/>
        <w:spacing w:before="480"/>
      </w:pPr>
      <w:r w:rsidRPr="00E11F0F">
        <w:t>Opis istniejącego systemu wodno</w:t>
      </w:r>
      <w:r w:rsidR="005632BD" w:rsidRPr="00E11F0F">
        <w:t>-</w:t>
      </w:r>
      <w:r w:rsidRPr="00E11F0F">
        <w:t>ściekowego</w:t>
      </w:r>
    </w:p>
    <w:p w14:paraId="4019AA3F" w14:textId="69059467" w:rsidR="004170C7" w:rsidRPr="00FA5CFF" w:rsidRDefault="002B5A4C" w:rsidP="006A6300">
      <w:pPr>
        <w:pStyle w:val="Nagwek2"/>
        <w:spacing w:line="276" w:lineRule="auto"/>
        <w:jc w:val="left"/>
      </w:pPr>
      <w:r w:rsidRPr="00FA5CFF">
        <w:t xml:space="preserve">Struktura organizacyjna działania systemu wodno-ściekowego </w:t>
      </w:r>
      <w:r w:rsidR="008642F7" w:rsidRPr="00FA5CFF">
        <w:t>na terenie aglomeracji objętej projektem</w:t>
      </w:r>
    </w:p>
    <w:p w14:paraId="4019AA40" w14:textId="5BB6E41F" w:rsidR="004170C7" w:rsidRPr="00FA5CFF" w:rsidRDefault="002B5A4C" w:rsidP="006A6300">
      <w:pPr>
        <w:pStyle w:val="Nagwek3"/>
        <w:ind w:left="851" w:hanging="567"/>
        <w:jc w:val="left"/>
      </w:pPr>
      <w:r w:rsidRPr="00FA5CFF">
        <w:t xml:space="preserve">Struktura organizacyjna z uwzględnieniem podziału kompetencji, </w:t>
      </w:r>
      <w:r w:rsidR="00126E67" w:rsidRPr="00FA5CFF">
        <w:t>współzależności</w:t>
      </w:r>
      <w:r w:rsidRPr="00FA5CFF">
        <w:t xml:space="preserve"> i struktury własności</w:t>
      </w:r>
    </w:p>
    <w:p w14:paraId="4019AA41" w14:textId="0E656D54" w:rsidR="004170C7" w:rsidRPr="00FA5CFF" w:rsidRDefault="002B5A4C" w:rsidP="006A6300">
      <w:pPr>
        <w:pStyle w:val="Nagwek3"/>
        <w:ind w:left="851" w:hanging="567"/>
        <w:jc w:val="left"/>
      </w:pPr>
      <w:r w:rsidRPr="00FA5CFF">
        <w:t>Informacje na temat funkcjonujących przedsiębiorstw</w:t>
      </w:r>
    </w:p>
    <w:p w14:paraId="4019AA42" w14:textId="31EB66AE" w:rsidR="004170C7" w:rsidRPr="00FA5CFF" w:rsidRDefault="002B5A4C" w:rsidP="006A6300">
      <w:pPr>
        <w:pStyle w:val="Nagwek4"/>
        <w:spacing w:line="276" w:lineRule="auto"/>
        <w:ind w:left="1418" w:hanging="709"/>
        <w:jc w:val="left"/>
      </w:pPr>
      <w:r w:rsidRPr="00FA5CFF">
        <w:t>Krótka historia, forma prawna i struktura własności</w:t>
      </w:r>
    </w:p>
    <w:p w14:paraId="4019AA43" w14:textId="3C55EEBF" w:rsidR="004170C7" w:rsidRPr="00FA5CFF" w:rsidRDefault="002B5A4C" w:rsidP="006A6300">
      <w:pPr>
        <w:pStyle w:val="Nagwek4"/>
        <w:spacing w:line="276" w:lineRule="auto"/>
        <w:ind w:left="1418" w:hanging="709"/>
        <w:jc w:val="left"/>
      </w:pPr>
      <w:r w:rsidRPr="00FA5CFF">
        <w:t>Istniejąca lub potencjalna konkurencja na rynku oferowanych usług, porównanie cen w przekroju regionalnym i krajowym, obecny udział przedsiębiorstwa w rynku usług wodno-ściekowych</w:t>
      </w:r>
    </w:p>
    <w:p w14:paraId="4019AA44" w14:textId="5C3362B9" w:rsidR="004170C7" w:rsidRPr="00FA5CFF" w:rsidRDefault="00ED66A3" w:rsidP="006A6300">
      <w:pPr>
        <w:pStyle w:val="Nagwek4"/>
        <w:spacing w:line="276" w:lineRule="auto"/>
        <w:ind w:left="1418" w:hanging="709"/>
        <w:jc w:val="left"/>
      </w:pPr>
      <w:r w:rsidRPr="00FA5CFF">
        <w:t>Prezentacja s</w:t>
      </w:r>
      <w:r w:rsidR="002B5A4C" w:rsidRPr="00FA5CFF">
        <w:t>ytuacj</w:t>
      </w:r>
      <w:r w:rsidRPr="00FA5CFF">
        <w:t>i</w:t>
      </w:r>
      <w:r w:rsidR="002B5A4C" w:rsidRPr="00FA5CFF">
        <w:t xml:space="preserve"> finansow</w:t>
      </w:r>
      <w:r w:rsidRPr="00FA5CFF">
        <w:t xml:space="preserve">ej beneficjenta i </w:t>
      </w:r>
      <w:r w:rsidR="001C671C" w:rsidRPr="00FA5CFF">
        <w:t xml:space="preserve">podmiotów upoważnionych do ponoszenia wydatków kwalifikowanych </w:t>
      </w:r>
      <w:r w:rsidRPr="00FA5CFF">
        <w:t>(o ile dotyczy) – podstawowe dane i wskaźniki obejmujące min.</w:t>
      </w:r>
      <w:r w:rsidR="002B5A4C" w:rsidRPr="00FA5CFF">
        <w:t xml:space="preserve"> 3 lata wstecz</w:t>
      </w:r>
    </w:p>
    <w:p w14:paraId="4019AA45" w14:textId="73C8B95F" w:rsidR="004170C7" w:rsidRPr="00FA5CFF" w:rsidRDefault="002B5A4C" w:rsidP="006A6300">
      <w:pPr>
        <w:pStyle w:val="Nagwek2"/>
        <w:spacing w:line="276" w:lineRule="auto"/>
        <w:jc w:val="left"/>
      </w:pPr>
      <w:r w:rsidRPr="00FA5CFF">
        <w:t>Parametry ilościowe i jakościowe wody, ścieków oraz osadów ściekowych w</w:t>
      </w:r>
      <w:r w:rsidR="00CD6949">
        <w:t> </w:t>
      </w:r>
      <w:r w:rsidRPr="00FA5CFF">
        <w:t>istniejącym systemie</w:t>
      </w:r>
    </w:p>
    <w:p w14:paraId="4019AA46" w14:textId="7D671BF6" w:rsidR="004170C7" w:rsidRPr="00FA5CFF" w:rsidRDefault="00795CAD" w:rsidP="006A6300">
      <w:pPr>
        <w:pStyle w:val="Nagwek3"/>
        <w:ind w:left="851" w:hanging="567"/>
        <w:jc w:val="left"/>
      </w:pPr>
      <w:r>
        <w:t>J</w:t>
      </w:r>
      <w:r w:rsidR="002B5A4C" w:rsidRPr="00FA5CFF">
        <w:t>akość wody surowej i dostarczanej do odbiorców oraz charakterystyka ścieków bytowo-gospodarczych, przemysłowych, komunalnych</w:t>
      </w:r>
    </w:p>
    <w:p w14:paraId="4019AA47" w14:textId="42763884" w:rsidR="004170C7" w:rsidRPr="00FA5CFF" w:rsidRDefault="002B5A4C" w:rsidP="006A6300">
      <w:pPr>
        <w:pStyle w:val="Nagwek3"/>
        <w:ind w:left="851" w:hanging="567"/>
        <w:jc w:val="left"/>
      </w:pPr>
      <w:r w:rsidRPr="00FA5CFF">
        <w:t>Bilans wody i ścieków</w:t>
      </w:r>
    </w:p>
    <w:p w14:paraId="4019AA48" w14:textId="5A84C700" w:rsidR="004170C7" w:rsidRPr="00FA5CFF" w:rsidRDefault="002B5A4C" w:rsidP="006A6300">
      <w:pPr>
        <w:pStyle w:val="Nagwek3"/>
        <w:ind w:left="851" w:hanging="567"/>
        <w:jc w:val="left"/>
      </w:pPr>
      <w:r w:rsidRPr="00FA5CFF">
        <w:t xml:space="preserve">Charakterystyka powstających osadów ściekowych </w:t>
      </w:r>
      <w:r w:rsidR="002D5B4F" w:rsidRPr="00FA5CFF">
        <w:t xml:space="preserve">i aktualny sposób </w:t>
      </w:r>
      <w:r w:rsidR="00464178" w:rsidRPr="00FA5CFF">
        <w:t xml:space="preserve">ich </w:t>
      </w:r>
      <w:r w:rsidR="002D5B4F" w:rsidRPr="00FA5CFF">
        <w:t>zagospodarowania</w:t>
      </w:r>
      <w:r w:rsidR="00812930" w:rsidRPr="00FA5CFF">
        <w:t xml:space="preserve">, </w:t>
      </w:r>
      <w:r w:rsidR="00B64377" w:rsidRPr="00FA5CFF">
        <w:t>w tym informacj</w:t>
      </w:r>
      <w:r w:rsidR="00464178" w:rsidRPr="00FA5CFF">
        <w:t>e</w:t>
      </w:r>
      <w:r w:rsidR="00B64377" w:rsidRPr="00FA5CFF">
        <w:t xml:space="preserve"> o sposobie wykorzystania </w:t>
      </w:r>
      <w:r w:rsidR="00C119A2" w:rsidRPr="00FA5CFF">
        <w:t xml:space="preserve">wytwarzanego biogazu, </w:t>
      </w:r>
      <w:r w:rsidR="00B64377" w:rsidRPr="00FA5CFF">
        <w:t>produkowanej energii cieplnej i/lub elektrycznej</w:t>
      </w:r>
      <w:r w:rsidR="00C119A2" w:rsidRPr="00FA5CFF">
        <w:t xml:space="preserve"> </w:t>
      </w:r>
      <w:r w:rsidR="001D7EC8" w:rsidRPr="00FA5CFF">
        <w:t>oraz kierunkach i sposobach zagospodarowania osadów ściekowych</w:t>
      </w:r>
      <w:r w:rsidR="00B64377" w:rsidRPr="00FA5CFF">
        <w:t xml:space="preserve"> (</w:t>
      </w:r>
      <w:r w:rsidR="00B64377" w:rsidRPr="00FA5CFF">
        <w:rPr>
          <w:i/>
        </w:rPr>
        <w:t>o ile dotyczy</w:t>
      </w:r>
      <w:r w:rsidR="00B64377" w:rsidRPr="00FA5CFF">
        <w:t>)</w:t>
      </w:r>
    </w:p>
    <w:p w14:paraId="4019AA49" w14:textId="76E71CC2" w:rsidR="004170C7" w:rsidRPr="00FA5CFF" w:rsidRDefault="002B5A4C" w:rsidP="006A6300">
      <w:pPr>
        <w:pStyle w:val="Nagwek2"/>
        <w:spacing w:line="276" w:lineRule="auto"/>
        <w:jc w:val="left"/>
      </w:pPr>
      <w:r w:rsidRPr="00FA5CFF">
        <w:t>Charakterystyka techniczna istniejącego systemu wodno-ściekowego</w:t>
      </w:r>
    </w:p>
    <w:p w14:paraId="4019AA4A" w14:textId="7CA8CF26" w:rsidR="004170C7" w:rsidRPr="00FA5CFF" w:rsidRDefault="002B5A4C" w:rsidP="006A6300">
      <w:pPr>
        <w:pStyle w:val="Nagwek2"/>
        <w:spacing w:line="276" w:lineRule="auto"/>
        <w:jc w:val="left"/>
      </w:pPr>
      <w:r w:rsidRPr="00FA5CFF">
        <w:t>Zgodność działania systemu z wymaganiami polskimi i UE</w:t>
      </w:r>
    </w:p>
    <w:p w14:paraId="117DC640" w14:textId="349B9C81" w:rsidR="007D3643" w:rsidRPr="00FA5CFF" w:rsidRDefault="002B5A4C" w:rsidP="006A6300">
      <w:pPr>
        <w:pStyle w:val="Nagwek2"/>
        <w:spacing w:line="276" w:lineRule="auto"/>
        <w:jc w:val="left"/>
      </w:pPr>
      <w:r w:rsidRPr="00FA5CFF">
        <w:t xml:space="preserve">Opis niedoborów jakościowych i ilościowych </w:t>
      </w:r>
      <w:r w:rsidR="002D14DB" w:rsidRPr="00FA5CFF">
        <w:t xml:space="preserve">istniejącego systemu wodno-ściekowego </w:t>
      </w:r>
      <w:r w:rsidR="00C81D4A" w:rsidRPr="00FA5CFF">
        <w:t>(w tym w zakresie zagospodarowania osadów)</w:t>
      </w:r>
      <w:r w:rsidR="009F474A" w:rsidRPr="00FA5CFF">
        <w:t xml:space="preserve">, w szczególności wskazanie niedoborów w zakresie wypełnienia przez aglomeracje wymagań dyrektywy </w:t>
      </w:r>
      <w:r w:rsidR="00991311" w:rsidRPr="00FA5CFF">
        <w:t>91/271/EWG w sprawie oczyszczania ścieków komunalnych</w:t>
      </w:r>
    </w:p>
    <w:p w14:paraId="4019AA4C" w14:textId="627E06D4" w:rsidR="004170C7" w:rsidRPr="00FA5CFF" w:rsidRDefault="002B5A4C" w:rsidP="006A6300">
      <w:pPr>
        <w:pStyle w:val="Nagwek2"/>
        <w:spacing w:line="276" w:lineRule="auto"/>
        <w:jc w:val="left"/>
      </w:pPr>
      <w:r w:rsidRPr="00FA5CFF">
        <w:lastRenderedPageBreak/>
        <w:t>Zakres inwestycji niezbędnych do zniwelowania niedoborów jakościowych i</w:t>
      </w:r>
      <w:r w:rsidR="00CD6949">
        <w:t> </w:t>
      </w:r>
      <w:r w:rsidRPr="00FA5CFF">
        <w:t>ilościowych systemu, w tym inwestycji odtworzeniowych</w:t>
      </w:r>
      <w:r w:rsidR="009F474A" w:rsidRPr="00FA5CFF">
        <w:t xml:space="preserve">, ze szczególnym wskazaniem zakresu, który przyczynia się do wypełnienia wymagań dyrektywy </w:t>
      </w:r>
      <w:r w:rsidR="00991311" w:rsidRPr="00FA5CFF">
        <w:t>91/271/EWG w sprawie oczyszczania ścieków komunalnych</w:t>
      </w:r>
    </w:p>
    <w:p w14:paraId="4019AA4E" w14:textId="2C1C6667" w:rsidR="004170C7" w:rsidRPr="00E11F0F" w:rsidRDefault="002B5A4C" w:rsidP="006A6300">
      <w:pPr>
        <w:pStyle w:val="Nagwek1"/>
        <w:spacing w:before="480"/>
      </w:pPr>
      <w:r w:rsidRPr="00E11F0F">
        <w:t>Analiza popytu</w:t>
      </w:r>
    </w:p>
    <w:p w14:paraId="4019AA4F" w14:textId="32A78DE1" w:rsidR="004170C7" w:rsidRPr="00FA5CFF" w:rsidRDefault="002B5A4C" w:rsidP="006A6300">
      <w:pPr>
        <w:pStyle w:val="Nagwek2"/>
        <w:spacing w:line="276" w:lineRule="auto"/>
        <w:jc w:val="left"/>
      </w:pPr>
      <w:r w:rsidRPr="00FA5CFF">
        <w:t>Uwarunkowania społeczno-gospodarcze realizacji przedsięwzięcia</w:t>
      </w:r>
    </w:p>
    <w:p w14:paraId="4019AA50" w14:textId="675E8863" w:rsidR="004170C7" w:rsidRPr="00FA5CFF" w:rsidRDefault="002B5A4C" w:rsidP="006A6300">
      <w:pPr>
        <w:pStyle w:val="Nagwek3"/>
        <w:ind w:left="993" w:hanging="709"/>
        <w:jc w:val="left"/>
      </w:pPr>
      <w:r w:rsidRPr="00FA5CFF">
        <w:t>Struktura i skala działalności gospodarczej w regionie</w:t>
      </w:r>
    </w:p>
    <w:p w14:paraId="4019AA51" w14:textId="4D7639D8" w:rsidR="004170C7" w:rsidRPr="00FA5CFF" w:rsidRDefault="002B5A4C" w:rsidP="006A6300">
      <w:pPr>
        <w:pStyle w:val="Nagwek3"/>
        <w:ind w:left="993" w:hanging="709"/>
        <w:jc w:val="left"/>
      </w:pPr>
      <w:r w:rsidRPr="00FA5CFF">
        <w:t>Prognozy i strategie rozwojowe dla regionu</w:t>
      </w:r>
    </w:p>
    <w:p w14:paraId="4019AA52" w14:textId="1C895CF7" w:rsidR="004170C7" w:rsidRPr="00FA5CFF" w:rsidRDefault="002B5A4C" w:rsidP="006A6300">
      <w:pPr>
        <w:pStyle w:val="Nagwek3"/>
        <w:ind w:left="993" w:hanging="709"/>
        <w:jc w:val="left"/>
      </w:pPr>
      <w:r w:rsidRPr="00FA5CFF">
        <w:t>Plan inwestycji gminnych</w:t>
      </w:r>
    </w:p>
    <w:p w14:paraId="4019AA53" w14:textId="10DA6E93" w:rsidR="004170C7" w:rsidRPr="00FA5CFF" w:rsidRDefault="00126E67" w:rsidP="006A6300">
      <w:pPr>
        <w:pStyle w:val="Nagwek2"/>
        <w:spacing w:line="276" w:lineRule="auto"/>
        <w:jc w:val="left"/>
      </w:pPr>
      <w:r w:rsidRPr="00FA5CFF">
        <w:t>Bieżący</w:t>
      </w:r>
      <w:r w:rsidR="002B5A4C" w:rsidRPr="00FA5CFF">
        <w:t xml:space="preserve"> i przyszły popyt zgłaszany przez gospodarstwa domowe</w:t>
      </w:r>
    </w:p>
    <w:p w14:paraId="4019AA54" w14:textId="6D0A89C5" w:rsidR="004170C7" w:rsidRPr="00FA5CFF" w:rsidRDefault="00126E67" w:rsidP="006A6300">
      <w:pPr>
        <w:pStyle w:val="Nagwek3"/>
        <w:ind w:left="993" w:hanging="709"/>
        <w:jc w:val="left"/>
      </w:pPr>
      <w:r w:rsidRPr="00FA5CFF">
        <w:t>Bieżący</w:t>
      </w:r>
      <w:r w:rsidR="002B5A4C" w:rsidRPr="00FA5CFF">
        <w:t xml:space="preserve"> popyt oraz identyfikacja aktualnej liczby odbiorców indywidualnych</w:t>
      </w:r>
    </w:p>
    <w:p w14:paraId="4019AA55" w14:textId="3E330461" w:rsidR="004170C7" w:rsidRPr="00FA5CFF" w:rsidRDefault="002B5A4C" w:rsidP="006A6300">
      <w:pPr>
        <w:pStyle w:val="Nagwek3"/>
        <w:ind w:left="993" w:hanging="709"/>
        <w:jc w:val="left"/>
      </w:pPr>
      <w:r w:rsidRPr="00FA5CFF">
        <w:t>Prognozy jakościowe i ilościowe zapotrzebowania na usługi</w:t>
      </w:r>
    </w:p>
    <w:p w14:paraId="4019AA56" w14:textId="1EE78F0F" w:rsidR="004170C7" w:rsidRPr="00FA5CFF" w:rsidRDefault="002B5A4C" w:rsidP="006A6300">
      <w:pPr>
        <w:pStyle w:val="Nagwek4"/>
        <w:spacing w:line="276" w:lineRule="auto"/>
        <w:ind w:left="1276" w:hanging="709"/>
        <w:jc w:val="left"/>
      </w:pPr>
      <w:r w:rsidRPr="00FA5CFF">
        <w:t>Prognozy demograficzne z uwzględnieniem ruchów migracyjnych</w:t>
      </w:r>
    </w:p>
    <w:p w14:paraId="4019AA57" w14:textId="5AF841C2" w:rsidR="004170C7" w:rsidRPr="00FA5CFF" w:rsidRDefault="002B5A4C" w:rsidP="006A6300">
      <w:pPr>
        <w:pStyle w:val="Nagwek4"/>
        <w:spacing w:line="276" w:lineRule="auto"/>
        <w:ind w:left="1276" w:hanging="709"/>
        <w:jc w:val="left"/>
      </w:pPr>
      <w:r w:rsidRPr="00FA5CFF">
        <w:t>Analiza zdolności mieszkańców do ponoszenia opłat</w:t>
      </w:r>
    </w:p>
    <w:p w14:paraId="4019AA58" w14:textId="590FF2BB" w:rsidR="004170C7" w:rsidRPr="00FA5CFF" w:rsidRDefault="002B5A4C" w:rsidP="006A6300">
      <w:pPr>
        <w:pStyle w:val="Nagwek4"/>
        <w:spacing w:line="276" w:lineRule="auto"/>
        <w:ind w:left="1276" w:hanging="709"/>
        <w:jc w:val="left"/>
      </w:pPr>
      <w:r w:rsidRPr="00FA5CFF">
        <w:t>Przyszły popyt zgłaszany przez odbiorców indywidualnych z</w:t>
      </w:r>
      <w:r w:rsidR="00CD6949">
        <w:t> </w:t>
      </w:r>
      <w:r w:rsidRPr="00FA5CFF">
        <w:t>uwzględnieniem cenowej i dochodowej elastyczności popytu</w:t>
      </w:r>
    </w:p>
    <w:p w14:paraId="4019AA59" w14:textId="1978032A" w:rsidR="004170C7" w:rsidRPr="00FA5CFF" w:rsidRDefault="00126E67" w:rsidP="006A6300">
      <w:pPr>
        <w:pStyle w:val="Nagwek2"/>
        <w:spacing w:line="276" w:lineRule="auto"/>
        <w:jc w:val="left"/>
      </w:pPr>
      <w:r w:rsidRPr="00FA5CFF">
        <w:t>Bieżący</w:t>
      </w:r>
      <w:r w:rsidR="002B5A4C" w:rsidRPr="00FA5CFF">
        <w:t xml:space="preserve"> i przyszły popyt zgłaszany przez przemysł</w:t>
      </w:r>
    </w:p>
    <w:p w14:paraId="4019AA5A" w14:textId="45848A99" w:rsidR="004170C7" w:rsidRPr="00FA5CFF" w:rsidRDefault="00126E67" w:rsidP="006A6300">
      <w:pPr>
        <w:pStyle w:val="Nagwek3"/>
        <w:ind w:left="851" w:hanging="567"/>
        <w:jc w:val="left"/>
      </w:pPr>
      <w:r w:rsidRPr="00FA5CFF">
        <w:t>Bieżący</w:t>
      </w:r>
      <w:r w:rsidR="002B5A4C" w:rsidRPr="00FA5CFF">
        <w:t xml:space="preserve"> popyt</w:t>
      </w:r>
    </w:p>
    <w:p w14:paraId="4019AA5B" w14:textId="267DB8E2" w:rsidR="004170C7" w:rsidRPr="00FA5CFF" w:rsidRDefault="002B5A4C" w:rsidP="006A6300">
      <w:pPr>
        <w:pStyle w:val="Nagwek3"/>
        <w:ind w:left="851" w:hanging="567"/>
        <w:jc w:val="left"/>
      </w:pPr>
      <w:r w:rsidRPr="00FA5CFF">
        <w:t>Przyszły popyt</w:t>
      </w:r>
    </w:p>
    <w:p w14:paraId="4019AA5C" w14:textId="6EAF5555" w:rsidR="004170C7" w:rsidRPr="00FA5CFF" w:rsidRDefault="00126E67" w:rsidP="006A6300">
      <w:pPr>
        <w:pStyle w:val="Nagwek2"/>
        <w:spacing w:line="276" w:lineRule="auto"/>
        <w:jc w:val="left"/>
      </w:pPr>
      <w:r w:rsidRPr="00FA5CFF">
        <w:t>Bieżący</w:t>
      </w:r>
      <w:r w:rsidR="002B5A4C" w:rsidRPr="00FA5CFF">
        <w:t xml:space="preserve"> i przyszły popyt zgłaszany przez podmioty </w:t>
      </w:r>
      <w:r w:rsidRPr="00FA5CFF">
        <w:t>użyteczności</w:t>
      </w:r>
      <w:r w:rsidR="002B5A4C" w:rsidRPr="00FA5CFF">
        <w:t xml:space="preserve"> publicznej i</w:t>
      </w:r>
      <w:r w:rsidR="00785E67">
        <w:t> </w:t>
      </w:r>
      <w:r w:rsidR="002B5A4C" w:rsidRPr="00FA5CFF">
        <w:t>sektor usługowy</w:t>
      </w:r>
    </w:p>
    <w:p w14:paraId="4019AA5D" w14:textId="3074CE17" w:rsidR="004170C7" w:rsidRPr="00FA5CFF" w:rsidRDefault="00126E67" w:rsidP="006A6300">
      <w:pPr>
        <w:pStyle w:val="Nagwek3"/>
        <w:ind w:left="851" w:hanging="567"/>
        <w:jc w:val="left"/>
      </w:pPr>
      <w:r w:rsidRPr="00FA5CFF">
        <w:t>Bieżący</w:t>
      </w:r>
      <w:r w:rsidR="002B5A4C" w:rsidRPr="00FA5CFF">
        <w:t xml:space="preserve"> popyt</w:t>
      </w:r>
    </w:p>
    <w:p w14:paraId="4019AA5E" w14:textId="77671A5D" w:rsidR="004170C7" w:rsidRPr="00FA5CFF" w:rsidRDefault="002B5A4C" w:rsidP="006A6300">
      <w:pPr>
        <w:pStyle w:val="Nagwek3"/>
        <w:ind w:left="851" w:hanging="567"/>
        <w:jc w:val="left"/>
      </w:pPr>
      <w:r w:rsidRPr="00FA5CFF">
        <w:t>Przyszły popyt</w:t>
      </w:r>
    </w:p>
    <w:p w14:paraId="4019AA5F" w14:textId="3B9DB2C7" w:rsidR="004170C7" w:rsidRPr="00FA5CFF" w:rsidRDefault="00126E67" w:rsidP="006A6300">
      <w:pPr>
        <w:pStyle w:val="Nagwek2"/>
        <w:spacing w:line="276" w:lineRule="auto"/>
        <w:jc w:val="left"/>
      </w:pPr>
      <w:r w:rsidRPr="00FA5CFF">
        <w:t>Bieżący</w:t>
      </w:r>
      <w:r w:rsidR="002B5A4C" w:rsidRPr="00FA5CFF">
        <w:t xml:space="preserve"> i przyszły popyt łącznie</w:t>
      </w:r>
    </w:p>
    <w:p w14:paraId="4019AA60" w14:textId="29D08A0D" w:rsidR="004170C7" w:rsidRPr="00FA5CFF" w:rsidRDefault="002B5A4C" w:rsidP="006A6300">
      <w:pPr>
        <w:pStyle w:val="Nagwek2"/>
        <w:spacing w:line="276" w:lineRule="auto"/>
        <w:jc w:val="left"/>
      </w:pPr>
      <w:r w:rsidRPr="00FA5CFF">
        <w:t>Przyszły bilans wody i ścieków</w:t>
      </w:r>
    </w:p>
    <w:p w14:paraId="4019AA62" w14:textId="77777777" w:rsidR="004170C7" w:rsidRPr="00795CAD" w:rsidRDefault="002B5A4C" w:rsidP="006A6300">
      <w:pPr>
        <w:pStyle w:val="Nagwek1"/>
        <w:spacing w:before="480"/>
      </w:pPr>
      <w:r w:rsidRPr="00795CAD">
        <w:t xml:space="preserve">Analiza </w:t>
      </w:r>
      <w:r w:rsidR="00692E76" w:rsidRPr="00795CAD">
        <w:t xml:space="preserve">wykonalności przedsięwzięcia wraz z analizą </w:t>
      </w:r>
      <w:r w:rsidRPr="00795CAD">
        <w:t>opcji</w:t>
      </w:r>
    </w:p>
    <w:p w14:paraId="4019AA63" w14:textId="31E223AB" w:rsidR="004170C7" w:rsidRPr="00FA5CFF" w:rsidRDefault="002B5A4C" w:rsidP="006A6300">
      <w:pPr>
        <w:pStyle w:val="Nagwek2"/>
        <w:spacing w:line="276" w:lineRule="auto"/>
        <w:jc w:val="left"/>
      </w:pPr>
      <w:r w:rsidRPr="00FA5CFF">
        <w:t>Zakres i metodyka analizy</w:t>
      </w:r>
    </w:p>
    <w:p w14:paraId="4019AA64" w14:textId="36113CAD" w:rsidR="00692E76" w:rsidRPr="00FA5CFF" w:rsidRDefault="00692E76" w:rsidP="006A6300">
      <w:pPr>
        <w:pStyle w:val="Nagwek2"/>
        <w:spacing w:line="276" w:lineRule="auto"/>
        <w:jc w:val="left"/>
      </w:pPr>
      <w:r w:rsidRPr="00FA5CFF">
        <w:t xml:space="preserve">Analiza wykonalności (identyfikacja możliwych rozwiązań </w:t>
      </w:r>
      <w:r w:rsidR="00685FF3" w:rsidRPr="00FA5CFF">
        <w:t>inwestycyjnych, które są wykonalne pod względem technicznym, ekonomicznym, środowiskowym i instytucjonalnym</w:t>
      </w:r>
      <w:r w:rsidRPr="00FA5CFF">
        <w:t>)</w:t>
      </w:r>
    </w:p>
    <w:p w14:paraId="4019AA65" w14:textId="61092F8F" w:rsidR="004170C7" w:rsidRPr="00FA5CFF" w:rsidRDefault="00692E76" w:rsidP="006A6300">
      <w:pPr>
        <w:pStyle w:val="Nagwek2"/>
        <w:spacing w:line="276" w:lineRule="auto"/>
        <w:jc w:val="left"/>
      </w:pPr>
      <w:r w:rsidRPr="00FA5CFF">
        <w:rPr>
          <w:rFonts w:eastAsia="Arial"/>
        </w:rPr>
        <w:lastRenderedPageBreak/>
        <w:t>Analiza opcji</w:t>
      </w:r>
    </w:p>
    <w:p w14:paraId="4019AA66" w14:textId="1FDFBD18" w:rsidR="00692E76" w:rsidRPr="00FA5CFF" w:rsidRDefault="00692E76" w:rsidP="006A6300">
      <w:pPr>
        <w:pStyle w:val="Nagwek3"/>
        <w:ind w:left="851" w:hanging="567"/>
        <w:jc w:val="left"/>
      </w:pPr>
      <w:r w:rsidRPr="00FA5CFF">
        <w:rPr>
          <w:rFonts w:eastAsia="Arial"/>
        </w:rPr>
        <w:t xml:space="preserve">Analiza strategiczna – zidentyfikowanie najbardziej korzystnych </w:t>
      </w:r>
      <w:r w:rsidR="002B5A4C" w:rsidRPr="00FA5CFF">
        <w:t>rozwiązań</w:t>
      </w:r>
      <w:r w:rsidRPr="00FA5CFF">
        <w:t xml:space="preserve"> (analiza jakościowa)</w:t>
      </w:r>
    </w:p>
    <w:p w14:paraId="4019AA67" w14:textId="450011D3" w:rsidR="004170C7" w:rsidRPr="00FA5CFF" w:rsidRDefault="00692E76" w:rsidP="006A6300">
      <w:pPr>
        <w:pStyle w:val="Nagwek3"/>
        <w:ind w:left="851" w:hanging="567"/>
        <w:jc w:val="left"/>
      </w:pPr>
      <w:r w:rsidRPr="00FA5CFF">
        <w:t>Analiza rozwiązań technologicznych (analiza opcji ilościowa)</w:t>
      </w:r>
    </w:p>
    <w:p w14:paraId="4019AA68" w14:textId="4174F5B1" w:rsidR="004170C7" w:rsidRPr="00FA5CFF" w:rsidRDefault="00176EBB" w:rsidP="006A6300">
      <w:pPr>
        <w:pStyle w:val="Nagwek4"/>
        <w:spacing w:line="276" w:lineRule="auto"/>
        <w:ind w:left="1134" w:hanging="708"/>
        <w:jc w:val="left"/>
      </w:pPr>
      <w:r w:rsidRPr="00FA5CFF">
        <w:rPr>
          <w:rFonts w:eastAsia="Arial"/>
        </w:rPr>
        <w:t>O</w:t>
      </w:r>
      <w:r w:rsidR="00692E76" w:rsidRPr="00FA5CFF">
        <w:rPr>
          <w:rFonts w:eastAsia="Arial"/>
        </w:rPr>
        <w:t>szacowanie</w:t>
      </w:r>
      <w:r w:rsidR="002B5A4C" w:rsidRPr="00FA5CFF">
        <w:t xml:space="preserve"> kosztów dla </w:t>
      </w:r>
      <w:r w:rsidR="00692E76" w:rsidRPr="00FA5CFF">
        <w:t>wybranych rozwiązań</w:t>
      </w:r>
    </w:p>
    <w:p w14:paraId="4019AA69" w14:textId="7E9A610D" w:rsidR="004170C7" w:rsidRPr="00FA5CFF" w:rsidRDefault="00BE0491" w:rsidP="006A6300">
      <w:pPr>
        <w:pStyle w:val="Nagwek4"/>
        <w:spacing w:line="276" w:lineRule="auto"/>
        <w:ind w:left="1134" w:hanging="708"/>
        <w:jc w:val="left"/>
      </w:pPr>
      <w:r>
        <w:t>F</w:t>
      </w:r>
      <w:r w:rsidR="002B5A4C" w:rsidRPr="00FA5CFF">
        <w:t xml:space="preserve">inansowe i ekonomiczne porównanie </w:t>
      </w:r>
      <w:r w:rsidR="00126E67" w:rsidRPr="00FA5CFF">
        <w:t>rozważanych</w:t>
      </w:r>
      <w:r w:rsidR="002B5A4C" w:rsidRPr="00FA5CFF">
        <w:t xml:space="preserve"> opcji</w:t>
      </w:r>
    </w:p>
    <w:p w14:paraId="4019AA6A" w14:textId="29D9BD4F" w:rsidR="00680F73" w:rsidRPr="00FA5CFF" w:rsidRDefault="00680F73" w:rsidP="006A6300">
      <w:pPr>
        <w:pStyle w:val="Nagwek4"/>
        <w:spacing w:line="276" w:lineRule="auto"/>
        <w:ind w:left="1134" w:hanging="708"/>
        <w:jc w:val="left"/>
      </w:pPr>
      <w:r w:rsidRPr="00FA5CFF">
        <w:t>Porównanie rozważanych opcji pod względem środowiskowym (uwzględniając wpływ oraz odporność na zmianę klimatu i</w:t>
      </w:r>
      <w:r w:rsidR="00A25E34">
        <w:t> </w:t>
      </w:r>
      <w:r w:rsidRPr="00FA5CFF">
        <w:t>zagrożenia związane z klęskami żywiołowymi)</w:t>
      </w:r>
    </w:p>
    <w:p w14:paraId="4019AA6B" w14:textId="63CFA9ED" w:rsidR="00A161F0" w:rsidRPr="00FA5CFF" w:rsidRDefault="00176EBB" w:rsidP="006A6300">
      <w:pPr>
        <w:pStyle w:val="Nagwek2"/>
        <w:spacing w:line="276" w:lineRule="auto"/>
        <w:jc w:val="left"/>
      </w:pPr>
      <w:r w:rsidRPr="00FA5CFF">
        <w:rPr>
          <w:rFonts w:eastAsia="Arial"/>
        </w:rPr>
        <w:t xml:space="preserve">Wybór najlepszego rozwiązania spośród rozważanych opcji </w:t>
      </w:r>
      <w:r w:rsidR="00BF1B62" w:rsidRPr="00FA5CFF">
        <w:rPr>
          <w:rFonts w:eastAsia="Arial"/>
        </w:rPr>
        <w:t xml:space="preserve">wraz </w:t>
      </w:r>
      <w:r w:rsidRPr="00FA5CFF">
        <w:rPr>
          <w:rFonts w:eastAsia="Arial"/>
        </w:rPr>
        <w:t>z</w:t>
      </w:r>
      <w:r w:rsidR="00A25E34">
        <w:rPr>
          <w:rFonts w:eastAsia="Arial"/>
        </w:rPr>
        <w:t> </w:t>
      </w:r>
      <w:r w:rsidRPr="00FA5CFF">
        <w:rPr>
          <w:rFonts w:eastAsia="Arial"/>
        </w:rPr>
        <w:t>uzasadnieniem dokonanego wyboru</w:t>
      </w:r>
    </w:p>
    <w:p w14:paraId="78F6222F" w14:textId="6B9CCA68" w:rsidR="00685FF3" w:rsidRPr="00FA5CFF" w:rsidRDefault="00685FF3" w:rsidP="006A6300">
      <w:pPr>
        <w:pStyle w:val="Nagwek2"/>
        <w:spacing w:line="276" w:lineRule="auto"/>
        <w:jc w:val="left"/>
      </w:pPr>
      <w:r w:rsidRPr="00FA5CFF">
        <w:t>Uzasadnienie braku analizy opcji, gdy nie istnieje więcej niż jedno rozwiązanie inwestycyjne</w:t>
      </w:r>
    </w:p>
    <w:p w14:paraId="4019AA6D" w14:textId="2EF6D189" w:rsidR="004170C7" w:rsidRPr="00795CAD" w:rsidRDefault="002B5A4C" w:rsidP="006A6300">
      <w:pPr>
        <w:pStyle w:val="Nagwek1"/>
        <w:spacing w:before="480"/>
      </w:pPr>
      <w:r w:rsidRPr="00795CAD">
        <w:t>Analiza instytucjonalna przedsięwzięcia</w:t>
      </w:r>
    </w:p>
    <w:p w14:paraId="4019AA6E" w14:textId="46225DC7" w:rsidR="004170C7" w:rsidRPr="00FA5CFF" w:rsidRDefault="002B5A4C" w:rsidP="006A6300">
      <w:pPr>
        <w:pStyle w:val="Nagwek2"/>
        <w:spacing w:line="276" w:lineRule="auto"/>
        <w:jc w:val="left"/>
      </w:pPr>
      <w:r w:rsidRPr="00FA5CFF">
        <w:t xml:space="preserve">Charakterystyka </w:t>
      </w:r>
      <w:r w:rsidR="00126E67" w:rsidRPr="00FA5CFF">
        <w:t>rozważanych</w:t>
      </w:r>
      <w:r w:rsidR="00002611" w:rsidRPr="00FA5CFF">
        <w:t xml:space="preserve"> </w:t>
      </w:r>
      <w:r w:rsidR="00176EBB" w:rsidRPr="00FA5CFF">
        <w:t>rozwiązań inwestycyjnych w fazie inwestycyjnej i</w:t>
      </w:r>
      <w:r w:rsidR="00A25E34">
        <w:t> </w:t>
      </w:r>
      <w:r w:rsidR="00176EBB" w:rsidRPr="00FA5CFF">
        <w:t>operacyjnej przedsięwzięcia</w:t>
      </w:r>
    </w:p>
    <w:p w14:paraId="4019AA6F" w14:textId="6B9A5F99" w:rsidR="004170C7" w:rsidRPr="00FA5CFF" w:rsidRDefault="002B5A4C" w:rsidP="006A6300">
      <w:pPr>
        <w:pStyle w:val="Nagwek2"/>
        <w:spacing w:line="276" w:lineRule="auto"/>
        <w:jc w:val="left"/>
      </w:pPr>
      <w:r w:rsidRPr="00FA5CFF">
        <w:t xml:space="preserve">Analiza SWOT </w:t>
      </w:r>
      <w:r w:rsidR="00176EBB" w:rsidRPr="00FA5CFF">
        <w:t>zidentyfikowanych</w:t>
      </w:r>
      <w:r w:rsidRPr="00FA5CFF">
        <w:t xml:space="preserve"> rozwiązań instytucjonalnych</w:t>
      </w:r>
    </w:p>
    <w:p w14:paraId="4019AA70" w14:textId="5DB10BB6" w:rsidR="004170C7" w:rsidRPr="00FA5CFF" w:rsidRDefault="002B5A4C" w:rsidP="006A6300">
      <w:pPr>
        <w:pStyle w:val="Nagwek2"/>
        <w:spacing w:line="276" w:lineRule="auto"/>
        <w:jc w:val="left"/>
      </w:pPr>
      <w:r w:rsidRPr="00FA5CFF">
        <w:t xml:space="preserve">Wskazanie </w:t>
      </w:r>
      <w:r w:rsidR="00176EBB" w:rsidRPr="00FA5CFF">
        <w:t>najefektywniejszego rozwiązania instytucjonalnego wraz z</w:t>
      </w:r>
      <w:r w:rsidR="00A25E34">
        <w:t> </w:t>
      </w:r>
      <w:r w:rsidR="00176EBB" w:rsidRPr="00FA5CFF">
        <w:t>uzasadnieniem</w:t>
      </w:r>
    </w:p>
    <w:p w14:paraId="4019AA72" w14:textId="4FE1DBAB" w:rsidR="004170C7" w:rsidRPr="00795CAD" w:rsidRDefault="002B5A4C" w:rsidP="006A6300">
      <w:pPr>
        <w:pStyle w:val="Nagwek1"/>
        <w:spacing w:before="480"/>
      </w:pPr>
      <w:r w:rsidRPr="00795CAD">
        <w:t>Opis projektu</w:t>
      </w:r>
    </w:p>
    <w:p w14:paraId="4019AA73" w14:textId="65FC8207" w:rsidR="0067005D" w:rsidRPr="00FA5CFF" w:rsidRDefault="0067005D" w:rsidP="006A6300">
      <w:pPr>
        <w:pStyle w:val="Nagwek2"/>
        <w:spacing w:line="276" w:lineRule="auto"/>
        <w:jc w:val="left"/>
        <w:rPr>
          <w:rFonts w:eastAsia="Arial"/>
        </w:rPr>
      </w:pPr>
      <w:r w:rsidRPr="00FA5CFF">
        <w:rPr>
          <w:rFonts w:eastAsia="Arial"/>
        </w:rPr>
        <w:t>Cele projektu</w:t>
      </w:r>
    </w:p>
    <w:p w14:paraId="4019AA74" w14:textId="444BDDC3" w:rsidR="004170C7" w:rsidRPr="00FA5CFF" w:rsidRDefault="002B5A4C" w:rsidP="006A6300">
      <w:pPr>
        <w:pStyle w:val="Nagwek2"/>
        <w:spacing w:line="276" w:lineRule="auto"/>
        <w:jc w:val="left"/>
      </w:pPr>
      <w:r w:rsidRPr="00FA5CFF">
        <w:t xml:space="preserve">Zakres rzeczowy projektu </w:t>
      </w:r>
      <w:r w:rsidR="00DB180A" w:rsidRPr="00FA5CFF">
        <w:t>(</w:t>
      </w:r>
      <w:r w:rsidR="006614E2" w:rsidRPr="00FA5CFF">
        <w:t>w odniesieniu do stwierdzonych niedoborów jakościowych i ilościowych systemu</w:t>
      </w:r>
      <w:r w:rsidR="00DB180A" w:rsidRPr="00FA5CFF">
        <w:t>)</w:t>
      </w:r>
      <w:r w:rsidR="006C3266" w:rsidRPr="00FA5CFF">
        <w:t>, wskaźniki</w:t>
      </w:r>
      <w:r w:rsidR="00685FF3" w:rsidRPr="00FA5CFF">
        <w:t xml:space="preserve">, </w:t>
      </w:r>
      <w:r w:rsidR="002D14DB" w:rsidRPr="00FA5CFF">
        <w:t xml:space="preserve">w szczególności </w:t>
      </w:r>
      <w:r w:rsidR="00685FF3" w:rsidRPr="00FA5CFF">
        <w:t>wskazanie zakresu projektu, który przyczynia się bezpośrednio do osiągnięcia zgodności z</w:t>
      </w:r>
      <w:r w:rsidR="00A25E34">
        <w:t> </w:t>
      </w:r>
      <w:r w:rsidR="00685FF3" w:rsidRPr="00FA5CFF">
        <w:t xml:space="preserve">dyrektywą </w:t>
      </w:r>
      <w:r w:rsidR="00991311" w:rsidRPr="00FA5CFF">
        <w:t>91/271/EWG w sprawie oczyszczania ścieków komunalnych</w:t>
      </w:r>
    </w:p>
    <w:p w14:paraId="4019AA75" w14:textId="3B4B02B4" w:rsidR="004170C7" w:rsidRPr="00FA5CFF" w:rsidRDefault="002B5A4C" w:rsidP="006A6300">
      <w:pPr>
        <w:pStyle w:val="Nagwek2"/>
        <w:spacing w:line="276" w:lineRule="auto"/>
        <w:jc w:val="left"/>
      </w:pPr>
      <w:r w:rsidRPr="00FA5CFF">
        <w:t>Opis i charakterystyka wybranej technologii</w:t>
      </w:r>
    </w:p>
    <w:p w14:paraId="4019AA76" w14:textId="05B6340B" w:rsidR="004170C7" w:rsidRPr="00FA5CFF" w:rsidRDefault="00BE0491" w:rsidP="006A6300">
      <w:pPr>
        <w:pStyle w:val="Nagwek3"/>
        <w:ind w:left="851" w:hanging="567"/>
        <w:jc w:val="left"/>
      </w:pPr>
      <w:r>
        <w:t>P</w:t>
      </w:r>
      <w:r w:rsidR="002B5A4C" w:rsidRPr="00FA5CFF">
        <w:t>odstawowe parametry technologiczne</w:t>
      </w:r>
    </w:p>
    <w:p w14:paraId="4019AA77" w14:textId="7DF9813D" w:rsidR="004170C7" w:rsidRPr="00FA5CFF" w:rsidRDefault="002B5A4C" w:rsidP="006A6300">
      <w:pPr>
        <w:pStyle w:val="Nagwek3"/>
        <w:ind w:left="851" w:hanging="567"/>
        <w:jc w:val="left"/>
      </w:pPr>
      <w:r w:rsidRPr="00FA5CFF">
        <w:t>Opis podstawowych obiektów i urządzeń</w:t>
      </w:r>
      <w:r w:rsidR="00DB180A" w:rsidRPr="00FA5CFF">
        <w:t>, w tym</w:t>
      </w:r>
      <w:r w:rsidR="00CB0E0E" w:rsidRPr="00FA5CFF">
        <w:t xml:space="preserve"> zakres działań podejmowanych w ramach przedsięwzięcia</w:t>
      </w:r>
    </w:p>
    <w:p w14:paraId="4019AA78" w14:textId="5F38D8DD" w:rsidR="00E56B00" w:rsidRPr="00FA5CFF" w:rsidRDefault="00E56B00" w:rsidP="006A6300">
      <w:pPr>
        <w:pStyle w:val="Nagwek3"/>
        <w:ind w:left="851" w:hanging="567"/>
        <w:jc w:val="left"/>
      </w:pPr>
      <w:r w:rsidRPr="00FA5CFF">
        <w:lastRenderedPageBreak/>
        <w:t>Wpływ realizacji projekt</w:t>
      </w:r>
      <w:r w:rsidR="00B658F2" w:rsidRPr="00FA5CFF">
        <w:t>u</w:t>
      </w:r>
      <w:r w:rsidRPr="00FA5CFF">
        <w:t xml:space="preserve"> na </w:t>
      </w:r>
      <w:r w:rsidR="00F45A24" w:rsidRPr="00FA5CFF">
        <w:t>zapewnienie oszczędności wody</w:t>
      </w:r>
      <w:r w:rsidR="00890684" w:rsidRPr="00FA5CFF">
        <w:t>,</w:t>
      </w:r>
      <w:r w:rsidR="00F45A24" w:rsidRPr="00FA5CFF">
        <w:t xml:space="preserve"> </w:t>
      </w:r>
      <w:r w:rsidRPr="00FA5CFF">
        <w:t>efektywność energetyczną</w:t>
      </w:r>
      <w:r w:rsidR="00890684" w:rsidRPr="00FA5CFF">
        <w:t xml:space="preserve"> oraz ograniczenie wytwarzania odpadów</w:t>
      </w:r>
      <w:r w:rsidR="00F45A24" w:rsidRPr="00FA5CFF">
        <w:t>, w tym informacj</w:t>
      </w:r>
      <w:r w:rsidR="00E839CF" w:rsidRPr="00FA5CFF">
        <w:t>e</w:t>
      </w:r>
      <w:r w:rsidR="00F45A24" w:rsidRPr="00FA5CFF">
        <w:t xml:space="preserve"> o</w:t>
      </w:r>
      <w:r w:rsidR="00A25E34">
        <w:t> </w:t>
      </w:r>
      <w:r w:rsidR="00F45A24" w:rsidRPr="00FA5CFF">
        <w:t xml:space="preserve">sposobie wykorzystania </w:t>
      </w:r>
      <w:r w:rsidR="00E839CF" w:rsidRPr="00FA5CFF">
        <w:t xml:space="preserve">wytwarzanego biogazu, </w:t>
      </w:r>
      <w:r w:rsidR="00F45A24" w:rsidRPr="00FA5CFF">
        <w:t>produkowanej energii cieplnej i/lub elektrycznej</w:t>
      </w:r>
      <w:r w:rsidR="00706251" w:rsidRPr="00FA5CFF">
        <w:t xml:space="preserve"> </w:t>
      </w:r>
      <w:r w:rsidR="00E839CF" w:rsidRPr="00FA5CFF">
        <w:t xml:space="preserve">oraz </w:t>
      </w:r>
      <w:r w:rsidR="001D7EC8" w:rsidRPr="00FA5CFF">
        <w:t>kierunkach i sposobach zagospodarowania</w:t>
      </w:r>
      <w:r w:rsidR="00890684" w:rsidRPr="00FA5CFF">
        <w:t xml:space="preserve"> </w:t>
      </w:r>
      <w:r w:rsidR="00E839CF" w:rsidRPr="00FA5CFF">
        <w:t xml:space="preserve">osadów ściekowych </w:t>
      </w:r>
      <w:r w:rsidR="00706251" w:rsidRPr="00FA5CFF">
        <w:t>(o ile dotyczy)</w:t>
      </w:r>
    </w:p>
    <w:p w14:paraId="4019AA79" w14:textId="3CD1C69D" w:rsidR="004170C7" w:rsidRPr="00FA5CFF" w:rsidRDefault="002B5A4C" w:rsidP="006A6300">
      <w:pPr>
        <w:pStyle w:val="Nagwek2"/>
        <w:spacing w:line="276" w:lineRule="auto"/>
        <w:jc w:val="left"/>
      </w:pPr>
      <w:r w:rsidRPr="00FA5CFF">
        <w:t>Lokalizacja przedsięwzięcia</w:t>
      </w:r>
    </w:p>
    <w:p w14:paraId="4019AA7A" w14:textId="59C35664" w:rsidR="004170C7" w:rsidRPr="00FA5CFF" w:rsidRDefault="002B5A4C" w:rsidP="006A6300">
      <w:pPr>
        <w:pStyle w:val="Nagwek3"/>
        <w:ind w:left="851" w:hanging="567"/>
        <w:jc w:val="left"/>
      </w:pPr>
      <w:r w:rsidRPr="00FA5CFF">
        <w:t>Opis lokalizacji przedsięwzięcia, w tym odbiornika ścieków, warunków wodno</w:t>
      </w:r>
      <w:r w:rsidR="00CB0E0E" w:rsidRPr="00FA5CFF">
        <w:t>-</w:t>
      </w:r>
      <w:r w:rsidRPr="00FA5CFF">
        <w:t>gruntowych</w:t>
      </w:r>
    </w:p>
    <w:p w14:paraId="4019AA7B" w14:textId="4C45EBD4" w:rsidR="004170C7" w:rsidRPr="00FA5CFF" w:rsidRDefault="002B5A4C" w:rsidP="006A6300">
      <w:pPr>
        <w:pStyle w:val="Nagwek3"/>
        <w:ind w:left="851" w:hanging="567"/>
        <w:jc w:val="left"/>
      </w:pPr>
      <w:r w:rsidRPr="00FA5CFF">
        <w:t>Dostępność terenów pod inwestycje, koszty zakupu oraz rekompensat</w:t>
      </w:r>
    </w:p>
    <w:p w14:paraId="4019AA7C" w14:textId="798B1592" w:rsidR="004170C7" w:rsidRPr="00FA5CFF" w:rsidRDefault="002B5A4C" w:rsidP="006A6300">
      <w:pPr>
        <w:pStyle w:val="Nagwek3"/>
        <w:ind w:left="851" w:hanging="567"/>
        <w:jc w:val="left"/>
      </w:pPr>
      <w:r w:rsidRPr="00FA5CFF">
        <w:t>Zgodność przedsięwzięcia z miejscowymi planami zagospodarowania przestrzennego</w:t>
      </w:r>
    </w:p>
    <w:p w14:paraId="4019AA7D" w14:textId="7CF22274" w:rsidR="004170C7" w:rsidRPr="00FA5CFF" w:rsidRDefault="002B5A4C" w:rsidP="006A6300">
      <w:pPr>
        <w:pStyle w:val="Nagwek2"/>
        <w:spacing w:line="276" w:lineRule="auto"/>
        <w:jc w:val="left"/>
      </w:pPr>
      <w:r w:rsidRPr="00FA5CFF">
        <w:t>Kwalifikowane i niekwalifikowane koszty inwestycyjne projektu ze wskazaniem przyjętej metodyki ich szacowania</w:t>
      </w:r>
    </w:p>
    <w:p w14:paraId="4019AA7E" w14:textId="69862BB4" w:rsidR="004170C7" w:rsidRPr="00FA5CFF" w:rsidRDefault="002B5A4C" w:rsidP="006A6300">
      <w:pPr>
        <w:pStyle w:val="Nagwek3"/>
        <w:ind w:left="851" w:hanging="567"/>
        <w:jc w:val="left"/>
      </w:pPr>
      <w:r w:rsidRPr="00FA5CFF">
        <w:t>Koszty przygotowawcze</w:t>
      </w:r>
    </w:p>
    <w:p w14:paraId="4019AA7F" w14:textId="2308B1A0" w:rsidR="00CB0E0E" w:rsidRPr="00FA5CFF" w:rsidRDefault="002B5A4C" w:rsidP="006A6300">
      <w:pPr>
        <w:pStyle w:val="Nagwek3"/>
        <w:ind w:left="851" w:hanging="567"/>
        <w:jc w:val="left"/>
      </w:pPr>
      <w:r w:rsidRPr="00FA5CFF">
        <w:t xml:space="preserve">Koszty prac budowlano – </w:t>
      </w:r>
      <w:r w:rsidR="00126E67" w:rsidRPr="00FA5CFF">
        <w:t>montażowych</w:t>
      </w:r>
      <w:r w:rsidR="0003768E" w:rsidRPr="00FA5CFF">
        <w:t>,</w:t>
      </w:r>
      <w:r w:rsidRPr="00FA5CFF">
        <w:t xml:space="preserve"> wielkość nakładów na majątek trwały</w:t>
      </w:r>
    </w:p>
    <w:p w14:paraId="4019AA80" w14:textId="583BAFFE" w:rsidR="004170C7" w:rsidRPr="00FA5CFF" w:rsidRDefault="0003768E" w:rsidP="006A6300">
      <w:pPr>
        <w:pStyle w:val="Nagwek3"/>
        <w:ind w:left="851" w:hanging="567"/>
        <w:jc w:val="left"/>
      </w:pPr>
      <w:r w:rsidRPr="00FA5CFF">
        <w:t>Pozostałe kategorie kosztów</w:t>
      </w:r>
    </w:p>
    <w:p w14:paraId="4019AA81" w14:textId="7828309A" w:rsidR="004170C7" w:rsidRPr="00FA5CFF" w:rsidRDefault="00706251" w:rsidP="006A6300">
      <w:pPr>
        <w:pStyle w:val="Nagwek2"/>
        <w:spacing w:line="276" w:lineRule="auto"/>
        <w:jc w:val="left"/>
      </w:pPr>
      <w:r w:rsidRPr="00FA5CFF">
        <w:t>Stopień przygotowania przedsięwzięcia do realizacji</w:t>
      </w:r>
    </w:p>
    <w:p w14:paraId="4019AA82" w14:textId="22786737" w:rsidR="00176EBB" w:rsidRPr="00FA5CFF" w:rsidRDefault="0003768E" w:rsidP="006A6300">
      <w:pPr>
        <w:pStyle w:val="Nagwek2"/>
        <w:spacing w:line="276" w:lineRule="auto"/>
        <w:jc w:val="left"/>
        <w:rPr>
          <w:rFonts w:eastAsia="Arial"/>
        </w:rPr>
      </w:pPr>
      <w:r w:rsidRPr="00FA5CFF">
        <w:rPr>
          <w:rFonts w:eastAsia="Arial"/>
        </w:rPr>
        <w:t>Działania informacyjno-promocyjne</w:t>
      </w:r>
    </w:p>
    <w:p w14:paraId="4019AA83" w14:textId="0DA943C6" w:rsidR="004170C7" w:rsidRDefault="00176EBB" w:rsidP="006A6300">
      <w:pPr>
        <w:pStyle w:val="Nagwek2"/>
        <w:spacing w:line="276" w:lineRule="auto"/>
        <w:jc w:val="left"/>
        <w:rPr>
          <w:rFonts w:eastAsia="Arial"/>
        </w:rPr>
      </w:pPr>
      <w:r w:rsidRPr="00FA5CFF">
        <w:rPr>
          <w:rFonts w:eastAsia="Arial"/>
        </w:rPr>
        <w:t>Niezbędne inwestycje odtworzeniowe przedsięwzięcia w fazie operacyjnej</w:t>
      </w:r>
    </w:p>
    <w:p w14:paraId="502061F0" w14:textId="6371822C" w:rsidR="00A25E34" w:rsidRPr="00FA5CFF" w:rsidRDefault="00A25E34" w:rsidP="006A6300">
      <w:pPr>
        <w:pStyle w:val="Nagwek2"/>
        <w:spacing w:line="276" w:lineRule="auto"/>
        <w:ind w:left="578" w:hanging="578"/>
        <w:jc w:val="left"/>
        <w:rPr>
          <w:rFonts w:eastAsia="Arial"/>
        </w:rPr>
      </w:pPr>
      <w:r w:rsidRPr="00A25E34">
        <w:rPr>
          <w:rFonts w:eastAsia="Arial"/>
        </w:rPr>
        <w:t>Zastosowanie elementów edukacyjnych w projekcie</w:t>
      </w:r>
    </w:p>
    <w:p w14:paraId="4019AA85" w14:textId="527A6377" w:rsidR="004170C7" w:rsidRPr="00795CAD" w:rsidRDefault="002B5A4C" w:rsidP="006A6300">
      <w:pPr>
        <w:pStyle w:val="Nagwek1"/>
        <w:spacing w:before="480"/>
      </w:pPr>
      <w:r w:rsidRPr="00795CAD">
        <w:t>Analiza oddziaływania na środowisko</w:t>
      </w:r>
      <w:r w:rsidR="0003768E" w:rsidRPr="00795CAD">
        <w:t xml:space="preserve">, z uwzględnieniem potrzeb dotyczących przystosowania się i łagodzenia zmian klimatu oraz odporności na klęski </w:t>
      </w:r>
      <w:r w:rsidR="00216695" w:rsidRPr="00795CAD">
        <w:t>żywiołowe</w:t>
      </w:r>
    </w:p>
    <w:p w14:paraId="4019AA86" w14:textId="6B41B97E" w:rsidR="004170C7" w:rsidRPr="00FA5CFF" w:rsidRDefault="00F17F59" w:rsidP="006A6300">
      <w:pPr>
        <w:pStyle w:val="Nagwek2"/>
        <w:spacing w:line="276" w:lineRule="auto"/>
        <w:jc w:val="left"/>
      </w:pPr>
      <w:r w:rsidRPr="00FA5CFF">
        <w:rPr>
          <w:rFonts w:eastAsia="Arial"/>
        </w:rPr>
        <w:t>Zgodność projektu z politykami ochrony środowiska</w:t>
      </w:r>
    </w:p>
    <w:p w14:paraId="4019AA87" w14:textId="5E4F9007" w:rsidR="004170C7" w:rsidRPr="00FA5CFF" w:rsidRDefault="002B5A4C" w:rsidP="006A6300">
      <w:pPr>
        <w:pStyle w:val="Nagwek3"/>
        <w:ind w:left="851" w:hanging="567"/>
        <w:jc w:val="left"/>
      </w:pPr>
      <w:r w:rsidRPr="00FA5CFF">
        <w:t xml:space="preserve">Sposób </w:t>
      </w:r>
      <w:r w:rsidR="00126E67" w:rsidRPr="00FA5CFF">
        <w:t>wdrożenia</w:t>
      </w:r>
      <w:r w:rsidRPr="00FA5CFF">
        <w:t xml:space="preserve"> przez projekt </w:t>
      </w:r>
      <w:r w:rsidR="002A18DA" w:rsidRPr="00FA5CFF">
        <w:t xml:space="preserve">celów </w:t>
      </w:r>
      <w:r w:rsidRPr="00FA5CFF">
        <w:t xml:space="preserve">polityki </w:t>
      </w:r>
      <w:r w:rsidR="002A18DA" w:rsidRPr="00FA5CFF">
        <w:t xml:space="preserve">ochrony środowiska </w:t>
      </w:r>
      <w:r w:rsidRPr="00FA5CFF">
        <w:t>UE</w:t>
      </w:r>
      <w:r w:rsidR="002A18DA" w:rsidRPr="00FA5CFF">
        <w:t>,</w:t>
      </w:r>
      <w:r w:rsidRPr="00FA5CFF">
        <w:t xml:space="preserve"> w</w:t>
      </w:r>
      <w:r w:rsidR="00A12AA5">
        <w:t> </w:t>
      </w:r>
      <w:r w:rsidR="002A18DA" w:rsidRPr="00FA5CFF">
        <w:t xml:space="preserve">tym w </w:t>
      </w:r>
      <w:r w:rsidRPr="00FA5CFF">
        <w:t xml:space="preserve">zakresie </w:t>
      </w:r>
      <w:r w:rsidR="00126E67" w:rsidRPr="00FA5CFF">
        <w:t>zrównoważonego</w:t>
      </w:r>
      <w:r w:rsidRPr="00FA5CFF">
        <w:t xml:space="preserve"> rozwoju</w:t>
      </w:r>
      <w:r w:rsidR="0003768E" w:rsidRPr="00FA5CFF">
        <w:t xml:space="preserve">, </w:t>
      </w:r>
      <w:r w:rsidR="002A18DA" w:rsidRPr="00FA5CFF">
        <w:t>efektywnej gospodarki zasobami, zachowania bioróżnorodności,</w:t>
      </w:r>
      <w:r w:rsidR="0003768E" w:rsidRPr="00FA5CFF">
        <w:t xml:space="preserve"> zmian klimatu</w:t>
      </w:r>
      <w:r w:rsidR="002A18DA" w:rsidRPr="00FA5CFF">
        <w:t xml:space="preserve"> (zmniejszenie emisji gazów cieplarnianych, odporność na skutki zmian klimatu, itp.)</w:t>
      </w:r>
    </w:p>
    <w:p w14:paraId="4019AA88" w14:textId="576982E2" w:rsidR="004170C7" w:rsidRPr="00FA5CFF" w:rsidRDefault="002A18DA" w:rsidP="006A6300">
      <w:pPr>
        <w:pStyle w:val="Nagwek3"/>
        <w:ind w:left="851" w:hanging="567"/>
        <w:jc w:val="left"/>
      </w:pPr>
      <w:r w:rsidRPr="00FA5CFF">
        <w:t>Zgodność projektu z zasadą „nie czyń poważnych szkód” środowisku</w:t>
      </w:r>
      <w:r w:rsidR="002D14DB" w:rsidRPr="00FA5CFF">
        <w:t>,</w:t>
      </w:r>
      <w:r w:rsidRPr="00FA5CFF">
        <w:t xml:space="preserve"> tj.</w:t>
      </w:r>
      <w:r w:rsidR="00785E67">
        <w:t> </w:t>
      </w:r>
      <w:r w:rsidRPr="00FA5CFF">
        <w:t xml:space="preserve">do no </w:t>
      </w:r>
      <w:proofErr w:type="spellStart"/>
      <w:r w:rsidRPr="00FA5CFF">
        <w:t>significant</w:t>
      </w:r>
      <w:proofErr w:type="spellEnd"/>
      <w:r w:rsidRPr="00FA5CFF">
        <w:t xml:space="preserve"> </w:t>
      </w:r>
      <w:proofErr w:type="spellStart"/>
      <w:r w:rsidRPr="00FA5CFF">
        <w:t>harm</w:t>
      </w:r>
      <w:proofErr w:type="spellEnd"/>
      <w:r w:rsidRPr="00FA5CFF">
        <w:t xml:space="preserve"> (DNSH)</w:t>
      </w:r>
    </w:p>
    <w:p w14:paraId="2E44EB38" w14:textId="7F738F0F" w:rsidR="00653625" w:rsidRPr="00FA5CFF" w:rsidRDefault="002B5A4C" w:rsidP="006A6300">
      <w:pPr>
        <w:pStyle w:val="Nagwek3"/>
        <w:ind w:left="851" w:hanging="567"/>
        <w:jc w:val="left"/>
      </w:pPr>
      <w:r w:rsidRPr="00FA5CFF">
        <w:lastRenderedPageBreak/>
        <w:t xml:space="preserve">Sposób </w:t>
      </w:r>
      <w:r w:rsidR="00126E67" w:rsidRPr="00FA5CFF">
        <w:t>wdrożenia</w:t>
      </w:r>
      <w:r w:rsidRPr="00FA5CFF">
        <w:t xml:space="preserve"> przez projekt zasady </w:t>
      </w:r>
      <w:r w:rsidR="00653625" w:rsidRPr="00FA5CFF">
        <w:t>ostrożności, zasady działania zapobiegawczego, zasady naprawiania szkody w pierwszym rzędzie u</w:t>
      </w:r>
      <w:r w:rsidR="00A12AA5">
        <w:t> </w:t>
      </w:r>
      <w:r w:rsidR="00653625" w:rsidRPr="00FA5CFF">
        <w:t>źródła, zasady zanieczyszczający płaci</w:t>
      </w:r>
    </w:p>
    <w:p w14:paraId="4019AA8B" w14:textId="11C2DA6F" w:rsidR="004170C7" w:rsidRPr="00FA5CFF" w:rsidRDefault="002B5A4C" w:rsidP="006A6300">
      <w:pPr>
        <w:pStyle w:val="Nagwek2"/>
        <w:spacing w:line="276" w:lineRule="auto"/>
        <w:jc w:val="left"/>
      </w:pPr>
      <w:r w:rsidRPr="00FA5CFF">
        <w:t>Ocena oddziaływania przedsięwzięcia na środowisko (OOŚ)</w:t>
      </w:r>
    </w:p>
    <w:p w14:paraId="4019AA8C" w14:textId="5EE22FFE" w:rsidR="004170C7" w:rsidRPr="00FA5CFF" w:rsidRDefault="002B5A4C" w:rsidP="006A6300">
      <w:pPr>
        <w:pStyle w:val="Nagwek3"/>
        <w:ind w:left="851" w:hanging="567"/>
        <w:jc w:val="left"/>
      </w:pPr>
      <w:r w:rsidRPr="00FA5CFF">
        <w:t>Klasyfikacja przedsięwzięcia pod k</w:t>
      </w:r>
      <w:r w:rsidR="00653625" w:rsidRPr="00FA5CFF">
        <w:t>ą</w:t>
      </w:r>
      <w:r w:rsidRPr="00FA5CFF">
        <w:t>tem wymogu przeprowadzenia oceny oddziaływania na środowisko w świetle przepisów prawa polskiego i UE</w:t>
      </w:r>
    </w:p>
    <w:p w14:paraId="4019AA8D" w14:textId="6B05C4CA" w:rsidR="0003768E" w:rsidRPr="00FA5CFF" w:rsidRDefault="0003768E" w:rsidP="006A6300">
      <w:pPr>
        <w:pStyle w:val="Nagwek3"/>
        <w:ind w:left="851" w:hanging="567"/>
        <w:jc w:val="left"/>
      </w:pPr>
      <w:r w:rsidRPr="00FA5CFF">
        <w:rPr>
          <w:rFonts w:eastAsia="Arial"/>
        </w:rPr>
        <w:t>Ocena oddziaływania przedsięwzięcia na środowisko</w:t>
      </w:r>
      <w:r w:rsidRPr="00FA5CFF">
        <w:t xml:space="preserve"> wraz z prezentacją przeprowadzonych postępowań administracyjnych</w:t>
      </w:r>
    </w:p>
    <w:p w14:paraId="4019AA8E" w14:textId="1BD1B6A6" w:rsidR="0003768E" w:rsidRPr="00FA5CFF" w:rsidRDefault="00BF1B62" w:rsidP="006A6300">
      <w:pPr>
        <w:pStyle w:val="Nagwek4"/>
        <w:spacing w:line="276" w:lineRule="auto"/>
        <w:ind w:left="1276" w:hanging="709"/>
        <w:jc w:val="left"/>
      </w:pPr>
      <w:r w:rsidRPr="00FA5CFF">
        <w:t>Z</w:t>
      </w:r>
      <w:r w:rsidR="0003768E" w:rsidRPr="00FA5CFF">
        <w:t xml:space="preserve">adania </w:t>
      </w:r>
      <w:r w:rsidR="00BE36C3" w:rsidRPr="00FA5CFF">
        <w:t xml:space="preserve">z przeprowadzoną </w:t>
      </w:r>
      <w:r w:rsidR="0003768E" w:rsidRPr="00FA5CFF">
        <w:t>ocen</w:t>
      </w:r>
      <w:r w:rsidR="00BE36C3" w:rsidRPr="00FA5CFF">
        <w:t>ą</w:t>
      </w:r>
      <w:r w:rsidR="0003768E" w:rsidRPr="00FA5CFF">
        <w:t xml:space="preserve"> o</w:t>
      </w:r>
      <w:r w:rsidR="00BE36C3" w:rsidRPr="00FA5CFF">
        <w:t>d</w:t>
      </w:r>
      <w:r w:rsidR="0003768E" w:rsidRPr="00FA5CFF">
        <w:t>działywania na środowisko</w:t>
      </w:r>
    </w:p>
    <w:p w14:paraId="4019AA8F" w14:textId="3EBC8BE3" w:rsidR="00BE36C3" w:rsidRPr="00FA5CFF" w:rsidRDefault="00BF1B62" w:rsidP="006A6300">
      <w:pPr>
        <w:pStyle w:val="Nagwek4"/>
        <w:spacing w:line="276" w:lineRule="auto"/>
        <w:ind w:left="1276" w:hanging="709"/>
        <w:jc w:val="left"/>
      </w:pPr>
      <w:r w:rsidRPr="00FA5CFF">
        <w:t>Z</w:t>
      </w:r>
      <w:r w:rsidR="0003768E" w:rsidRPr="00FA5CFF">
        <w:t xml:space="preserve">adania </w:t>
      </w:r>
      <w:r w:rsidR="00BE36C3" w:rsidRPr="00FA5CFF">
        <w:t>bez oceny oddziaływania na środowisko</w:t>
      </w:r>
      <w:r w:rsidRPr="00FA5CFF">
        <w:t xml:space="preserve"> wraz z</w:t>
      </w:r>
      <w:r w:rsidR="00A12AA5">
        <w:t> </w:t>
      </w:r>
      <w:r w:rsidRPr="00FA5CFF">
        <w:t>uzasadnieniem braku kwalifikacji do oceny</w:t>
      </w:r>
    </w:p>
    <w:p w14:paraId="4019AA90" w14:textId="48BAB53E" w:rsidR="004170C7" w:rsidRPr="00FA5CFF" w:rsidRDefault="002B5A4C" w:rsidP="006A6300">
      <w:pPr>
        <w:pStyle w:val="Nagwek3"/>
        <w:ind w:left="993" w:hanging="709"/>
        <w:jc w:val="left"/>
      </w:pPr>
      <w:r w:rsidRPr="00FA5CFF">
        <w:t>Ocena wpływu przedsięwzięcia na obszary Natura 2000 wraz z prezentacją przeprowadzonych postępowań administracyjnych</w:t>
      </w:r>
    </w:p>
    <w:p w14:paraId="4019AA91" w14:textId="19814A98" w:rsidR="004170C7" w:rsidRPr="00FA5CFF" w:rsidRDefault="00BE36C3" w:rsidP="006A6300">
      <w:pPr>
        <w:pStyle w:val="Nagwek3"/>
        <w:ind w:left="993" w:hanging="709"/>
        <w:jc w:val="left"/>
      </w:pPr>
      <w:r w:rsidRPr="00FA5CFF">
        <w:rPr>
          <w:rFonts w:eastAsia="Arial"/>
        </w:rPr>
        <w:t>Rozwiązania na rzecz zmniejszenia lub skompensowania negatywnego oddziaływania na środowisko</w:t>
      </w:r>
    </w:p>
    <w:p w14:paraId="4019AA93" w14:textId="063DCEFB" w:rsidR="00BE36C3" w:rsidRPr="00FA5CFF" w:rsidRDefault="002B5A4C" w:rsidP="006A6300">
      <w:pPr>
        <w:pStyle w:val="Nagwek2"/>
        <w:spacing w:line="276" w:lineRule="auto"/>
        <w:jc w:val="left"/>
      </w:pPr>
      <w:r w:rsidRPr="00FA5CFF">
        <w:t>Spójność przedsięwzięcia z sektorowymi planami i programami związanymi z</w:t>
      </w:r>
      <w:r w:rsidR="00A12AA5">
        <w:t> </w:t>
      </w:r>
      <w:r w:rsidR="00126E67" w:rsidRPr="00FA5CFF">
        <w:t>wdrożeniem</w:t>
      </w:r>
      <w:r w:rsidRPr="00FA5CFF">
        <w:t xml:space="preserve"> polityki wspólnotowej</w:t>
      </w:r>
    </w:p>
    <w:p w14:paraId="0258D303" w14:textId="5C89F0A8" w:rsidR="00653625" w:rsidRPr="00FA5CFF" w:rsidRDefault="00BE36C3" w:rsidP="006A6300">
      <w:pPr>
        <w:pStyle w:val="Nagwek3"/>
        <w:ind w:left="851" w:hanging="709"/>
        <w:jc w:val="left"/>
      </w:pPr>
      <w:r w:rsidRPr="00FA5CFF">
        <w:t>Wpływ przedsięwzięcia na jednolit</w:t>
      </w:r>
      <w:r w:rsidR="003665AB" w:rsidRPr="00FA5CFF">
        <w:t>ą</w:t>
      </w:r>
      <w:r w:rsidRPr="00FA5CFF">
        <w:t xml:space="preserve"> część wód</w:t>
      </w:r>
    </w:p>
    <w:p w14:paraId="595860C4" w14:textId="032F26E9" w:rsidR="00653625" w:rsidRPr="00FA5CFF" w:rsidRDefault="00653625" w:rsidP="006A6300">
      <w:pPr>
        <w:pStyle w:val="Nagwek3"/>
        <w:ind w:left="851" w:hanging="709"/>
        <w:jc w:val="left"/>
      </w:pPr>
      <w:r w:rsidRPr="00FA5CFF">
        <w:t>Zgodność przedsięwzięcia z obowiązującymi dokumentami planistycznymi wynikającymi z Ramowej Dyrektywy Wodnej i Dyrektywy Przeciwpowodziowej: planami gospodarowania wodami w dorzeczach, planami zarządzania ryzykiem powodziowym, Planem przeciwdziałania skutkom suszy</w:t>
      </w:r>
    </w:p>
    <w:p w14:paraId="4019AA95" w14:textId="2529DD60" w:rsidR="00BE36C3" w:rsidRPr="00FA5CFF" w:rsidRDefault="00BE36C3" w:rsidP="006A6300">
      <w:pPr>
        <w:pStyle w:val="Nagwek2"/>
        <w:spacing w:line="276" w:lineRule="auto"/>
        <w:jc w:val="left"/>
      </w:pPr>
      <w:r w:rsidRPr="00FA5CFF">
        <w:t>Przystosowanie do zmian klimatu i łagodzenie zmiany klimatu, a także odporność na klęski żywiołowe</w:t>
      </w:r>
    </w:p>
    <w:p w14:paraId="4019AA96" w14:textId="376B33BA" w:rsidR="00BE36C3" w:rsidRPr="00FA5CFF" w:rsidRDefault="00653625" w:rsidP="006A6300">
      <w:pPr>
        <w:pStyle w:val="Nagwek3"/>
        <w:ind w:left="851" w:hanging="709"/>
        <w:jc w:val="left"/>
      </w:pPr>
      <w:r w:rsidRPr="00FA5CFF">
        <w:t>Oddziaływanie projektu na zmianę klimatu z uwzględnieniem środków łagodzących w celu przystosowania się do zmian klimatu</w:t>
      </w:r>
    </w:p>
    <w:p w14:paraId="4019AA97" w14:textId="6DA9C482" w:rsidR="00BE36C3" w:rsidRPr="00FA5CFF" w:rsidRDefault="00653625" w:rsidP="006A6300">
      <w:pPr>
        <w:pStyle w:val="Nagwek3"/>
        <w:ind w:left="851" w:hanging="709"/>
        <w:jc w:val="left"/>
      </w:pPr>
      <w:r w:rsidRPr="00FA5CFF">
        <w:t>Oddziaływanie zmian klimatu na projekt z uwzględnieniem środków mających na celu adaptację projektu do zmian klimatu, w tym reagowania na ryzyko powodziowe.</w:t>
      </w:r>
    </w:p>
    <w:p w14:paraId="4019AA98" w14:textId="7D282E58" w:rsidR="00216695" w:rsidRPr="00FA5CFF" w:rsidRDefault="00653625" w:rsidP="006A6300">
      <w:pPr>
        <w:pStyle w:val="Nagwek3"/>
        <w:ind w:left="851" w:hanging="709"/>
        <w:jc w:val="left"/>
      </w:pPr>
      <w:r w:rsidRPr="00FA5CFF">
        <w:t>Zgodność projektu z celem środowiskowym gospodarki o obiegu zamkniętym, ochrony przyrody oraz adaptacji do zmian klimatu</w:t>
      </w:r>
    </w:p>
    <w:p w14:paraId="4019AA99" w14:textId="4E27C133" w:rsidR="004170C7" w:rsidRPr="00FA5CFF" w:rsidRDefault="002B5A4C" w:rsidP="006A6300">
      <w:pPr>
        <w:pStyle w:val="Nagwek2"/>
        <w:spacing w:line="276" w:lineRule="auto"/>
        <w:jc w:val="left"/>
      </w:pPr>
      <w:r w:rsidRPr="00FA5CFF">
        <w:t>Strategiczne oceny oddziaływania na środowisko</w:t>
      </w:r>
    </w:p>
    <w:p w14:paraId="4019AA9A" w14:textId="39EDF499" w:rsidR="004170C7" w:rsidRPr="00FA5CFF" w:rsidRDefault="00A97DB9" w:rsidP="006A6300">
      <w:pPr>
        <w:pStyle w:val="Nagwek3"/>
        <w:ind w:left="851" w:hanging="709"/>
        <w:jc w:val="left"/>
      </w:pPr>
      <w:r w:rsidRPr="00FA5CFF">
        <w:rPr>
          <w:rFonts w:eastAsia="Arial"/>
        </w:rPr>
        <w:lastRenderedPageBreak/>
        <w:t>Strategiczna</w:t>
      </w:r>
      <w:r w:rsidR="00F17F59" w:rsidRPr="00FA5CFF">
        <w:rPr>
          <w:rFonts w:eastAsia="Arial"/>
        </w:rPr>
        <w:t xml:space="preserve"> ocena </w:t>
      </w:r>
      <w:r w:rsidRPr="00FA5CFF">
        <w:rPr>
          <w:rFonts w:eastAsia="Arial"/>
        </w:rPr>
        <w:t>oddziaływania</w:t>
      </w:r>
      <w:r w:rsidR="00F17F59" w:rsidRPr="00FA5CFF">
        <w:rPr>
          <w:rFonts w:eastAsia="Arial"/>
        </w:rPr>
        <w:t xml:space="preserve"> na środowisko </w:t>
      </w:r>
      <w:r w:rsidRPr="00FA5CFF">
        <w:t xml:space="preserve">(zgodnie z Dyrektywą 2001/42/WE) </w:t>
      </w:r>
      <w:r w:rsidR="00F17F59" w:rsidRPr="00FA5CFF">
        <w:t>p</w:t>
      </w:r>
      <w:r w:rsidR="002B5A4C" w:rsidRPr="00FA5CFF">
        <w:t>lan</w:t>
      </w:r>
      <w:r w:rsidR="00F17F59" w:rsidRPr="00FA5CFF">
        <w:t>ów</w:t>
      </w:r>
      <w:r w:rsidR="002B5A4C" w:rsidRPr="00FA5CFF">
        <w:t xml:space="preserve"> i program</w:t>
      </w:r>
      <w:r w:rsidRPr="00FA5CFF">
        <w:t>ów,</w:t>
      </w:r>
      <w:r w:rsidR="002B5A4C" w:rsidRPr="00FA5CFF">
        <w:t xml:space="preserve"> z których wynika realizacja przedsięwzięcia</w:t>
      </w:r>
    </w:p>
    <w:p w14:paraId="4019AA9B" w14:textId="71D3A111" w:rsidR="004170C7" w:rsidRPr="00FA5CFF" w:rsidRDefault="002B5A4C" w:rsidP="006A6300">
      <w:pPr>
        <w:pStyle w:val="Nagwek3"/>
        <w:ind w:left="851" w:hanging="709"/>
        <w:jc w:val="left"/>
      </w:pPr>
      <w:r w:rsidRPr="00FA5CFF">
        <w:t>Uwzględnienie skutków realizacji przedsięwzięcia w sporządzonych prognozach oddziaływania planów i programów na środowisko</w:t>
      </w:r>
    </w:p>
    <w:p w14:paraId="4019AA9D" w14:textId="20191BBE" w:rsidR="004170C7" w:rsidRPr="00FA5CFF" w:rsidRDefault="002B5A4C" w:rsidP="006A6300">
      <w:pPr>
        <w:pStyle w:val="Nagwek1"/>
        <w:spacing w:before="480"/>
      </w:pPr>
      <w:r w:rsidRPr="00FA5CFF">
        <w:t xml:space="preserve">Plan </w:t>
      </w:r>
      <w:r w:rsidR="00126E67" w:rsidRPr="00FA5CFF">
        <w:t>wdrożenia</w:t>
      </w:r>
      <w:r w:rsidRPr="00FA5CFF">
        <w:t xml:space="preserve"> i funkcjonowania projektu</w:t>
      </w:r>
    </w:p>
    <w:p w14:paraId="4019AA9E" w14:textId="1D6486C3" w:rsidR="004170C7" w:rsidRPr="00FA5CFF" w:rsidRDefault="002B5A4C" w:rsidP="006A6300">
      <w:pPr>
        <w:pStyle w:val="Nagwek2"/>
        <w:spacing w:line="276" w:lineRule="auto"/>
        <w:jc w:val="left"/>
      </w:pPr>
      <w:r w:rsidRPr="00FA5CFF">
        <w:t xml:space="preserve">Struktura </w:t>
      </w:r>
      <w:r w:rsidR="00126E67" w:rsidRPr="00FA5CFF">
        <w:t>wdrażania</w:t>
      </w:r>
      <w:r w:rsidRPr="00FA5CFF">
        <w:t xml:space="preserve"> przedsięwzięcia, zestawienie i harmonogram niezbędnych działań, w tym instytucjonalnych i administracyjnych</w:t>
      </w:r>
      <w:r w:rsidR="00706251" w:rsidRPr="00FA5CFF">
        <w:t>,</w:t>
      </w:r>
      <w:r w:rsidRPr="00FA5CFF">
        <w:t xml:space="preserve"> w celu </w:t>
      </w:r>
      <w:r w:rsidR="00126E67" w:rsidRPr="00FA5CFF">
        <w:t>wdrożenia</w:t>
      </w:r>
      <w:r w:rsidRPr="00FA5CFF">
        <w:t xml:space="preserve"> przedsięwzięcia</w:t>
      </w:r>
    </w:p>
    <w:p w14:paraId="4019AA9F" w14:textId="3FC72503" w:rsidR="004170C7" w:rsidRPr="00FA5CFF" w:rsidRDefault="002B5A4C" w:rsidP="006A6300">
      <w:pPr>
        <w:pStyle w:val="Nagwek2"/>
        <w:spacing w:line="276" w:lineRule="auto"/>
        <w:jc w:val="left"/>
      </w:pPr>
      <w:r w:rsidRPr="00FA5CFF">
        <w:t xml:space="preserve">Struktura </w:t>
      </w:r>
      <w:r w:rsidR="00A97DB9" w:rsidRPr="00FA5CFF">
        <w:t xml:space="preserve">i schemat </w:t>
      </w:r>
      <w:r w:rsidRPr="00FA5CFF">
        <w:t>organizacyjn</w:t>
      </w:r>
      <w:r w:rsidR="00A97DB9" w:rsidRPr="00FA5CFF">
        <w:t>y</w:t>
      </w:r>
      <w:r w:rsidRPr="00FA5CFF">
        <w:t xml:space="preserve"> JRP</w:t>
      </w:r>
    </w:p>
    <w:p w14:paraId="4019AAA0" w14:textId="09B88974" w:rsidR="004170C7" w:rsidRPr="00FA5CFF" w:rsidRDefault="002B5A4C" w:rsidP="006A6300">
      <w:pPr>
        <w:pStyle w:val="Nagwek2"/>
        <w:spacing w:line="276" w:lineRule="auto"/>
        <w:jc w:val="left"/>
      </w:pPr>
      <w:r w:rsidRPr="00FA5CFF">
        <w:t>Proponowany zakres kontraktów, procedury kontraktowe, harmonogram ogłaszania przetargów i podpisywania kontraktów</w:t>
      </w:r>
    </w:p>
    <w:p w14:paraId="4019AAA1" w14:textId="1582D8BD" w:rsidR="004170C7" w:rsidRPr="00FA5CFF" w:rsidRDefault="002B5A4C" w:rsidP="006A6300">
      <w:pPr>
        <w:pStyle w:val="Nagwek2"/>
        <w:spacing w:line="276" w:lineRule="auto"/>
        <w:jc w:val="left"/>
      </w:pPr>
      <w:r w:rsidRPr="00FA5CFF">
        <w:t>Harmonogram realizacji przedsięwzięcia oraz plan płatności</w:t>
      </w:r>
    </w:p>
    <w:p w14:paraId="4019AAA2" w14:textId="37EDA7AD" w:rsidR="00A97DB9" w:rsidRPr="00FA5CFF" w:rsidRDefault="00A97DB9" w:rsidP="006A6300">
      <w:pPr>
        <w:pStyle w:val="Nagwek2"/>
        <w:spacing w:line="276" w:lineRule="auto"/>
        <w:jc w:val="left"/>
      </w:pPr>
      <w:r w:rsidRPr="00FA5CFF">
        <w:t>Zarządzanie infrastrukturą po zakończeniu realizacji przedsięwzięcia</w:t>
      </w:r>
    </w:p>
    <w:p w14:paraId="4019AAA3" w14:textId="3642608C" w:rsidR="004170C7" w:rsidRPr="00FA5CFF" w:rsidRDefault="002B5A4C" w:rsidP="006A6300">
      <w:pPr>
        <w:pStyle w:val="Nagwek3"/>
        <w:ind w:left="851" w:hanging="567"/>
        <w:jc w:val="left"/>
      </w:pPr>
      <w:r w:rsidRPr="00FA5CFF">
        <w:t>Opis struktury organizacyjnej i własnościowej po zakończeniu realizacji przedsięwzięcia</w:t>
      </w:r>
    </w:p>
    <w:p w14:paraId="4019AAA5" w14:textId="0E820571" w:rsidR="00A97DB9" w:rsidRPr="00FA5CFF" w:rsidRDefault="00A97DB9" w:rsidP="006A6300">
      <w:pPr>
        <w:pStyle w:val="Nagwek3"/>
        <w:ind w:left="851" w:hanging="567"/>
        <w:jc w:val="left"/>
      </w:pPr>
      <w:r w:rsidRPr="00FA5CFF">
        <w:t>Zachowanie trwałości projektu</w:t>
      </w:r>
    </w:p>
    <w:p w14:paraId="4019AAA6" w14:textId="77777777" w:rsidR="004170C7" w:rsidRPr="00795CAD" w:rsidRDefault="002B5A4C" w:rsidP="006A6300">
      <w:pPr>
        <w:pStyle w:val="Nagwek1"/>
        <w:keepLines w:val="0"/>
        <w:spacing w:before="480"/>
      </w:pPr>
      <w:r w:rsidRPr="00795CAD">
        <w:t xml:space="preserve">Plan finansowania przedsięwzięcia </w:t>
      </w:r>
    </w:p>
    <w:p w14:paraId="4019AAA7" w14:textId="05CEEC40" w:rsidR="00176EBB" w:rsidRPr="00FA5CFF" w:rsidRDefault="00176EBB" w:rsidP="006A6300">
      <w:pPr>
        <w:pStyle w:val="Nagwek2"/>
        <w:spacing w:line="276" w:lineRule="auto"/>
        <w:jc w:val="left"/>
      </w:pPr>
      <w:r w:rsidRPr="00FA5CFF">
        <w:t>Struktura i źródła finansowania kosztów kwalifikowanych i</w:t>
      </w:r>
      <w:r w:rsidR="00785E67">
        <w:t> </w:t>
      </w:r>
      <w:r w:rsidRPr="00FA5CFF">
        <w:t>niekwalifikowanych przedsięwzięcia z podziałem na lata realizacji inwestycji</w:t>
      </w:r>
    </w:p>
    <w:p w14:paraId="4019AAA8" w14:textId="6BE3D8E6" w:rsidR="00176EBB" w:rsidRPr="00FA5CFF" w:rsidRDefault="00176EBB" w:rsidP="006A6300">
      <w:pPr>
        <w:pStyle w:val="Nagwek2"/>
        <w:spacing w:line="276" w:lineRule="auto"/>
        <w:jc w:val="left"/>
      </w:pPr>
      <w:r w:rsidRPr="00FA5CFF">
        <w:t xml:space="preserve">Ocena zdolności beneficjenta i </w:t>
      </w:r>
      <w:r w:rsidR="00004B55" w:rsidRPr="00FA5CFF">
        <w:t xml:space="preserve">podmiotów upoważnionych do ponoszenia wydatków kwalifikowanych </w:t>
      </w:r>
      <w:r w:rsidRPr="00FA5CFF">
        <w:t>(</w:t>
      </w:r>
      <w:r w:rsidRPr="00FA5CFF">
        <w:rPr>
          <w:i/>
        </w:rPr>
        <w:t>o ile dotyczy)</w:t>
      </w:r>
      <w:r w:rsidRPr="00FA5CFF">
        <w:t xml:space="preserve"> do zapewnienia wkładu własnego</w:t>
      </w:r>
    </w:p>
    <w:p w14:paraId="4019AAA9" w14:textId="63BCE357" w:rsidR="00176EBB" w:rsidRPr="00FA5CFF" w:rsidRDefault="00176EBB" w:rsidP="006A6300">
      <w:pPr>
        <w:pStyle w:val="Nagwek2"/>
        <w:spacing w:line="276" w:lineRule="auto"/>
        <w:jc w:val="left"/>
      </w:pPr>
      <w:r w:rsidRPr="00FA5CFF">
        <w:t>Przewidywane sposoby i ocena realności ustanowienia zabezpieczeń dla zwrotnych źródeł finansowania inwestycji (z uwzględnieniem wyników analizy ryzyka)</w:t>
      </w:r>
    </w:p>
    <w:p w14:paraId="4019AAAA" w14:textId="77777777" w:rsidR="004170C7" w:rsidRPr="00795CAD" w:rsidRDefault="002B5A4C" w:rsidP="006A6300">
      <w:pPr>
        <w:pStyle w:val="Nagwek1"/>
        <w:spacing w:before="480"/>
      </w:pPr>
      <w:r w:rsidRPr="00795CAD">
        <w:t xml:space="preserve">Analiza finansowa </w:t>
      </w:r>
      <w:r w:rsidR="00176EBB" w:rsidRPr="00795CAD">
        <w:t>i analiza trwałości</w:t>
      </w:r>
    </w:p>
    <w:p w14:paraId="4019AAAB" w14:textId="46F1813E" w:rsidR="00176EBB" w:rsidRPr="00FA5CFF" w:rsidRDefault="00176EBB" w:rsidP="006A6300">
      <w:pPr>
        <w:pStyle w:val="Nagwek2"/>
        <w:spacing w:line="276" w:lineRule="auto"/>
        <w:jc w:val="left"/>
      </w:pPr>
      <w:r w:rsidRPr="00FA5CFF">
        <w:t>Założenia makroekonomiczne, metodyka analizy finansowej i analizy trwałości</w:t>
      </w:r>
    </w:p>
    <w:p w14:paraId="4019AAAC" w14:textId="1EEBB478" w:rsidR="00176EBB" w:rsidRPr="00FA5CFF" w:rsidRDefault="00BE0491" w:rsidP="006A6300">
      <w:pPr>
        <w:pStyle w:val="Nagwek2"/>
        <w:spacing w:line="276" w:lineRule="auto"/>
        <w:jc w:val="left"/>
      </w:pPr>
      <w:r>
        <w:t xml:space="preserve">Prognoza przychodów i kosztów w okresie odniesienia dla </w:t>
      </w:r>
      <w:r w:rsidR="00176EBB" w:rsidRPr="00FA5CFF">
        <w:t>scenariusza bez projektu</w:t>
      </w:r>
      <w:r w:rsidR="00002611" w:rsidRPr="00FA5CFF">
        <w:t xml:space="preserve"> </w:t>
      </w:r>
      <w:r w:rsidR="00176EBB" w:rsidRPr="00FA5CFF">
        <w:t>i scenariusza z projektem</w:t>
      </w:r>
    </w:p>
    <w:p w14:paraId="4019AAAD" w14:textId="38FDF42F" w:rsidR="00176EBB" w:rsidRPr="00FA5CFF" w:rsidRDefault="00176EBB" w:rsidP="006A6300">
      <w:pPr>
        <w:pStyle w:val="Nagwek3"/>
        <w:ind w:left="993" w:hanging="709"/>
        <w:jc w:val="left"/>
      </w:pPr>
      <w:r w:rsidRPr="00FA5CFF">
        <w:rPr>
          <w:rFonts w:eastAsia="Arial"/>
        </w:rPr>
        <w:lastRenderedPageBreak/>
        <w:t xml:space="preserve">Założenia i </w:t>
      </w:r>
      <w:r w:rsidRPr="00FA5CFF">
        <w:t>prognozy kosztów operacyjnych (wg ich rodzajów) oraz pozostałych przychodów i kosztów operacyjnych</w:t>
      </w:r>
    </w:p>
    <w:p w14:paraId="4019AAAE" w14:textId="4997A83B" w:rsidR="00176EBB" w:rsidRPr="00FA5CFF" w:rsidRDefault="00176EBB" w:rsidP="006A6300">
      <w:pPr>
        <w:pStyle w:val="Nagwek3"/>
        <w:ind w:left="993" w:hanging="709"/>
        <w:jc w:val="left"/>
      </w:pPr>
      <w:r w:rsidRPr="00FA5CFF">
        <w:t>Prognoza przychodów, w tym strategia cenowa</w:t>
      </w:r>
    </w:p>
    <w:p w14:paraId="4019AAAF" w14:textId="650A8392" w:rsidR="00176EBB" w:rsidRPr="00FA5CFF" w:rsidRDefault="00176EBB" w:rsidP="006A6300">
      <w:pPr>
        <w:pStyle w:val="Nagwek3"/>
        <w:ind w:left="993" w:hanging="709"/>
        <w:jc w:val="left"/>
      </w:pPr>
      <w:r w:rsidRPr="00FA5CFF">
        <w:t>Zapotrzebowanie na kapitał obrotowy</w:t>
      </w:r>
    </w:p>
    <w:p w14:paraId="4019AAB0" w14:textId="0F5EE1CB" w:rsidR="00176EBB" w:rsidRPr="00FA5CFF" w:rsidRDefault="00176EBB" w:rsidP="006A6300">
      <w:pPr>
        <w:pStyle w:val="Nagwek3"/>
        <w:ind w:left="993" w:hanging="709"/>
        <w:jc w:val="left"/>
      </w:pPr>
      <w:r w:rsidRPr="00FA5CFF">
        <w:rPr>
          <w:rFonts w:eastAsia="Arial"/>
        </w:rPr>
        <w:t xml:space="preserve">Prefinansowanie wydatków związanych z projektem </w:t>
      </w:r>
      <w:r w:rsidR="00DF0005" w:rsidRPr="00FA5CFF">
        <w:rPr>
          <w:rFonts w:eastAsia="Arial"/>
        </w:rPr>
        <w:t>(jeśli dotyczy)</w:t>
      </w:r>
    </w:p>
    <w:p w14:paraId="4019AAB1" w14:textId="5E2B2341" w:rsidR="00176EBB" w:rsidRPr="00FA5CFF" w:rsidRDefault="00176EBB" w:rsidP="006A6300">
      <w:pPr>
        <w:pStyle w:val="Nagwek2"/>
        <w:spacing w:line="276" w:lineRule="auto"/>
        <w:jc w:val="left"/>
      </w:pPr>
      <w:r w:rsidRPr="00FA5CFF">
        <w:t>Założenia analizy finansowej i analizy finansowej efektywności przedsięwzięcia</w:t>
      </w:r>
    </w:p>
    <w:p w14:paraId="4019AAB4" w14:textId="38293430" w:rsidR="00176EBB" w:rsidRPr="00FA5CFF" w:rsidRDefault="00176EBB" w:rsidP="006A6300">
      <w:pPr>
        <w:pStyle w:val="Nagwek2"/>
        <w:spacing w:line="276" w:lineRule="auto"/>
        <w:jc w:val="left"/>
      </w:pPr>
      <w:r w:rsidRPr="00FA5CFF">
        <w:t xml:space="preserve">Obliczenie maksymalnego wkładu funduszy UE </w:t>
      </w:r>
      <w:r w:rsidR="00DF0005" w:rsidRPr="00FA5CFF">
        <w:t>zgodnie z intensywnością dofinansowania dopuszczoną w Programie Fundusze Europejskie na Infrastrukturę, Klimat, Środowisko 2021-2027 działanie FENX.01.03</w:t>
      </w:r>
    </w:p>
    <w:p w14:paraId="4019AAB5" w14:textId="55283EE6" w:rsidR="00176EBB" w:rsidRPr="00FA5CFF" w:rsidRDefault="00176EBB" w:rsidP="006A6300">
      <w:pPr>
        <w:pStyle w:val="Nagwek2"/>
        <w:spacing w:line="276" w:lineRule="auto"/>
        <w:jc w:val="left"/>
      </w:pPr>
      <w:r w:rsidRPr="00FA5CFF">
        <w:t>Analiza finansowej efektywności przedsięwzięcia</w:t>
      </w:r>
    </w:p>
    <w:p w14:paraId="5094AE48" w14:textId="314BA499" w:rsidR="00795CAD" w:rsidRDefault="00706251" w:rsidP="006A6300">
      <w:pPr>
        <w:pStyle w:val="Nagwek3"/>
        <w:ind w:left="993" w:hanging="709"/>
        <w:jc w:val="left"/>
      </w:pPr>
      <w:r w:rsidRPr="00FA5CFF">
        <w:t>O</w:t>
      </w:r>
      <w:r w:rsidR="00176EBB" w:rsidRPr="00FA5CFF">
        <w:t>bliczenie zwrotu z inwestycji (FNPV/C i FIRR/C bez i z</w:t>
      </w:r>
      <w:r w:rsidR="004600D4" w:rsidRPr="00FA5CFF">
        <w:t>e</w:t>
      </w:r>
      <w:r w:rsidR="00176EBB" w:rsidRPr="00FA5CFF">
        <w:t xml:space="preserve"> wsparciem UE)</w:t>
      </w:r>
    </w:p>
    <w:p w14:paraId="4019AAB7" w14:textId="147C6358" w:rsidR="00176EBB" w:rsidRPr="00795CAD" w:rsidRDefault="00E11F0F" w:rsidP="006A6300">
      <w:pPr>
        <w:pStyle w:val="Nagwek3"/>
        <w:ind w:left="993" w:hanging="709"/>
        <w:jc w:val="left"/>
      </w:pPr>
      <w:r>
        <w:t>Obliczenie zwrotu z kapitału krajowego (FNPV/K i FRR/R bez i ze wsparciem UE) – dotyczy projektów o wartości 50 mln PLN i powyżej</w:t>
      </w:r>
    </w:p>
    <w:p w14:paraId="4019AAB8" w14:textId="5D5A37C4" w:rsidR="00176EBB" w:rsidRPr="00FA5CFF" w:rsidRDefault="00176EBB" w:rsidP="006A6300">
      <w:pPr>
        <w:pStyle w:val="Nagwek2"/>
        <w:spacing w:line="276" w:lineRule="auto"/>
        <w:jc w:val="left"/>
      </w:pPr>
      <w:r w:rsidRPr="00FA5CFF">
        <w:t xml:space="preserve">Prognoza sprawozdań finansowych beneficjenta i </w:t>
      </w:r>
      <w:r w:rsidR="004600D4" w:rsidRPr="00FA5CFF">
        <w:t xml:space="preserve">podmiotów upoważnionych do ponoszenia wydatków kwalifikowanych </w:t>
      </w:r>
      <w:r w:rsidR="00706251" w:rsidRPr="00FA5CFF">
        <w:t>(</w:t>
      </w:r>
      <w:r w:rsidRPr="00FA5CFF">
        <w:rPr>
          <w:i/>
        </w:rPr>
        <w:t>o ile dotyczy</w:t>
      </w:r>
      <w:r w:rsidR="00706251" w:rsidRPr="00FA5CFF">
        <w:rPr>
          <w:i/>
        </w:rPr>
        <w:t>)</w:t>
      </w:r>
      <w:r w:rsidR="004600D4" w:rsidRPr="00FA5CFF">
        <w:rPr>
          <w:i/>
        </w:rPr>
        <w:t xml:space="preserve"> </w:t>
      </w:r>
      <w:r w:rsidRPr="00FA5CFF">
        <w:t>i ich analiza wskaźnikowa</w:t>
      </w:r>
    </w:p>
    <w:p w14:paraId="32ABCB0E" w14:textId="25EBE8E8" w:rsidR="00DF0005" w:rsidRPr="00FA5CFF" w:rsidRDefault="00176EBB" w:rsidP="006A6300">
      <w:pPr>
        <w:pStyle w:val="Nagwek2"/>
        <w:spacing w:line="276" w:lineRule="auto"/>
        <w:jc w:val="left"/>
      </w:pPr>
      <w:r w:rsidRPr="00FA5CFF">
        <w:t xml:space="preserve">Ocena prognoz sprawozdań finansowych beneficjenta i </w:t>
      </w:r>
      <w:r w:rsidR="001C671C" w:rsidRPr="00FA5CFF">
        <w:t xml:space="preserve">podmiotów upoważnionych do ponoszenia wydatków kwalifikowanych </w:t>
      </w:r>
      <w:r w:rsidR="00706251" w:rsidRPr="00FA5CFF">
        <w:rPr>
          <w:i/>
        </w:rPr>
        <w:t>(</w:t>
      </w:r>
      <w:r w:rsidRPr="00FA5CFF">
        <w:rPr>
          <w:i/>
        </w:rPr>
        <w:t>o ile dotyczy</w:t>
      </w:r>
      <w:r w:rsidR="00706251" w:rsidRPr="00FA5CFF">
        <w:rPr>
          <w:i/>
        </w:rPr>
        <w:t>)</w:t>
      </w:r>
      <w:r w:rsidRPr="00FA5CFF">
        <w:t>, w</w:t>
      </w:r>
      <w:r w:rsidR="000B4B0A">
        <w:t> </w:t>
      </w:r>
      <w:r w:rsidRPr="00FA5CFF">
        <w:t>kontekście potwierdzenia ich trwałości finansowej w fazie operacyjnej</w:t>
      </w:r>
    </w:p>
    <w:p w14:paraId="0C62CEBA" w14:textId="26D657C3" w:rsidR="00E11F0F" w:rsidRPr="00795CAD" w:rsidRDefault="00E11F0F" w:rsidP="006A6300">
      <w:pPr>
        <w:pStyle w:val="Nagwek1"/>
        <w:spacing w:before="480"/>
      </w:pPr>
      <w:r w:rsidRPr="00795CAD">
        <w:t xml:space="preserve">Analiza kosztów i korzyści </w:t>
      </w:r>
    </w:p>
    <w:p w14:paraId="3721D086" w14:textId="6AEF3F4D" w:rsidR="00E11F0F" w:rsidRPr="00A4205F" w:rsidRDefault="00E11F0F" w:rsidP="006A6300">
      <w:pPr>
        <w:pStyle w:val="Nagwek2"/>
        <w:spacing w:line="276" w:lineRule="auto"/>
        <w:jc w:val="left"/>
      </w:pPr>
      <w:r w:rsidRPr="00A4205F">
        <w:t>Metodyka analizy kosztów i korzyści (analizy ekonomicznej)</w:t>
      </w:r>
    </w:p>
    <w:p w14:paraId="27497E5F" w14:textId="2783B60C" w:rsidR="00E11F0F" w:rsidRPr="00A4205F" w:rsidRDefault="00E11F0F" w:rsidP="006A6300">
      <w:pPr>
        <w:pStyle w:val="Nagwek2"/>
        <w:spacing w:line="276" w:lineRule="auto"/>
        <w:jc w:val="left"/>
      </w:pPr>
      <w:r w:rsidRPr="00A4205F">
        <w:t>Analiza kosztów związanych z realizacją przedsięwzięcia z punktu widzenia społeczności (jakościowa i ilościowa)</w:t>
      </w:r>
    </w:p>
    <w:p w14:paraId="4981C63F" w14:textId="64631374" w:rsidR="00E11F0F" w:rsidRPr="00A4205F" w:rsidRDefault="00E11F0F" w:rsidP="006A6300">
      <w:pPr>
        <w:pStyle w:val="Nagwek2"/>
        <w:spacing w:line="276" w:lineRule="auto"/>
        <w:jc w:val="left"/>
      </w:pPr>
      <w:r w:rsidRPr="00A4205F">
        <w:t>Analiza korzyści związanych z realizacją przedsięwzięcia z punktu widzenia społeczności (jakościowa i ilościowa)</w:t>
      </w:r>
      <w:r>
        <w:t>, w tym skutki przedsięwzięcia dla zatrudnienia</w:t>
      </w:r>
    </w:p>
    <w:p w14:paraId="129F4085" w14:textId="07F1A345" w:rsidR="00E11F0F" w:rsidRPr="00A4205F" w:rsidRDefault="00E11F0F" w:rsidP="006A6300">
      <w:pPr>
        <w:pStyle w:val="Nagwek2"/>
        <w:spacing w:line="276" w:lineRule="auto"/>
        <w:jc w:val="left"/>
      </w:pPr>
      <w:r w:rsidRPr="00A4205F">
        <w:rPr>
          <w:rFonts w:eastAsia="Arial"/>
        </w:rPr>
        <w:t>Analiza ekonomiczna</w:t>
      </w:r>
      <w:r>
        <w:rPr>
          <w:rFonts w:eastAsia="Arial"/>
        </w:rPr>
        <w:t xml:space="preserve"> </w:t>
      </w:r>
      <w:r w:rsidRPr="00CA4261">
        <w:rPr>
          <w:rFonts w:eastAsia="Arial"/>
          <w:i/>
        </w:rPr>
        <w:t>(</w:t>
      </w:r>
      <w:r w:rsidR="00F64A43" w:rsidRPr="00CA4261">
        <w:rPr>
          <w:rFonts w:eastAsia="Arial"/>
          <w:i/>
        </w:rPr>
        <w:t>dotyczy projektów o wartości 50 mln PLN i powyżej</w:t>
      </w:r>
      <w:r w:rsidRPr="00CA4261">
        <w:rPr>
          <w:rFonts w:eastAsia="Arial"/>
          <w:i/>
        </w:rPr>
        <w:t>)</w:t>
      </w:r>
    </w:p>
    <w:p w14:paraId="027AFBCC" w14:textId="320C6E84" w:rsidR="00E11F0F" w:rsidRPr="00A4205F" w:rsidRDefault="00E11F0F" w:rsidP="006A6300">
      <w:pPr>
        <w:pStyle w:val="Nagwek3"/>
        <w:ind w:left="993" w:hanging="709"/>
        <w:jc w:val="left"/>
      </w:pPr>
      <w:r w:rsidRPr="00A4205F">
        <w:t xml:space="preserve">Korekty przepływów pieniężnych przedsięwzięcia </w:t>
      </w:r>
    </w:p>
    <w:p w14:paraId="431A6D8B" w14:textId="60A5CAFC" w:rsidR="00E11F0F" w:rsidRPr="00A4205F" w:rsidRDefault="00E11F0F" w:rsidP="006A6300">
      <w:pPr>
        <w:pStyle w:val="Nagwek4"/>
        <w:spacing w:line="276" w:lineRule="auto"/>
        <w:ind w:left="1276" w:hanging="709"/>
        <w:jc w:val="left"/>
      </w:pPr>
      <w:r w:rsidRPr="00A4205F">
        <w:t>Efekty fiskalne</w:t>
      </w:r>
    </w:p>
    <w:p w14:paraId="79BC09ED" w14:textId="0F956944" w:rsidR="00E11F0F" w:rsidRPr="00A4205F" w:rsidRDefault="00720991" w:rsidP="006A6300">
      <w:pPr>
        <w:pStyle w:val="Nagwek4"/>
        <w:spacing w:line="276" w:lineRule="auto"/>
        <w:ind w:left="1276" w:hanging="709"/>
        <w:jc w:val="left"/>
      </w:pPr>
      <w:r>
        <w:t>Efekty zewnętrzne wynikające</w:t>
      </w:r>
      <w:r w:rsidR="00E11F0F" w:rsidRPr="00A4205F">
        <w:t xml:space="preserve"> z k</w:t>
      </w:r>
      <w:r>
        <w:t>osztów i korzyści zewnętrznych zidentyfikowane</w:t>
      </w:r>
      <w:r w:rsidR="00E11F0F" w:rsidRPr="00A4205F">
        <w:t xml:space="preserve"> z punktu widzenia społeczności</w:t>
      </w:r>
    </w:p>
    <w:p w14:paraId="3DD5B7C4" w14:textId="0A663313" w:rsidR="00E11F0F" w:rsidRPr="00A4205F" w:rsidRDefault="00E11F0F" w:rsidP="006A6300">
      <w:pPr>
        <w:pStyle w:val="Nagwek4"/>
        <w:spacing w:line="276" w:lineRule="auto"/>
        <w:ind w:left="-1134" w:firstLine="1701"/>
        <w:jc w:val="left"/>
      </w:pPr>
      <w:r w:rsidRPr="00A4205F">
        <w:lastRenderedPageBreak/>
        <w:t>Przekształcenie cen rynkowych w ceny rozrachunkowe</w:t>
      </w:r>
    </w:p>
    <w:p w14:paraId="4AF7BEFB" w14:textId="5C112FDC" w:rsidR="00E11F0F" w:rsidRPr="00A4205F" w:rsidRDefault="00E11F0F" w:rsidP="006A6300">
      <w:pPr>
        <w:pStyle w:val="Nagwek4"/>
        <w:spacing w:line="276" w:lineRule="auto"/>
        <w:ind w:left="-1134" w:firstLine="1701"/>
        <w:jc w:val="left"/>
      </w:pPr>
      <w:r w:rsidRPr="00A4205F">
        <w:t>Inne korekty</w:t>
      </w:r>
    </w:p>
    <w:p w14:paraId="1D6688CA" w14:textId="3039C8D1" w:rsidR="00E11F0F" w:rsidRPr="00720991" w:rsidRDefault="00E11F0F" w:rsidP="006A6300">
      <w:pPr>
        <w:pStyle w:val="Nagwek3"/>
        <w:ind w:left="993" w:hanging="709"/>
        <w:jc w:val="left"/>
      </w:pPr>
      <w:r w:rsidRPr="00720991">
        <w:t>Obliczenie ekonomicznej wartości bieżącej netto (ENPV) i ekonomicznej wewnętrznej stopy zwrotu (ERR)</w:t>
      </w:r>
    </w:p>
    <w:p w14:paraId="4019AAC9" w14:textId="5D61CF83" w:rsidR="004170C7" w:rsidRPr="00795CAD" w:rsidRDefault="002B5A4C" w:rsidP="006A6300">
      <w:pPr>
        <w:pStyle w:val="Nagwek1"/>
        <w:spacing w:before="480"/>
      </w:pPr>
      <w:r w:rsidRPr="00795CAD">
        <w:t xml:space="preserve">Analiza </w:t>
      </w:r>
      <w:r w:rsidR="00A1589D" w:rsidRPr="00795CAD">
        <w:t xml:space="preserve">ryzyka i </w:t>
      </w:r>
      <w:r w:rsidR="00126E67" w:rsidRPr="00795CAD">
        <w:t>wrażliwości</w:t>
      </w:r>
    </w:p>
    <w:p w14:paraId="4019AACA" w14:textId="6CAB3A8D" w:rsidR="00A1589D" w:rsidRPr="00FA5CFF" w:rsidRDefault="00A1589D" w:rsidP="006A6300">
      <w:pPr>
        <w:pStyle w:val="Nagwek2"/>
        <w:spacing w:line="276" w:lineRule="auto"/>
        <w:jc w:val="left"/>
      </w:pPr>
      <w:r w:rsidRPr="00FA5CFF">
        <w:t>Analiza wrażliwości</w:t>
      </w:r>
    </w:p>
    <w:p w14:paraId="4019AACB" w14:textId="6E4A060D" w:rsidR="00A1589D" w:rsidRPr="00FA5CFF" w:rsidRDefault="00A1589D" w:rsidP="006A6300">
      <w:pPr>
        <w:pStyle w:val="Nagwek3"/>
        <w:ind w:left="993" w:hanging="709"/>
        <w:jc w:val="left"/>
      </w:pPr>
      <w:r w:rsidRPr="00FA5CFF">
        <w:t>Badan</w:t>
      </w:r>
      <w:r w:rsidR="00B75428">
        <w:t>i</w:t>
      </w:r>
      <w:r w:rsidRPr="00FA5CFF">
        <w:t>e zmienn</w:t>
      </w:r>
      <w:r w:rsidR="00DC796E" w:rsidRPr="00FA5CFF">
        <w:t>ych</w:t>
      </w:r>
      <w:r w:rsidRPr="00FA5CFF">
        <w:t xml:space="preserve"> i ich wpływ na wskaźniki </w:t>
      </w:r>
      <w:r w:rsidR="009842F9">
        <w:t xml:space="preserve">efektywności </w:t>
      </w:r>
      <w:r w:rsidRPr="00FA5CFF">
        <w:t xml:space="preserve">finansowej </w:t>
      </w:r>
      <w:r w:rsidRPr="00B75428">
        <w:t>(</w:t>
      </w:r>
      <w:r w:rsidRPr="00B75428">
        <w:rPr>
          <w:i/>
        </w:rPr>
        <w:t>o</w:t>
      </w:r>
      <w:r w:rsidR="00785E67">
        <w:rPr>
          <w:i/>
        </w:rPr>
        <w:t> </w:t>
      </w:r>
      <w:r w:rsidRPr="00B75428">
        <w:rPr>
          <w:i/>
        </w:rPr>
        <w:t>ile dotyczy)</w:t>
      </w:r>
      <w:r w:rsidR="00E11F0F">
        <w:rPr>
          <w:i/>
        </w:rPr>
        <w:t xml:space="preserve">, </w:t>
      </w:r>
      <w:r w:rsidR="00E11F0F">
        <w:t xml:space="preserve">a w przypadku projektów o wartości 50 mln PLN i powyżej także ekonomicznej </w:t>
      </w:r>
      <w:r w:rsidRPr="00FA5CFF">
        <w:t>efektywności przedsięwzięcia oraz jego trwałość finansową</w:t>
      </w:r>
    </w:p>
    <w:p w14:paraId="4019AACC" w14:textId="751B3C5E" w:rsidR="00A1589D" w:rsidRPr="00FA5CFF" w:rsidRDefault="00A1589D" w:rsidP="006A6300">
      <w:pPr>
        <w:pStyle w:val="Nagwek3"/>
        <w:ind w:left="993" w:hanging="709"/>
        <w:jc w:val="left"/>
      </w:pPr>
      <w:r w:rsidRPr="00FA5CFF">
        <w:t>Zestawienie zmiennych zidentyfikowanych jako krytyczne</w:t>
      </w:r>
    </w:p>
    <w:p w14:paraId="4019AACD" w14:textId="0AA54775" w:rsidR="00A1589D" w:rsidRPr="00FA5CFF" w:rsidRDefault="00A1589D" w:rsidP="006A6300">
      <w:pPr>
        <w:pStyle w:val="Nagwek3"/>
        <w:ind w:left="993" w:hanging="709"/>
        <w:jc w:val="left"/>
      </w:pPr>
      <w:r w:rsidRPr="00FA5CFF">
        <w:t>Wartości progowe dla zmiennych krytycznych</w:t>
      </w:r>
    </w:p>
    <w:p w14:paraId="4019AACE" w14:textId="48C6B732" w:rsidR="00A1589D" w:rsidRPr="00FA5CFF" w:rsidRDefault="00A1589D" w:rsidP="006A6300">
      <w:pPr>
        <w:pStyle w:val="Nagwek2"/>
        <w:spacing w:line="276" w:lineRule="auto"/>
        <w:jc w:val="left"/>
      </w:pPr>
      <w:r w:rsidRPr="00FA5CFF">
        <w:rPr>
          <w:rFonts w:eastAsia="Arial"/>
        </w:rPr>
        <w:t xml:space="preserve">Jakościowa </w:t>
      </w:r>
      <w:r w:rsidRPr="00FA5CFF">
        <w:t>analiza ryzyka</w:t>
      </w:r>
    </w:p>
    <w:p w14:paraId="4019AACF" w14:textId="65DFFE8D" w:rsidR="00A1589D" w:rsidRPr="00FA5CFF" w:rsidRDefault="00A1589D" w:rsidP="006A6300">
      <w:pPr>
        <w:pStyle w:val="Nagwek3"/>
        <w:ind w:left="993" w:hanging="709"/>
        <w:jc w:val="left"/>
      </w:pPr>
      <w:r w:rsidRPr="00FA5CFF">
        <w:rPr>
          <w:rFonts w:eastAsia="Arial"/>
        </w:rPr>
        <w:t xml:space="preserve">Lista zidentyfikowanych </w:t>
      </w:r>
      <w:proofErr w:type="spellStart"/>
      <w:r w:rsidRPr="00FA5CFF">
        <w:rPr>
          <w:rFonts w:eastAsia="Arial"/>
        </w:rPr>
        <w:t>ryzyk</w:t>
      </w:r>
      <w:proofErr w:type="spellEnd"/>
    </w:p>
    <w:p w14:paraId="4019AAD2" w14:textId="7439462A" w:rsidR="00A1589D" w:rsidRPr="00FA5CFF" w:rsidRDefault="00A1589D" w:rsidP="006A6300">
      <w:pPr>
        <w:pStyle w:val="Nagwek3"/>
        <w:ind w:left="993" w:hanging="709"/>
        <w:jc w:val="left"/>
        <w:rPr>
          <w:rFonts w:eastAsia="Arial"/>
        </w:rPr>
      </w:pPr>
      <w:r w:rsidRPr="00FA5CFF">
        <w:rPr>
          <w:rFonts w:eastAsia="Arial"/>
        </w:rPr>
        <w:t>Matryca ryzyka (przyczyny wystąpienia ryzyka, ew. związek z analizą</w:t>
      </w:r>
      <w:r w:rsidR="000B4B0A">
        <w:rPr>
          <w:rFonts w:eastAsia="Arial"/>
        </w:rPr>
        <w:t xml:space="preserve"> </w:t>
      </w:r>
      <w:r w:rsidRPr="00FA5CFF">
        <w:rPr>
          <w:rFonts w:eastAsia="Arial"/>
        </w:rPr>
        <w:t xml:space="preserve">wrażliwości, skutki i prawdopodobieństwo wystąpienia, poziom ryzyka, </w:t>
      </w:r>
      <w:proofErr w:type="spellStart"/>
      <w:r w:rsidRPr="00FA5CFF">
        <w:rPr>
          <w:rFonts w:eastAsia="Arial"/>
        </w:rPr>
        <w:t>mitygacja</w:t>
      </w:r>
      <w:proofErr w:type="spellEnd"/>
      <w:r w:rsidRPr="00FA5CFF">
        <w:rPr>
          <w:rFonts w:eastAsia="Arial"/>
        </w:rPr>
        <w:t xml:space="preserve"> ryzyka, ryzyka rezydualne)</w:t>
      </w:r>
    </w:p>
    <w:p w14:paraId="4019AAD3" w14:textId="070BFD54" w:rsidR="00A1589D" w:rsidRPr="00FA5CFF" w:rsidRDefault="00A1589D" w:rsidP="006A6300">
      <w:pPr>
        <w:pStyle w:val="Nagwek3"/>
        <w:ind w:left="993" w:hanging="709"/>
        <w:jc w:val="left"/>
        <w:rPr>
          <w:rFonts w:eastAsia="Arial"/>
        </w:rPr>
      </w:pPr>
      <w:r w:rsidRPr="00FA5CFF">
        <w:rPr>
          <w:rFonts w:eastAsia="Arial"/>
        </w:rPr>
        <w:t xml:space="preserve">Interpretacja matrycy </w:t>
      </w:r>
      <w:proofErr w:type="spellStart"/>
      <w:r w:rsidRPr="00FA5CFF">
        <w:rPr>
          <w:rFonts w:eastAsia="Arial"/>
        </w:rPr>
        <w:t>ryzyk</w:t>
      </w:r>
      <w:proofErr w:type="spellEnd"/>
    </w:p>
    <w:p w14:paraId="4019AAD4" w14:textId="726F5506" w:rsidR="00004B55" w:rsidRPr="00FA5CFF" w:rsidRDefault="00004B55" w:rsidP="006A6300">
      <w:pPr>
        <w:pStyle w:val="Nagwek2"/>
        <w:spacing w:line="276" w:lineRule="auto"/>
        <w:jc w:val="left"/>
      </w:pPr>
      <w:r w:rsidRPr="00FA5CFF">
        <w:t>Ilościowa analiza ryzyka (</w:t>
      </w:r>
      <w:r w:rsidRPr="00FA5CFF">
        <w:rPr>
          <w:i/>
        </w:rPr>
        <w:t>o ile dotyczy</w:t>
      </w:r>
      <w:r w:rsidRPr="00FA5CFF">
        <w:t>)</w:t>
      </w:r>
    </w:p>
    <w:p w14:paraId="4019AAD5" w14:textId="2385E910" w:rsidR="002A406B" w:rsidRPr="00FA5CFF" w:rsidRDefault="002A406B" w:rsidP="006A6300">
      <w:pPr>
        <w:pStyle w:val="Nagwek2"/>
        <w:spacing w:line="276" w:lineRule="auto"/>
        <w:jc w:val="left"/>
      </w:pPr>
      <w:r w:rsidRPr="00FA5CFF">
        <w:t xml:space="preserve">Działania zapobiegające wystąpieniu zidentyfikowanych </w:t>
      </w:r>
      <w:proofErr w:type="spellStart"/>
      <w:r w:rsidRPr="00FA5CFF">
        <w:t>ryzyk</w:t>
      </w:r>
      <w:proofErr w:type="spellEnd"/>
      <w:r w:rsidRPr="00FA5CFF">
        <w:t xml:space="preserve"> lub ograniczające skutki ich wystąpienia</w:t>
      </w:r>
    </w:p>
    <w:p w14:paraId="0B02E02A" w14:textId="77777777" w:rsidR="00E87B22" w:rsidRDefault="00E87B22" w:rsidP="006A6300">
      <w:pPr>
        <w:spacing w:after="160" w:line="276" w:lineRule="auto"/>
        <w:ind w:left="0" w:firstLine="0"/>
        <w:jc w:val="left"/>
        <w:rPr>
          <w:rFonts w:ascii="Open Sans Light" w:hAnsi="Open Sans Light" w:cs="Open Sans Light"/>
          <w:b/>
          <w:sz w:val="22"/>
        </w:rPr>
      </w:pPr>
      <w:r>
        <w:rPr>
          <w:rFonts w:ascii="Open Sans Light" w:hAnsi="Open Sans Light" w:cs="Open Sans Light"/>
          <w:b/>
          <w:sz w:val="22"/>
        </w:rPr>
        <w:br w:type="page"/>
      </w:r>
    </w:p>
    <w:p w14:paraId="4019AAD7" w14:textId="4C9F8686" w:rsidR="00413BB4" w:rsidRDefault="00413BB4"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b/>
          <w:sz w:val="22"/>
        </w:rPr>
        <w:lastRenderedPageBreak/>
        <w:t xml:space="preserve">UWAGA: zgodnie z </w:t>
      </w:r>
      <w:r w:rsidRPr="00725E11">
        <w:rPr>
          <w:rFonts w:ascii="Open Sans Light" w:hAnsi="Open Sans Light" w:cs="Open Sans Light"/>
          <w:b/>
          <w:i/>
          <w:sz w:val="22"/>
        </w:rPr>
        <w:t xml:space="preserve">Wytycznymi </w:t>
      </w:r>
      <w:r w:rsidR="00685FF3" w:rsidRPr="00725E11">
        <w:rPr>
          <w:rFonts w:ascii="Open Sans Light" w:hAnsi="Open Sans Light" w:cs="Open Sans Light"/>
          <w:b/>
          <w:i/>
          <w:sz w:val="22"/>
        </w:rPr>
        <w:t>dotyczącymi zagadnień związanych z przygotowaniem projektów inwestycyjnych, w tym hybrydowych na lata 2021-2027</w:t>
      </w:r>
      <w:r w:rsidR="00EE09D2" w:rsidRPr="00725E11">
        <w:rPr>
          <w:rFonts w:ascii="Open Sans Light" w:hAnsi="Open Sans Light" w:cs="Open Sans Light"/>
          <w:b/>
          <w:i/>
          <w:sz w:val="22"/>
        </w:rPr>
        <w:t xml:space="preserve"> </w:t>
      </w:r>
      <w:r w:rsidR="00FC4A9E" w:rsidRPr="00725E11">
        <w:rPr>
          <w:rFonts w:ascii="Open Sans Light" w:hAnsi="Open Sans Light" w:cs="Open Sans Light"/>
          <w:b/>
          <w:i/>
          <w:sz w:val="22"/>
        </w:rPr>
        <w:t>(</w:t>
      </w:r>
      <w:hyperlink r:id="rId12" w:history="1">
        <w:r w:rsidR="00FC4A9E" w:rsidRPr="00725E11">
          <w:rPr>
            <w:rStyle w:val="Hipercze"/>
            <w:rFonts w:ascii="Open Sans Light" w:hAnsi="Open Sans Light" w:cs="Open Sans Light"/>
            <w:b/>
            <w:i/>
            <w:sz w:val="22"/>
          </w:rPr>
          <w:t>https://www.funduszeeuropejskie.gov.pl/media/115275/Wytyczne_PI_i_PH_21_27_5.pdf</w:t>
        </w:r>
      </w:hyperlink>
      <w:r w:rsidR="00FC4A9E" w:rsidRPr="00725E11">
        <w:rPr>
          <w:rFonts w:ascii="Open Sans Light" w:hAnsi="Open Sans Light" w:cs="Open Sans Light"/>
          <w:b/>
          <w:i/>
          <w:sz w:val="22"/>
        </w:rPr>
        <w:t xml:space="preserve">) </w:t>
      </w:r>
      <w:r w:rsidRPr="00725E11">
        <w:rPr>
          <w:rFonts w:ascii="Open Sans Light" w:hAnsi="Open Sans Light" w:cs="Open Sans Light"/>
          <w:b/>
          <w:sz w:val="22"/>
        </w:rPr>
        <w:t>część Studium Wykonalności stanowi załącznik obliczeniowy w formie arkusza kalkulacyjnego, który należy dołączyć do Studium Wykonalności w wersji elektronicznej w formie aktywnego modelu finansowego w formacie „xls”, „</w:t>
      </w:r>
      <w:proofErr w:type="spellStart"/>
      <w:r w:rsidRPr="00725E11">
        <w:rPr>
          <w:rFonts w:ascii="Open Sans Light" w:hAnsi="Open Sans Light" w:cs="Open Sans Light"/>
          <w:b/>
          <w:sz w:val="22"/>
        </w:rPr>
        <w:t>xlsx</w:t>
      </w:r>
      <w:proofErr w:type="spellEnd"/>
      <w:r w:rsidRPr="00725E11">
        <w:rPr>
          <w:rFonts w:ascii="Open Sans Light" w:hAnsi="Open Sans Light" w:cs="Open Sans Light"/>
          <w:b/>
          <w:sz w:val="22"/>
        </w:rPr>
        <w:t>”, „</w:t>
      </w:r>
      <w:proofErr w:type="spellStart"/>
      <w:r w:rsidRPr="00725E11">
        <w:rPr>
          <w:rFonts w:ascii="Open Sans Light" w:hAnsi="Open Sans Light" w:cs="Open Sans Light"/>
          <w:b/>
          <w:sz w:val="22"/>
        </w:rPr>
        <w:t>xlsm</w:t>
      </w:r>
      <w:proofErr w:type="spellEnd"/>
      <w:r w:rsidRPr="00725E11">
        <w:rPr>
          <w:rFonts w:ascii="Open Sans Light" w:hAnsi="Open Sans Light" w:cs="Open Sans Light"/>
          <w:b/>
          <w:sz w:val="22"/>
        </w:rPr>
        <w:t>” z odblokowanymi formułami.</w:t>
      </w:r>
    </w:p>
    <w:p w14:paraId="1EF8946E" w14:textId="77777777" w:rsidR="00B3725E" w:rsidRPr="00725E11" w:rsidRDefault="00B3725E" w:rsidP="006A6300">
      <w:pPr>
        <w:spacing w:before="240" w:after="120" w:line="276" w:lineRule="auto"/>
        <w:ind w:left="0" w:hanging="426"/>
        <w:jc w:val="left"/>
        <w:rPr>
          <w:rFonts w:ascii="Open Sans Light" w:hAnsi="Open Sans Light" w:cs="Open Sans Light"/>
          <w:b/>
          <w:sz w:val="22"/>
        </w:rPr>
      </w:pPr>
    </w:p>
    <w:p w14:paraId="240AFB9E" w14:textId="731ACB1E" w:rsidR="00653625" w:rsidRPr="00DF5E9B" w:rsidRDefault="00653625" w:rsidP="006A6300">
      <w:pPr>
        <w:pStyle w:val="Nagwek1"/>
        <w:numPr>
          <w:ilvl w:val="0"/>
          <w:numId w:val="0"/>
        </w:numPr>
        <w:ind w:left="432" w:hanging="1141"/>
        <w:rPr>
          <w:sz w:val="22"/>
        </w:rPr>
      </w:pPr>
      <w:r w:rsidRPr="00DF5E9B">
        <w:rPr>
          <w:sz w:val="22"/>
        </w:rPr>
        <w:t>DODATKOWE WYJAŚNIENIA</w:t>
      </w:r>
      <w:r w:rsidR="000B6006" w:rsidRPr="00DF5E9B">
        <w:rPr>
          <w:sz w:val="22"/>
        </w:rPr>
        <w:t xml:space="preserve"> do wymaganego zakresu Studium Wykonalności</w:t>
      </w:r>
      <w:r w:rsidRPr="00DF5E9B">
        <w:rPr>
          <w:sz w:val="22"/>
        </w:rPr>
        <w:t>:</w:t>
      </w:r>
    </w:p>
    <w:p w14:paraId="65EF2932" w14:textId="4D7F0A41" w:rsidR="00AE5161" w:rsidRDefault="00AE5161"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7.1.1</w:t>
      </w:r>
      <w:r>
        <w:rPr>
          <w:rFonts w:ascii="Open Sans Light" w:hAnsi="Open Sans Light" w:cs="Open Sans Light"/>
          <w:b/>
          <w:sz w:val="22"/>
        </w:rPr>
        <w:t>.</w:t>
      </w:r>
      <w:r w:rsidRPr="00725E11">
        <w:rPr>
          <w:rFonts w:ascii="Open Sans Light" w:hAnsi="Open Sans Light" w:cs="Open Sans Light"/>
          <w:b/>
          <w:sz w:val="22"/>
        </w:rPr>
        <w:t xml:space="preserve"> Sposób wdrożenia przez projekt celów polityki ochrony środowiska UE, w tym w</w:t>
      </w:r>
      <w:r>
        <w:rPr>
          <w:rFonts w:ascii="Open Sans Light" w:hAnsi="Open Sans Light" w:cs="Open Sans Light"/>
          <w:b/>
          <w:sz w:val="22"/>
        </w:rPr>
        <w:t> </w:t>
      </w:r>
      <w:r w:rsidRPr="00725E11">
        <w:rPr>
          <w:rFonts w:ascii="Open Sans Light" w:hAnsi="Open Sans Light" w:cs="Open Sans Light"/>
          <w:b/>
          <w:sz w:val="22"/>
        </w:rPr>
        <w:t>zakresie zrównoważonego rozwoju, efektywnej gospodarki zasobami, zachowania bioróżnorodności, zmian klimatu (zmniejszenie emisji gazów cieplarnianych, odporność na skutki zmian klimatu, itp.)</w:t>
      </w:r>
    </w:p>
    <w:p w14:paraId="6D3759DD" w14:textId="77777777" w:rsidR="00AE5161" w:rsidRPr="00725E11" w:rsidRDefault="00AE5161" w:rsidP="006A6300">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W analizie należy w syntetyczny sposób odnieść się do zapisów unijnych i krajowych dokumentów programowych, wskazując związek projektu z właściwymi celami, działaniami zapisanymi w przywołanych dokumentach., takich jak: </w:t>
      </w:r>
    </w:p>
    <w:p w14:paraId="7F7F60FA"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Europejski Zielony Ład - The </w:t>
      </w:r>
      <w:proofErr w:type="spellStart"/>
      <w:r w:rsidRPr="00725E11">
        <w:rPr>
          <w:rFonts w:ascii="Open Sans Light" w:hAnsi="Open Sans Light" w:cs="Open Sans Light"/>
          <w:sz w:val="22"/>
        </w:rPr>
        <w:t>European</w:t>
      </w:r>
      <w:proofErr w:type="spellEnd"/>
      <w:r w:rsidRPr="00725E11">
        <w:rPr>
          <w:rFonts w:ascii="Open Sans Light" w:hAnsi="Open Sans Light" w:cs="Open Sans Light"/>
          <w:sz w:val="22"/>
        </w:rPr>
        <w:t xml:space="preserve"> Green Deal i szereg wynikających z niego strategii szczegółowych; </w:t>
      </w:r>
    </w:p>
    <w:p w14:paraId="54B85406"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Ósmy program działań w zakresie środowiska do 2030 r. – 8. EAP; </w:t>
      </w:r>
    </w:p>
    <w:p w14:paraId="3E7C581A"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Agenda na rzecz zrównoważonego rozwoju 2030;</w:t>
      </w:r>
    </w:p>
    <w:p w14:paraId="434CA2D4"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Paryskie Porozumienie Klimatyczne;</w:t>
      </w:r>
    </w:p>
    <w:p w14:paraId="6E0F807F"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Polityka ekologiczna państwa 2030 – strategia rozwoju w obszarze środowiska i</w:t>
      </w:r>
      <w:r>
        <w:rPr>
          <w:rFonts w:ascii="Open Sans Light" w:hAnsi="Open Sans Light" w:cs="Open Sans Light"/>
          <w:sz w:val="22"/>
        </w:rPr>
        <w:t> </w:t>
      </w:r>
      <w:r w:rsidRPr="00725E11">
        <w:rPr>
          <w:rFonts w:ascii="Open Sans Light" w:hAnsi="Open Sans Light" w:cs="Open Sans Light"/>
          <w:sz w:val="22"/>
        </w:rPr>
        <w:t>gospodarki wodnej;</w:t>
      </w:r>
    </w:p>
    <w:p w14:paraId="63C16E0A"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Strategia na rzecz Odpowiedzialnego Rozwoju (SOR);</w:t>
      </w:r>
    </w:p>
    <w:p w14:paraId="0EA750AD" w14:textId="77777777" w:rsidR="00AE5161" w:rsidRPr="00725E11" w:rsidRDefault="00AE5161" w:rsidP="006A6300">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Krajowa Strategia Rozwoju Regionalnego 2030 </w:t>
      </w:r>
    </w:p>
    <w:p w14:paraId="1DB943CB" w14:textId="61160B41" w:rsidR="00AE5161" w:rsidRDefault="00AE5161" w:rsidP="006A6300">
      <w:pPr>
        <w:spacing w:before="240"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oraz do innych powiązanych z nimi dokumentów międzynarodowych, strategii i</w:t>
      </w:r>
      <w:r>
        <w:rPr>
          <w:rFonts w:ascii="Open Sans Light" w:hAnsi="Open Sans Light" w:cs="Open Sans Light"/>
          <w:sz w:val="22"/>
        </w:rPr>
        <w:t> </w:t>
      </w:r>
      <w:r w:rsidRPr="00725E11">
        <w:rPr>
          <w:rFonts w:ascii="Open Sans Light" w:hAnsi="Open Sans Light" w:cs="Open Sans Light"/>
          <w:sz w:val="22"/>
        </w:rPr>
        <w:t>programów, jak np. Konwencja o ochronie środowiska morskiego obszaru Morza Bałtyckiego, 1992; Krajowy program ochrony Wód Morskich</w:t>
      </w:r>
      <w:r>
        <w:rPr>
          <w:rFonts w:ascii="Open Sans Light" w:hAnsi="Open Sans Light" w:cs="Open Sans Light"/>
          <w:sz w:val="22"/>
        </w:rPr>
        <w:t>.</w:t>
      </w:r>
    </w:p>
    <w:p w14:paraId="25BAB061" w14:textId="0ED2D48C" w:rsidR="00AE5161" w:rsidRDefault="00AE5161"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7.1.2. Zgodność projektu z zasadą „nie czyń poważnych szkód” środowisku tj. do no </w:t>
      </w:r>
      <w:proofErr w:type="spellStart"/>
      <w:r w:rsidRPr="00725E11">
        <w:rPr>
          <w:rFonts w:ascii="Open Sans Light" w:hAnsi="Open Sans Light" w:cs="Open Sans Light"/>
          <w:b/>
          <w:sz w:val="22"/>
        </w:rPr>
        <w:t>significant</w:t>
      </w:r>
      <w:proofErr w:type="spellEnd"/>
      <w:r w:rsidRPr="00725E11">
        <w:rPr>
          <w:rFonts w:ascii="Open Sans Light" w:hAnsi="Open Sans Light" w:cs="Open Sans Light"/>
          <w:b/>
          <w:sz w:val="22"/>
        </w:rPr>
        <w:t xml:space="preserve"> </w:t>
      </w:r>
      <w:proofErr w:type="spellStart"/>
      <w:r w:rsidRPr="00725E11">
        <w:rPr>
          <w:rFonts w:ascii="Open Sans Light" w:hAnsi="Open Sans Light" w:cs="Open Sans Light"/>
          <w:b/>
          <w:sz w:val="22"/>
        </w:rPr>
        <w:t>harm</w:t>
      </w:r>
      <w:proofErr w:type="spellEnd"/>
      <w:r w:rsidRPr="00725E11">
        <w:rPr>
          <w:rFonts w:ascii="Open Sans Light" w:hAnsi="Open Sans Light" w:cs="Open Sans Light"/>
          <w:b/>
          <w:sz w:val="22"/>
        </w:rPr>
        <w:t xml:space="preserve"> (DNSH)</w:t>
      </w:r>
    </w:p>
    <w:p w14:paraId="6765A7EE" w14:textId="77777777" w:rsidR="00AE5161" w:rsidRPr="00725E11" w:rsidRDefault="00AE5161" w:rsidP="006A6300">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Program </w:t>
      </w:r>
      <w:proofErr w:type="spellStart"/>
      <w:r w:rsidRPr="00725E11">
        <w:rPr>
          <w:rFonts w:ascii="Open Sans Light" w:hAnsi="Open Sans Light" w:cs="Open Sans Light"/>
          <w:sz w:val="22"/>
        </w:rPr>
        <w:t>FEnIKS</w:t>
      </w:r>
      <w:proofErr w:type="spellEnd"/>
      <w:r w:rsidRPr="00725E11">
        <w:rPr>
          <w:rFonts w:ascii="Open Sans Light" w:hAnsi="Open Sans Light" w:cs="Open Sans Light"/>
          <w:sz w:val="22"/>
        </w:rPr>
        <w:t xml:space="preserve"> został poddany ocenie pod kątem spełnienia zasady DNSH (zdefiniowanej w art. 3(b) i art. 17 rozporządzenia w sprawie taksonomii) w dokumencie „Analiza spełniania zasady „nie czyń poważnej szkody” (DNSH) w rozumieniu art. 17 rozporządzenia (UE) nr 2020/852 dla projektu dokumentu pn. Fundusze Europejskie na </w:t>
      </w:r>
      <w:r w:rsidRPr="00725E11">
        <w:rPr>
          <w:rFonts w:ascii="Open Sans Light" w:hAnsi="Open Sans Light" w:cs="Open Sans Light"/>
          <w:sz w:val="22"/>
        </w:rPr>
        <w:lastRenderedPageBreak/>
        <w:t>Infrastrukturę, Klimat, Środowisko 2021-2027”</w:t>
      </w:r>
      <w:r>
        <w:rPr>
          <w:rFonts w:ascii="Open Sans Light" w:hAnsi="Open Sans Light" w:cs="Open Sans Light"/>
          <w:sz w:val="22"/>
        </w:rPr>
        <w:t xml:space="preserve"> </w:t>
      </w:r>
      <w:r w:rsidRPr="00725E11">
        <w:rPr>
          <w:rFonts w:ascii="Open Sans Light" w:hAnsi="Open Sans Light" w:cs="Open Sans Light"/>
          <w:sz w:val="22"/>
        </w:rPr>
        <w:t>(https://www.pois.gov.pl/media/108045/ocena_DNSH_FEnIKS_2021-2027.pdf)</w:t>
      </w:r>
    </w:p>
    <w:p w14:paraId="41E84481" w14:textId="77777777" w:rsidR="00AE5161" w:rsidRPr="00725E11" w:rsidRDefault="00AE5161" w:rsidP="006A6300">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Przedsięwzięcia realizowane i dofinansowane w ramach Programu </w:t>
      </w:r>
      <w:proofErr w:type="spellStart"/>
      <w:r w:rsidRPr="00725E11">
        <w:rPr>
          <w:rFonts w:ascii="Open Sans Light" w:hAnsi="Open Sans Light" w:cs="Open Sans Light"/>
          <w:sz w:val="22"/>
        </w:rPr>
        <w:t>FEnIKS</w:t>
      </w:r>
      <w:proofErr w:type="spellEnd"/>
      <w:r w:rsidRPr="00725E11">
        <w:rPr>
          <w:rFonts w:ascii="Open Sans Light" w:hAnsi="Open Sans Light" w:cs="Open Sans Light"/>
          <w:sz w:val="22"/>
        </w:rPr>
        <w:t xml:space="preserve"> muszą mieścić się w zakresie rodzajów działań (wiązek projektów/obszarów interwencji/typów projektów) zawartych w programie, które podlegały wcześniej ocenie DNSH. W celu wykazania zgodności przedsięwzięć w ramach danego projektu, Wnioskodawca powinien odnieść się do konkretnych ustaleń ww. dokumentu w zależności od rodzaju i</w:t>
      </w:r>
      <w:r>
        <w:rPr>
          <w:rFonts w:ascii="Open Sans Light" w:hAnsi="Open Sans Light" w:cs="Open Sans Light"/>
          <w:sz w:val="22"/>
        </w:rPr>
        <w:t> </w:t>
      </w:r>
      <w:r w:rsidRPr="00725E11">
        <w:rPr>
          <w:rFonts w:ascii="Open Sans Light" w:hAnsi="Open Sans Light" w:cs="Open Sans Light"/>
          <w:sz w:val="22"/>
        </w:rPr>
        <w:t xml:space="preserve">wielkości planowanych działań inwestycyjnych przewidzianych w danym projekcie. </w:t>
      </w:r>
    </w:p>
    <w:p w14:paraId="4930C06C" w14:textId="62BED132" w:rsidR="00AE5161" w:rsidRDefault="00AE5161"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iCs/>
          <w:sz w:val="22"/>
        </w:rPr>
        <w:t>Sposób podejścia do klasyfikacji poszczególnych działań, środków bądź projektów z</w:t>
      </w:r>
      <w:r>
        <w:rPr>
          <w:rFonts w:ascii="Open Sans Light" w:hAnsi="Open Sans Light" w:cs="Open Sans Light"/>
          <w:iCs/>
          <w:sz w:val="22"/>
        </w:rPr>
        <w:t> </w:t>
      </w:r>
      <w:r w:rsidRPr="00725E11">
        <w:rPr>
          <w:rFonts w:ascii="Open Sans Light" w:hAnsi="Open Sans Light" w:cs="Open Sans Light"/>
          <w:iCs/>
          <w:sz w:val="22"/>
        </w:rPr>
        <w:t>punktu widzenia realizacji zasady DNSH, został jednoznacznie wskazany w</w:t>
      </w:r>
      <w:r>
        <w:rPr>
          <w:rFonts w:ascii="Open Sans Light" w:hAnsi="Open Sans Light" w:cs="Open Sans Light"/>
          <w:iCs/>
          <w:sz w:val="22"/>
        </w:rPr>
        <w:t> </w:t>
      </w:r>
      <w:r w:rsidRPr="00725E11">
        <w:rPr>
          <w:rFonts w:ascii="Open Sans Light" w:hAnsi="Open Sans Light" w:cs="Open Sans Light"/>
          <w:iCs/>
          <w:sz w:val="22"/>
        </w:rPr>
        <w:t>Wytycznych technicznych Komisji Europejskiej dotyczących stosowania zasady DNSH (</w:t>
      </w:r>
      <w:hyperlink r:id="rId13" w:history="1">
        <w:r w:rsidRPr="00725E11">
          <w:rPr>
            <w:rStyle w:val="Hipercze"/>
            <w:rFonts w:ascii="Open Sans Light" w:hAnsi="Open Sans Light" w:cs="Open Sans Light"/>
            <w:iCs/>
            <w:sz w:val="22"/>
          </w:rPr>
          <w:t>https://eur-lex.europa.eu/legal-content/PL/TXT/PDF/?uri=CELEX%3A52021XC0218%2801%29&amp;from=EN</w:t>
        </w:r>
      </w:hyperlink>
      <w:r w:rsidRPr="00725E11">
        <w:rPr>
          <w:rFonts w:ascii="Open Sans Light" w:hAnsi="Open Sans Light" w:cs="Open Sans Light"/>
          <w:iCs/>
          <w:sz w:val="22"/>
        </w:rPr>
        <w:t>)</w:t>
      </w:r>
      <w:r>
        <w:rPr>
          <w:rFonts w:ascii="Open Sans Light" w:hAnsi="Open Sans Light" w:cs="Open Sans Light"/>
          <w:iCs/>
          <w:sz w:val="22"/>
        </w:rPr>
        <w:t>.</w:t>
      </w:r>
      <w:r w:rsidRPr="00725E11">
        <w:rPr>
          <w:rFonts w:ascii="Open Sans Light" w:hAnsi="Open Sans Light" w:cs="Open Sans Light"/>
          <w:iCs/>
          <w:sz w:val="22"/>
        </w:rPr>
        <w:t xml:space="preserve"> </w:t>
      </w:r>
      <w:r>
        <w:rPr>
          <w:rFonts w:ascii="Open Sans Light" w:hAnsi="Open Sans Light" w:cs="Open Sans Light"/>
          <w:iCs/>
          <w:sz w:val="22"/>
        </w:rPr>
        <w:t>Potwierdzenie</w:t>
      </w:r>
      <w:r w:rsidRPr="00725E11">
        <w:rPr>
          <w:rFonts w:ascii="Open Sans Light" w:hAnsi="Open Sans Light" w:cs="Open Sans Light"/>
          <w:iCs/>
          <w:sz w:val="22"/>
        </w:rPr>
        <w:t xml:space="preserve"> zgodności z zasadą DNSH </w:t>
      </w:r>
      <w:hyperlink r:id="rId14" w:history="1">
        <w:r w:rsidRPr="00341781">
          <w:rPr>
            <w:rStyle w:val="Hipercze"/>
            <w:rFonts w:ascii="Open Sans Light" w:hAnsi="Open Sans Light" w:cs="Open Sans Light"/>
            <w:iCs/>
            <w:sz w:val="22"/>
          </w:rPr>
          <w:t>powinno</w:t>
        </w:r>
      </w:hyperlink>
      <w:r>
        <w:rPr>
          <w:rFonts w:ascii="Open Sans Light" w:hAnsi="Open Sans Light" w:cs="Open Sans Light"/>
          <w:iCs/>
          <w:sz w:val="22"/>
        </w:rPr>
        <w:t xml:space="preserve"> opierać się na ustaleniach opracowania „Analiza spełniania zasady „nie czyń poważnej szkody” (DNSH) w rozumieniu art. 17 rozporządzenia (UE) nr 2020/852 dla projektu dokumentu pn. Fundusze Europejskie na Infrastrukturę, Klimat, Środowisko 2021-2027” </w:t>
      </w:r>
      <w:r w:rsidRPr="00472908">
        <w:rPr>
          <w:rFonts w:ascii="Open Sans Light" w:hAnsi="Open Sans Light" w:cs="Open Sans Light"/>
          <w:iCs/>
          <w:sz w:val="20"/>
          <w:szCs w:val="20"/>
        </w:rPr>
        <w:t>(</w:t>
      </w:r>
      <w:r w:rsidRPr="00472908">
        <w:rPr>
          <w:rFonts w:ascii="Open Sans Light" w:hAnsi="Open Sans Light" w:cs="Open Sans Light"/>
          <w:sz w:val="20"/>
          <w:szCs w:val="20"/>
        </w:rPr>
        <w:t>https://www.pois.gov.pl/media/108045/ocena_DNSH_FEnIKS_2021-2027.pdf)</w:t>
      </w:r>
      <w:r w:rsidRPr="00725E11">
        <w:rPr>
          <w:rFonts w:ascii="Open Sans Light" w:hAnsi="Open Sans Light" w:cs="Open Sans Light"/>
          <w:iCs/>
          <w:sz w:val="22"/>
        </w:rPr>
        <w:t xml:space="preserve"> zarówno dla działań związanych z etapem realizacji projektu, jak i etapem jego eksploatacji.</w:t>
      </w:r>
      <w:r>
        <w:rPr>
          <w:rStyle w:val="Odwoanieprzypisudolnego"/>
          <w:rFonts w:ascii="Open Sans Light" w:hAnsi="Open Sans Light" w:cs="Open Sans Light"/>
          <w:iCs/>
          <w:sz w:val="22"/>
        </w:rPr>
        <w:footnoteReference w:id="1"/>
      </w:r>
      <w:r w:rsidRPr="00725E11">
        <w:rPr>
          <w:rFonts w:ascii="Open Sans Light" w:hAnsi="Open Sans Light" w:cs="Open Sans Light"/>
          <w:iCs/>
          <w:sz w:val="22"/>
        </w:rPr>
        <w:t xml:space="preserve"> </w:t>
      </w:r>
    </w:p>
    <w:p w14:paraId="2108065E" w14:textId="370DB017" w:rsidR="00AE5161" w:rsidRDefault="00AE5161"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7.1.3. Sposób wdrożenia przez projekt zasady ostrożności, zasady działania zapobiegawczego, zasady naprawiania szkody w pierwszym rzędzie u źródła, zasady zanieczyszczający płaci</w:t>
      </w:r>
    </w:p>
    <w:p w14:paraId="3AE6AE12" w14:textId="77777777" w:rsidR="006E6CED" w:rsidRPr="00725E11" w:rsidRDefault="006E6CED" w:rsidP="006A6300">
      <w:pPr>
        <w:spacing w:after="120" w:line="276" w:lineRule="auto"/>
        <w:ind w:left="589" w:hanging="709"/>
        <w:jc w:val="left"/>
        <w:rPr>
          <w:rFonts w:ascii="Open Sans Light" w:hAnsi="Open Sans Light" w:cs="Open Sans Light"/>
          <w:sz w:val="22"/>
        </w:rPr>
      </w:pPr>
      <w:r w:rsidRPr="00725E11">
        <w:rPr>
          <w:rFonts w:ascii="Open Sans Light" w:hAnsi="Open Sans Light" w:cs="Open Sans Light"/>
          <w:sz w:val="22"/>
        </w:rPr>
        <w:t>Należy wykazać, że projekt został przygotowany z zachowaniem zasad:</w:t>
      </w:r>
    </w:p>
    <w:p w14:paraId="3EB0C680" w14:textId="77777777" w:rsidR="006E6CED" w:rsidRPr="00725E11" w:rsidRDefault="006E6CED" w:rsidP="006A6300">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ostrożności;</w:t>
      </w:r>
    </w:p>
    <w:p w14:paraId="1EBBEDCD" w14:textId="77777777" w:rsidR="006E6CED" w:rsidRPr="00725E11" w:rsidRDefault="006E6CED" w:rsidP="006A6300">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działania zapobiegawczego;</w:t>
      </w:r>
    </w:p>
    <w:p w14:paraId="2A9E8806" w14:textId="77777777" w:rsidR="006E6CED" w:rsidRPr="00725E11" w:rsidRDefault="006E6CED" w:rsidP="006A6300">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naprawiania szkody w pierwszym rzędzie u źródła;</w:t>
      </w:r>
    </w:p>
    <w:p w14:paraId="1ED50AA6" w14:textId="1D37518F" w:rsidR="006E6CED" w:rsidRPr="00725E11" w:rsidRDefault="006E6CED" w:rsidP="006A6300">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w:t>
      </w:r>
      <w:r w:rsidRPr="00725E11">
        <w:rPr>
          <w:rFonts w:ascii="Open Sans Light" w:hAnsi="Open Sans Light" w:cs="Open Sans Light"/>
          <w:sz w:val="22"/>
        </w:rPr>
        <w:lastRenderedPageBreak/>
        <w:t>i</w:t>
      </w:r>
      <w:r w:rsidR="00785E67">
        <w:rPr>
          <w:rFonts w:ascii="Open Sans Light" w:hAnsi="Open Sans Light" w:cs="Open Sans Light"/>
          <w:sz w:val="22"/>
        </w:rPr>
        <w:t> </w:t>
      </w:r>
      <w:r w:rsidRPr="00725E11">
        <w:rPr>
          <w:rFonts w:ascii="Open Sans Light" w:hAnsi="Open Sans Light" w:cs="Open Sans Light"/>
          <w:sz w:val="22"/>
        </w:rPr>
        <w:t>wymiany elementów infrastruktury mającej wpływ na środowisko. W tym kontekście należy wyjaśnić jak przedmiotowe wymagania zostały uwzględnione w projekcie.</w:t>
      </w:r>
    </w:p>
    <w:p w14:paraId="3F727D59" w14:textId="443CB6E6" w:rsidR="00AE5161"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 xml:space="preserve">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w:t>
      </w:r>
      <w:hyperlink r:id="rId15" w:history="1">
        <w:r w:rsidRPr="00472908">
          <w:rPr>
            <w:rFonts w:ascii="Open Sans Light" w:hAnsi="Open Sans Light" w:cs="Open Sans Light"/>
            <w:sz w:val="22"/>
          </w:rPr>
          <w:t>https://www.europarl.europa.eu/factsheets/pl/sheet/71/polityka-ochrony-srodowiska-ogolne-zasady-i-podstawowe-ramy</w:t>
        </w:r>
      </w:hyperlink>
      <w:r w:rsidRPr="00472908">
        <w:rPr>
          <w:rFonts w:ascii="Open Sans Light" w:hAnsi="Open Sans Light" w:cs="Open Sans Light"/>
          <w:sz w:val="22"/>
        </w:rPr>
        <w:t xml:space="preserve"> </w:t>
      </w:r>
      <w:r w:rsidRPr="00725E11">
        <w:rPr>
          <w:rFonts w:ascii="Open Sans Light" w:hAnsi="Open Sans Light" w:cs="Open Sans Light"/>
          <w:sz w:val="22"/>
        </w:rPr>
        <w:t>Wytyczne dotyczące sposobu stosowania zasady ostrożności przygotowane zostały przez Komisję Europejską i opublikowane w formie komunikatu z dnia 2 lutego 2000 roku</w:t>
      </w:r>
      <w:r>
        <w:rPr>
          <w:rFonts w:ascii="Open Sans Light" w:hAnsi="Open Sans Light" w:cs="Open Sans Light"/>
          <w:sz w:val="22"/>
        </w:rPr>
        <w:t xml:space="preserve"> </w:t>
      </w:r>
      <w:r w:rsidRPr="00725E11">
        <w:rPr>
          <w:rFonts w:ascii="Open Sans Light" w:hAnsi="Open Sans Light" w:cs="Open Sans Light"/>
          <w:sz w:val="22"/>
        </w:rPr>
        <w:t>(</w:t>
      </w:r>
      <w:hyperlink r:id="rId16" w:history="1">
        <w:r w:rsidRPr="00725E11">
          <w:rPr>
            <w:rStyle w:val="Hipercze"/>
            <w:rFonts w:ascii="Open Sans Light" w:hAnsi="Open Sans Light" w:cs="Open Sans Light"/>
            <w:sz w:val="22"/>
          </w:rPr>
          <w:t>http://eur-lex.europa.eu/legal-content/PL/TXT/?uri=celex:52000DC0001</w:t>
        </w:r>
      </w:hyperlink>
      <w:r w:rsidRPr="00725E11">
        <w:rPr>
          <w:rFonts w:ascii="Open Sans Light" w:hAnsi="Open Sans Light" w:cs="Open Sans Light"/>
          <w:sz w:val="22"/>
        </w:rPr>
        <w:t>)</w:t>
      </w:r>
      <w:r>
        <w:rPr>
          <w:rFonts w:ascii="Open Sans Light" w:hAnsi="Open Sans Light" w:cs="Open Sans Light"/>
          <w:b/>
          <w:sz w:val="22"/>
        </w:rPr>
        <w:t>.</w:t>
      </w:r>
    </w:p>
    <w:p w14:paraId="68416AF9" w14:textId="360178F9" w:rsidR="006E6CED" w:rsidRDefault="006E6CED"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7.2.1. Klasyfikacja przedsięwzięcia pod kątem wymogu przeprowadzenia oceny oddziaływania na środowisko w świetle przepisów prawa polskiego i UE</w:t>
      </w:r>
    </w:p>
    <w:p w14:paraId="47342018" w14:textId="77777777" w:rsidR="006E6CED" w:rsidRPr="00725E11" w:rsidRDefault="006E6CED" w:rsidP="006A6300">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C014E2" w14:textId="6E409CCF" w:rsidR="006E6CED" w:rsidRPr="00725E11" w:rsidRDefault="006E6CED" w:rsidP="006A6300">
      <w:pPr>
        <w:pStyle w:val="Akapitzlist"/>
        <w:numPr>
          <w:ilvl w:val="0"/>
          <w:numId w:val="12"/>
        </w:numPr>
        <w:spacing w:after="120" w:line="276" w:lineRule="auto"/>
        <w:ind w:left="596" w:hanging="283"/>
        <w:jc w:val="left"/>
        <w:rPr>
          <w:rFonts w:ascii="Open Sans Light" w:hAnsi="Open Sans Light" w:cs="Open Sans Light"/>
          <w:color w:val="000000" w:themeColor="text1"/>
          <w:sz w:val="22"/>
        </w:rPr>
      </w:pPr>
      <w:r w:rsidRPr="00725E11">
        <w:rPr>
          <w:rFonts w:ascii="Open Sans Light" w:hAnsi="Open Sans Light" w:cs="Open Sans Light"/>
          <w:sz w:val="22"/>
        </w:rPr>
        <w:t>planowane przedsięwzięcia mogące zawsze znacząco oddziaływać na środowisko, o których mowa w § 2 rozporządzenia Rady Ministrów</w:t>
      </w:r>
      <w:r w:rsidRPr="00725E11">
        <w:rPr>
          <w:rFonts w:ascii="Open Sans Light" w:hAnsi="Open Sans Light" w:cs="Open Sans Light"/>
          <w:color w:val="000000" w:themeColor="text1"/>
          <w:sz w:val="22"/>
        </w:rPr>
        <w:t xml:space="preserve"> z dnia 10 września 2019 r., w</w:t>
      </w:r>
      <w:r w:rsidR="00785E67">
        <w:rPr>
          <w:rFonts w:ascii="Open Sans Light" w:hAnsi="Open Sans Light" w:cs="Open Sans Light"/>
          <w:color w:val="000000" w:themeColor="text1"/>
          <w:sz w:val="22"/>
        </w:rPr>
        <w:t> </w:t>
      </w:r>
      <w:r w:rsidRPr="00725E11">
        <w:rPr>
          <w:rFonts w:ascii="Open Sans Light" w:hAnsi="Open Sans Light" w:cs="Open Sans Light"/>
          <w:color w:val="000000" w:themeColor="text1"/>
          <w:sz w:val="22"/>
        </w:rPr>
        <w:t>sprawie przedsięwzięć mogących znacząco oddziaływać na środowisko;</w:t>
      </w:r>
    </w:p>
    <w:p w14:paraId="24EDE59D" w14:textId="77777777" w:rsidR="006E6CED" w:rsidRPr="00725E11" w:rsidRDefault="006E6CED" w:rsidP="006A6300">
      <w:pPr>
        <w:pStyle w:val="Akapitzlist"/>
        <w:numPr>
          <w:ilvl w:val="0"/>
          <w:numId w:val="12"/>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planowane przedsięwzięcia mogące potencjalnie znacząco oddziaływać na środowisko, jeżeli obowiązek przeprowadzenia oceny oddziaływania przedsięwzięcia na środowisko został stwierdzony, o których mowa w § 3 rozporządzenia.</w:t>
      </w:r>
    </w:p>
    <w:p w14:paraId="558E84C3" w14:textId="77777777" w:rsidR="006E6CED" w:rsidRPr="00725E11" w:rsidRDefault="006E6CED" w:rsidP="006A6300">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 xml:space="preserve">Poza ww. przedsięwzięciami, przepisy ustawy </w:t>
      </w:r>
      <w:proofErr w:type="spellStart"/>
      <w:r w:rsidRPr="00725E11">
        <w:rPr>
          <w:rFonts w:ascii="Open Sans Light" w:hAnsi="Open Sans Light" w:cs="Open Sans Light"/>
          <w:sz w:val="22"/>
        </w:rPr>
        <w:t>ooś</w:t>
      </w:r>
      <w:proofErr w:type="spellEnd"/>
      <w:r w:rsidRPr="00725E11">
        <w:rPr>
          <w:rFonts w:ascii="Open Sans Light" w:hAnsi="Open Sans Light" w:cs="Open Sans Light"/>
          <w:sz w:val="22"/>
        </w:rPr>
        <w:t xml:space="preserve"> odnoszą się do przedsięwzięć, które wymagają przeprowadzenia oceny oddziaływania przedsięwzięcia na obszar Natura 2000, jeżeli:</w:t>
      </w:r>
    </w:p>
    <w:p w14:paraId="578806AE" w14:textId="77777777" w:rsidR="006E6CED" w:rsidRPr="00725E11" w:rsidRDefault="006E6CED" w:rsidP="006A6300">
      <w:pPr>
        <w:pStyle w:val="Akapitzlist"/>
        <w:numPr>
          <w:ilvl w:val="0"/>
          <w:numId w:val="14"/>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przedsięwzięcie to może znacząco oddziaływać na obszar Natura 2000, a nie jest bezpośrednio związane z ochroną tego obszaru lub nie wynika z tej ochrony;</w:t>
      </w:r>
    </w:p>
    <w:p w14:paraId="187512E3" w14:textId="77777777" w:rsidR="006E6CED" w:rsidRPr="00725E11" w:rsidRDefault="006E6CED" w:rsidP="006A6300">
      <w:pPr>
        <w:pStyle w:val="Akapitzlist"/>
        <w:numPr>
          <w:ilvl w:val="0"/>
          <w:numId w:val="14"/>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obowiązek przeprowadzenia oceny oddziaływania przedsięwzięcia na obszar Natura 2000 został stwierdzony.</w:t>
      </w:r>
    </w:p>
    <w:p w14:paraId="5E62417D" w14:textId="77777777" w:rsidR="006E6CED" w:rsidRPr="00725E11" w:rsidRDefault="006E6CED" w:rsidP="006A6300">
      <w:pPr>
        <w:spacing w:after="120" w:line="276" w:lineRule="auto"/>
        <w:ind w:left="22" w:firstLine="284"/>
        <w:jc w:val="left"/>
        <w:rPr>
          <w:rFonts w:ascii="Open Sans Light" w:hAnsi="Open Sans Light" w:cs="Open Sans Light"/>
          <w:sz w:val="22"/>
        </w:rPr>
      </w:pPr>
      <w:r w:rsidRPr="00725E11">
        <w:rPr>
          <w:rFonts w:ascii="Open Sans Light" w:hAnsi="Open Sans Light" w:cs="Open Sans Light"/>
          <w:noProof/>
          <w:sz w:val="22"/>
        </w:rPr>
        <w:lastRenderedPageBreak/>
        <w:drawing>
          <wp:inline distT="0" distB="0" distL="0" distR="0" wp14:anchorId="4DD1C4C1" wp14:editId="089D0C2B">
            <wp:extent cx="4572000" cy="2371725"/>
            <wp:effectExtent l="0" t="0" r="0" b="9525"/>
            <wp:docPr id="2" name="Obraz 2" descr="Podział przedsięwzięć na rodzaje zgodnie z rozporządzeniem Rady Ministrów z dnia 10 września 2019 r., w sprawie przedsięwzięć mogących znacząco oddziaływać na środowisko ze wskazaniem wymogów co do przeprowadzenia oceny oddziaływania na środowisko i uzyskania decyzji środowiskowych z uwzględnieniem przedsięwzięć z tzw. III grupy, czyli oddziałujących potencjalnie na obszary Natura 2000" title="Tabela obrazująca podział na rodzaj przedsięwzię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718AACA4" w14:textId="7A774CFF" w:rsidR="006E6CED"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W przypadku pozostałych działań/zadań inwestycyjnych należy krótko uzasadnić brak konieczności przeprowadzenia ww. postępowania.</w:t>
      </w:r>
    </w:p>
    <w:p w14:paraId="1C38F3E2" w14:textId="777185E8" w:rsidR="006E6CED"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b/>
          <w:sz w:val="22"/>
        </w:rPr>
        <w:t>7.2.2.1. Zadania z przeprowadzoną oceną oddziaływania na środowisko</w:t>
      </w:r>
    </w:p>
    <w:p w14:paraId="592B0AC5" w14:textId="6D8A19FF" w:rsidR="006E6CED"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Należy wskazać, które przedsięwzięcia w ramach projektu wymagały przeprowadzenia oceny oddziaływania na środowisko wraz z prezentacją przeprowadzonych postępowań.</w:t>
      </w:r>
    </w:p>
    <w:p w14:paraId="7F9F964A" w14:textId="7D28AC2E" w:rsidR="006E6CED" w:rsidRDefault="006E6CED" w:rsidP="006A6300">
      <w:pPr>
        <w:spacing w:before="240" w:after="120" w:line="276" w:lineRule="auto"/>
        <w:ind w:left="851" w:hanging="851"/>
        <w:jc w:val="left"/>
        <w:rPr>
          <w:rFonts w:ascii="Open Sans Light" w:hAnsi="Open Sans Light" w:cs="Open Sans Light"/>
          <w:b/>
          <w:sz w:val="22"/>
        </w:rPr>
      </w:pPr>
      <w:r w:rsidRPr="00725E11">
        <w:rPr>
          <w:rFonts w:ascii="Open Sans Light" w:hAnsi="Open Sans Light" w:cs="Open Sans Light"/>
          <w:b/>
          <w:sz w:val="22"/>
        </w:rPr>
        <w:t>7.2.2.2. Zadania bez oceny oddziaływania na środowisko wraz z uzasadnieniem braku kwalifikacji do ocen</w:t>
      </w:r>
    </w:p>
    <w:p w14:paraId="414A0027" w14:textId="596281E2" w:rsidR="006E6CED"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Należy wskazać, które przedsięwzięcia w ramach projektu nie wymagały przeprowadzenia oceny oddziaływania na środowisko oraz uzasadnić brak kwalifikacji do oceny.</w:t>
      </w:r>
    </w:p>
    <w:p w14:paraId="4514AEAF" w14:textId="5E6F9293" w:rsidR="006E6CED" w:rsidRDefault="006E6CED"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7.2.3.</w:t>
      </w:r>
      <w:r w:rsidRPr="00725E11">
        <w:rPr>
          <w:rFonts w:ascii="Open Sans Light" w:hAnsi="Open Sans Light" w:cs="Open Sans Light"/>
          <w:sz w:val="22"/>
        </w:rPr>
        <w:t xml:space="preserve"> </w:t>
      </w:r>
      <w:r w:rsidRPr="00725E11">
        <w:rPr>
          <w:rFonts w:ascii="Open Sans Light" w:hAnsi="Open Sans Light" w:cs="Open Sans Light"/>
          <w:b/>
          <w:sz w:val="22"/>
        </w:rPr>
        <w:t>Ocena wpływu przedsięwzięcia na obszary Natura 2000 wraz z prezentacją przeprowadzonych postępowań administracyjnych</w:t>
      </w:r>
    </w:p>
    <w:p w14:paraId="4B27D2D3" w14:textId="77777777" w:rsidR="006E6CED" w:rsidRPr="00725E11" w:rsidRDefault="006E6CED" w:rsidP="006A6300">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Należy wykazać wpływ przedsięwzięcia na obszary Natura 2000. </w:t>
      </w:r>
    </w:p>
    <w:p w14:paraId="51CFC0FE" w14:textId="77777777" w:rsidR="006E6CED" w:rsidRPr="00725E11" w:rsidRDefault="006E6CED" w:rsidP="006A6300">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sz w:val="22"/>
        </w:rPr>
        <w:t xml:space="preserve">W przypadku braku znaczącego negatywnego wpływu na obszary, które są lub mają być objęte siecią Natura 2000, należy przedłożyć deklarację organu odpowiedzialnego za monitorowanie obszarów Natura 2000 (Załącznik 4.1. do </w:t>
      </w:r>
      <w:proofErr w:type="spellStart"/>
      <w:r w:rsidRPr="00725E11">
        <w:rPr>
          <w:rFonts w:ascii="Open Sans Light" w:hAnsi="Open Sans Light" w:cs="Open Sans Light"/>
          <w:sz w:val="22"/>
        </w:rPr>
        <w:t>WoD</w:t>
      </w:r>
      <w:proofErr w:type="spellEnd"/>
      <w:r w:rsidRPr="00725E11">
        <w:rPr>
          <w:rFonts w:ascii="Open Sans Light" w:hAnsi="Open Sans Light" w:cs="Open Sans Light"/>
          <w:sz w:val="22"/>
        </w:rPr>
        <w:t>) oraz mapę, na której wskazano lokalizację projektu i obszarów Natura 2000.</w:t>
      </w:r>
    </w:p>
    <w:p w14:paraId="2A2BB009" w14:textId="77777777" w:rsidR="006E6CED" w:rsidRPr="00725E11" w:rsidRDefault="006E6CED" w:rsidP="006A6300">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 xml:space="preserve">W przypadku, gdy w raporcie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była przeprowadzona ocena oddziaływania na zasadach określonych w ustawie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należy załączyć/udostępnić pełną wersję raportu albo rozdziały raportu, w których zawarto ocenę oddziaływania na </w:t>
      </w:r>
      <w:r w:rsidRPr="00725E11">
        <w:rPr>
          <w:rFonts w:ascii="Open Sans Light" w:hAnsi="Open Sans Light" w:cs="Open Sans Light"/>
          <w:color w:val="auto"/>
          <w:sz w:val="22"/>
          <w:u w:val="single"/>
        </w:rPr>
        <w:t xml:space="preserve">obszary Natura 2000 </w:t>
      </w:r>
      <w:r w:rsidRPr="00725E11">
        <w:rPr>
          <w:rFonts w:ascii="Open Sans Light" w:hAnsi="Open Sans Light" w:cs="Open Sans Light"/>
          <w:color w:val="auto"/>
          <w:sz w:val="22"/>
        </w:rPr>
        <w:t xml:space="preserve">oraz </w:t>
      </w:r>
      <w:r w:rsidRPr="00725E11">
        <w:rPr>
          <w:rFonts w:ascii="Open Sans Light" w:hAnsi="Open Sans Light" w:cs="Open Sans Light"/>
          <w:color w:val="000000" w:themeColor="text1"/>
          <w:sz w:val="22"/>
        </w:rPr>
        <w:t xml:space="preserve">pozostałą dokumentację, o której mowa w ustawie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w:t>
      </w:r>
    </w:p>
    <w:p w14:paraId="690D01FD" w14:textId="77777777" w:rsidR="006E6CED" w:rsidRPr="00725E11" w:rsidRDefault="006E6CED" w:rsidP="006A6300">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 xml:space="preserve">W przypadku procedury oceny dla przedsięwzięć, które nie są przedsięwzięciami mogącymi znacząco oddziaływać na środowisko ale mogą znacząco wpływać na obszary </w:t>
      </w:r>
      <w:r w:rsidRPr="00725E11">
        <w:rPr>
          <w:rFonts w:ascii="Open Sans Light" w:hAnsi="Open Sans Light" w:cs="Open Sans Light"/>
          <w:color w:val="000000" w:themeColor="text1"/>
          <w:sz w:val="22"/>
        </w:rPr>
        <w:lastRenderedPageBreak/>
        <w:t xml:space="preserve">Natura 2000, wymaga się załączenia raportu, o którym mowa w art. 97 ust. 3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postanowienia, o którym mowa w art. 98 ust. 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oraz kopii decyzji, o której mowa w art. 96 ust. 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wraz z informacją o jej podaniu do publicznej wiadomości w formie przewidzianej w art. 3 ust. 1 pkt 11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w:t>
      </w:r>
    </w:p>
    <w:p w14:paraId="33123402" w14:textId="77777777" w:rsidR="006E6CED" w:rsidRPr="00725E11" w:rsidRDefault="006E6CED" w:rsidP="006A6300">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5C61F62F" w14:textId="77777777" w:rsidR="006E6CED" w:rsidRPr="00725E11" w:rsidRDefault="006E6CED" w:rsidP="006A6300">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Zalecenia w tym zakresie zawarte są m. in. w: </w:t>
      </w:r>
      <w:hyperlink r:id="rId18" w:history="1">
        <w:r w:rsidRPr="00725E11">
          <w:rPr>
            <w:rStyle w:val="Hipercze"/>
            <w:rFonts w:ascii="Open Sans Light" w:hAnsi="Open Sans Light" w:cs="Open Sans Light"/>
            <w:sz w:val="22"/>
          </w:rPr>
          <w:t>https://ec.europa.eu/environment/nature/natura2000/management/docs/art6/natura_2000_assess_pl.pdf</w:t>
        </w:r>
      </w:hyperlink>
    </w:p>
    <w:p w14:paraId="330D1E2A" w14:textId="352E5186" w:rsidR="006E6CED" w:rsidRDefault="006E6CED" w:rsidP="006A6300">
      <w:pPr>
        <w:spacing w:before="240" w:after="120" w:line="276" w:lineRule="auto"/>
        <w:ind w:left="0" w:firstLine="0"/>
        <w:jc w:val="left"/>
        <w:rPr>
          <w:rFonts w:ascii="Open Sans Light" w:hAnsi="Open Sans Light" w:cs="Open Sans Light"/>
          <w:b/>
          <w:sz w:val="22"/>
        </w:rPr>
      </w:pPr>
      <w:hyperlink r:id="rId19" w:history="1">
        <w:r w:rsidRPr="00725E11">
          <w:rPr>
            <w:rStyle w:val="Hipercze"/>
            <w:rFonts w:ascii="Open Sans Light" w:hAnsi="Open Sans Light" w:cs="Open Sans Light"/>
            <w:sz w:val="22"/>
          </w:rPr>
          <w:t>https://ec.europa.eu/environment/nature/natura2000/management/docs/art6/PL_art_6_guide_jun_2019.pdf</w:t>
        </w:r>
      </w:hyperlink>
    </w:p>
    <w:p w14:paraId="31EB0D6E" w14:textId="782BD5F1" w:rsidR="006E6CED" w:rsidRDefault="006E6CED"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7.2.4. </w:t>
      </w:r>
      <w:r w:rsidRPr="00725E11">
        <w:rPr>
          <w:rFonts w:ascii="Open Sans Light" w:eastAsia="Arial" w:hAnsi="Open Sans Light" w:cs="Open Sans Light"/>
          <w:b/>
          <w:sz w:val="22"/>
        </w:rPr>
        <w:t>Rozwiązania na rzecz zmniejszenia lub skompensowania negatywnego oddziaływania na środowisko</w:t>
      </w:r>
    </w:p>
    <w:p w14:paraId="2B71806B" w14:textId="77777777" w:rsidR="006E6CED" w:rsidRPr="00725E11" w:rsidRDefault="006E6CED" w:rsidP="006A6300">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Należy przedstawić rozwiązania mające na celu zapobieganie, ograniczanie lub kompensację przyrodniczą negatywnych oddziaływań na środowisko, w szczególności na cele i przedmiot ochrony obszaru Natura 2000 oraz integralność tego obszaru.</w:t>
      </w:r>
    </w:p>
    <w:p w14:paraId="7104340B" w14:textId="3C5850BA" w:rsidR="006E6CED"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color w:val="000000" w:themeColor="text1"/>
          <w:sz w:val="22"/>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1ABBA1B1" w14:textId="6469529E" w:rsidR="006E6CED" w:rsidRDefault="006E6CED" w:rsidP="006A6300">
      <w:pPr>
        <w:spacing w:before="240" w:after="120" w:line="276" w:lineRule="auto"/>
        <w:ind w:left="567" w:hanging="567"/>
        <w:jc w:val="left"/>
        <w:rPr>
          <w:rFonts w:ascii="Open Sans Light" w:hAnsi="Open Sans Light" w:cs="Open Sans Light"/>
          <w:b/>
          <w:sz w:val="22"/>
        </w:rPr>
      </w:pPr>
      <w:r w:rsidRPr="00E64B58">
        <w:rPr>
          <w:rFonts w:ascii="Open Sans Light" w:hAnsi="Open Sans Light" w:cs="Open Sans Light"/>
          <w:b/>
          <w:sz w:val="22"/>
        </w:rPr>
        <w:t>7.4.</w:t>
      </w:r>
      <w:r w:rsidRPr="00E64B58">
        <w:rPr>
          <w:rFonts w:ascii="Open Sans Light" w:hAnsi="Open Sans Light" w:cs="Open Sans Light"/>
          <w:b/>
          <w:sz w:val="22"/>
        </w:rPr>
        <w:tab/>
        <w:t xml:space="preserve"> Przystosowanie do zmian klimatu i łagodzenie zmiany klimatu, a także odporność na klęski żywiołowe</w:t>
      </w:r>
    </w:p>
    <w:p w14:paraId="70694E22" w14:textId="3FCCA470" w:rsidR="006E6CED" w:rsidRDefault="006E6CED" w:rsidP="006A6300">
      <w:pPr>
        <w:spacing w:before="240" w:after="120" w:line="276" w:lineRule="auto"/>
        <w:ind w:left="0" w:firstLine="0"/>
        <w:jc w:val="left"/>
        <w:rPr>
          <w:rFonts w:ascii="Open Sans Light" w:hAnsi="Open Sans Light" w:cs="Open Sans Light"/>
          <w:sz w:val="22"/>
        </w:rPr>
      </w:pPr>
      <w:r w:rsidRPr="00E64B58">
        <w:rPr>
          <w:rFonts w:ascii="Open Sans Light" w:hAnsi="Open Sans Light" w:cs="Open Sans Light"/>
          <w:sz w:val="22"/>
        </w:rPr>
        <w:t>Dla projektu infrastrukturalnego o trwałości co najmniej 5 lat wnioskodawca powinien przeprowadzić ocenę jego wpływu na klimat i dostosowania do zmienionego klimatu w</w:t>
      </w:r>
      <w:r w:rsidR="00785E67">
        <w:rPr>
          <w:rFonts w:ascii="Open Sans Light" w:hAnsi="Open Sans Light" w:cs="Open Sans Light"/>
          <w:sz w:val="22"/>
        </w:rPr>
        <w:t> </w:t>
      </w:r>
      <w:r w:rsidRPr="00E64B58">
        <w:rPr>
          <w:rFonts w:ascii="Open Sans Light" w:hAnsi="Open Sans Light" w:cs="Open Sans Light"/>
          <w:sz w:val="22"/>
        </w:rPr>
        <w:t xml:space="preserve">zakresie, jaki wynika z rodzaju i skali projektu. Weryfikacja ta powinna zostać przeprowadzona zgodnie z </w:t>
      </w:r>
      <w:r w:rsidRPr="00365F3C">
        <w:rPr>
          <w:rFonts w:ascii="Open Sans Light" w:hAnsi="Open Sans Light" w:cs="Open Sans Light"/>
          <w:i/>
          <w:sz w:val="22"/>
        </w:rPr>
        <w:t>Wytycznymi technicznymi dotyczącymi weryfikacji infrastruktury pod względem wpływu na klimat w latach 2021-2027</w:t>
      </w:r>
      <w:r w:rsidRPr="00E64B58">
        <w:rPr>
          <w:rFonts w:ascii="Open Sans Light" w:hAnsi="Open Sans Light" w:cs="Open Sans Light"/>
          <w:sz w:val="22"/>
        </w:rPr>
        <w:t xml:space="preserve"> (2021/C 373/01). Beneficjent może też skorzystać z poradników uzupełniających Wytyczne techniczne.</w:t>
      </w:r>
      <w:r>
        <w:rPr>
          <w:rFonts w:ascii="Open Sans Light" w:hAnsi="Open Sans Light" w:cs="Open Sans Light"/>
          <w:sz w:val="22"/>
        </w:rPr>
        <w:t xml:space="preserve"> W analizie należy odnieść </w:t>
      </w:r>
      <w:r>
        <w:rPr>
          <w:rFonts w:ascii="Open Sans Light" w:hAnsi="Open Sans Light" w:cs="Open Sans Light"/>
          <w:sz w:val="22"/>
        </w:rPr>
        <w:lastRenderedPageBreak/>
        <w:t xml:space="preserve">się do wymogów zawartych w Rozporządzeniu ogólnym 2021/1060 i przepisach krajowych, które mają zastosowanie do danego projektu. Należy też zamieścić </w:t>
      </w:r>
      <w:r w:rsidRPr="00365F3C">
        <w:rPr>
          <w:rFonts w:ascii="Open Sans Light" w:hAnsi="Open Sans Light" w:cs="Open Sans Light"/>
          <w:sz w:val="22"/>
        </w:rPr>
        <w:t>podsumowanie prz</w:t>
      </w:r>
      <w:r>
        <w:rPr>
          <w:rFonts w:ascii="Open Sans Light" w:hAnsi="Open Sans Light" w:cs="Open Sans Light"/>
          <w:sz w:val="22"/>
        </w:rPr>
        <w:t>eprowadzonej weryfikacji i ocenę</w:t>
      </w:r>
      <w:r w:rsidRPr="00365F3C">
        <w:rPr>
          <w:rFonts w:ascii="Open Sans Light" w:hAnsi="Open Sans Light" w:cs="Open Sans Light"/>
          <w:sz w:val="22"/>
        </w:rPr>
        <w:t xml:space="preserve"> dostosowania projektu do celów Porozumienia Paryskiego</w:t>
      </w:r>
      <w:r>
        <w:rPr>
          <w:rFonts w:ascii="Open Sans Light" w:hAnsi="Open Sans Light" w:cs="Open Sans Light"/>
          <w:sz w:val="22"/>
        </w:rPr>
        <w:t xml:space="preserve"> (Ramowej konwencji</w:t>
      </w:r>
      <w:r w:rsidRPr="00365F3C">
        <w:rPr>
          <w:rFonts w:ascii="Open Sans Light" w:hAnsi="Open Sans Light" w:cs="Open Sans Light"/>
          <w:sz w:val="22"/>
        </w:rPr>
        <w:t xml:space="preserve"> Narodów Zjednoczonych w sprawie zmian klimatu podpisan</w:t>
      </w:r>
      <w:r>
        <w:rPr>
          <w:rFonts w:ascii="Open Sans Light" w:hAnsi="Open Sans Light" w:cs="Open Sans Light"/>
          <w:sz w:val="22"/>
        </w:rPr>
        <w:t>ej</w:t>
      </w:r>
      <w:r w:rsidRPr="00365F3C">
        <w:rPr>
          <w:rFonts w:ascii="Open Sans Light" w:hAnsi="Open Sans Light" w:cs="Open Sans Light"/>
          <w:sz w:val="22"/>
        </w:rPr>
        <w:t xml:space="preserve"> 22 kwietnia 2016r. (Dz. U. L 282 z 19.10.2016) i ratyfikowan</w:t>
      </w:r>
      <w:r>
        <w:rPr>
          <w:rFonts w:ascii="Open Sans Light" w:hAnsi="Open Sans Light" w:cs="Open Sans Light"/>
          <w:sz w:val="22"/>
        </w:rPr>
        <w:t>ej</w:t>
      </w:r>
      <w:r w:rsidRPr="00365F3C">
        <w:rPr>
          <w:rFonts w:ascii="Open Sans Light" w:hAnsi="Open Sans Light" w:cs="Open Sans Light"/>
          <w:sz w:val="22"/>
        </w:rPr>
        <w:t xml:space="preserve"> Decyzją Rady (UE) 2016/1841 z dnia 5 października 2016</w:t>
      </w:r>
      <w:r>
        <w:rPr>
          <w:rFonts w:ascii="Open Sans Light" w:hAnsi="Open Sans Light" w:cs="Open Sans Light"/>
          <w:sz w:val="22"/>
        </w:rPr>
        <w:t xml:space="preserve"> </w:t>
      </w:r>
      <w:r w:rsidRPr="00365F3C">
        <w:rPr>
          <w:rFonts w:ascii="Open Sans Light" w:hAnsi="Open Sans Light" w:cs="Open Sans Light"/>
          <w:sz w:val="22"/>
        </w:rPr>
        <w:t>r. (Dz. U. L 282 z 19.10.2016).</w:t>
      </w:r>
    </w:p>
    <w:p w14:paraId="4E592BB9" w14:textId="16D9A452" w:rsidR="006E6CED" w:rsidRDefault="006E6CED" w:rsidP="006A6300">
      <w:pPr>
        <w:spacing w:before="240" w:after="120" w:line="276" w:lineRule="auto"/>
        <w:ind w:left="567" w:hanging="567"/>
        <w:jc w:val="left"/>
        <w:rPr>
          <w:rFonts w:ascii="Open Sans Light" w:hAnsi="Open Sans Light" w:cs="Open Sans Light"/>
          <w:sz w:val="22"/>
        </w:rPr>
      </w:pPr>
      <w:r w:rsidRPr="00725E11">
        <w:rPr>
          <w:rFonts w:ascii="Open Sans Light" w:hAnsi="Open Sans Light" w:cs="Open Sans Light"/>
          <w:b/>
          <w:sz w:val="22"/>
        </w:rPr>
        <w:t>7.4.1. Oddziaływanie projektu na zmianę klimatu z uwzględnieniem środków łagodzących w celu przystosowania się do zmian klimatu</w:t>
      </w:r>
    </w:p>
    <w:p w14:paraId="7BECF519" w14:textId="77777777" w:rsidR="006E6CED" w:rsidRPr="00725E11" w:rsidRDefault="006E6CED" w:rsidP="006A6300">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udzielić odpowiedzi, w jaki sposób projekt uwzględnia przystosowanie się do zmian klimatu i ich łagodzenia; w tym</w:t>
      </w:r>
      <w:r>
        <w:rPr>
          <w:rFonts w:ascii="Open Sans Light" w:hAnsi="Open Sans Light" w:cs="Open Sans Light"/>
          <w:sz w:val="22"/>
        </w:rPr>
        <w:t xml:space="preserve"> (w ramach badania preselekcyjnego – screeningu)</w:t>
      </w:r>
      <w:r w:rsidRPr="00725E11">
        <w:rPr>
          <w:rFonts w:ascii="Open Sans Light" w:hAnsi="Open Sans Light" w:cs="Open Sans Light"/>
          <w:sz w:val="22"/>
        </w:rPr>
        <w:t>:</w:t>
      </w:r>
    </w:p>
    <w:p w14:paraId="4C83AD7A" w14:textId="77777777" w:rsidR="006E6CED" w:rsidRPr="00725E11" w:rsidRDefault="006E6CED" w:rsidP="006A6300">
      <w:pPr>
        <w:pStyle w:val="Akapitzlist"/>
        <w:numPr>
          <w:ilvl w:val="0"/>
          <w:numId w:val="2"/>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72A302A6" w14:textId="77777777" w:rsidR="006E6CED" w:rsidRPr="00725E11" w:rsidRDefault="006E6CED" w:rsidP="006A6300">
      <w:pPr>
        <w:pStyle w:val="Akapitzlist"/>
        <w:numPr>
          <w:ilvl w:val="0"/>
          <w:numId w:val="2"/>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rozważono alternatywne rozwiązanie mające na celu minimalizowanie negatywnego oddziaływania przedsięwzięcia na klimat np. poprzez zmianę technologii na zeroemisyjne lub niskoemisyjne, ochronę naturalnych pochłaniaczy dwutlenku węgla (w szczególności ekosystemów wodnych i</w:t>
      </w:r>
      <w:r>
        <w:rPr>
          <w:rFonts w:ascii="Open Sans Light" w:hAnsi="Open Sans Light" w:cs="Open Sans Light"/>
          <w:sz w:val="22"/>
        </w:rPr>
        <w:t> </w:t>
      </w:r>
      <w:r w:rsidRPr="00725E11">
        <w:rPr>
          <w:rFonts w:ascii="Open Sans Light" w:hAnsi="Open Sans Light" w:cs="Open Sans Light"/>
          <w:sz w:val="22"/>
        </w:rPr>
        <w:t>leśnych), które mogą być zagrożone w wyniku realizacji działania, realizację działań kompensujących (równoważących) emisję dwutlenku węgla? W tym miejscu należy się odnieść do analizy opcji opisanej w pkt 4.3.2.3 SW.</w:t>
      </w:r>
    </w:p>
    <w:p w14:paraId="1CECAE72" w14:textId="28CD449D" w:rsidR="006E6CED" w:rsidRDefault="006E6CED" w:rsidP="006A6300">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iCs/>
          <w:sz w:val="22"/>
        </w:rPr>
        <w:t>W odpowiedzi można się oprzeć na ustaleniach przeprowadzonej w pkt. 7.1.3 analizy zgodności projektu z zasadą DNSH w odniesieniu do celu środowiskowego związanego z</w:t>
      </w:r>
      <w:r w:rsidR="00785E67">
        <w:rPr>
          <w:rFonts w:ascii="Open Sans Light" w:hAnsi="Open Sans Light" w:cs="Open Sans Light"/>
          <w:iCs/>
          <w:sz w:val="22"/>
        </w:rPr>
        <w:t> </w:t>
      </w:r>
      <w:r w:rsidRPr="00725E11">
        <w:rPr>
          <w:rFonts w:ascii="Open Sans Light" w:hAnsi="Open Sans Light" w:cs="Open Sans Light"/>
          <w:iCs/>
          <w:sz w:val="22"/>
        </w:rPr>
        <w:t>łagodzeniem zmian klimatu (pierwszy cel środowiskowy zgodnie z art. 9 Rozporządzenia w sprawie taksonomii). Dotyczy to zwłaszcza zastosowanych w</w:t>
      </w:r>
      <w:r>
        <w:rPr>
          <w:rFonts w:ascii="Open Sans Light" w:hAnsi="Open Sans Light" w:cs="Open Sans Light"/>
          <w:iCs/>
          <w:sz w:val="22"/>
        </w:rPr>
        <w:t> </w:t>
      </w:r>
      <w:r w:rsidRPr="00725E11">
        <w:rPr>
          <w:rFonts w:ascii="Open Sans Light" w:hAnsi="Open Sans Light" w:cs="Open Sans Light"/>
          <w:iCs/>
          <w:sz w:val="22"/>
        </w:rPr>
        <w:t>projekcie działań łagodzących przyczyniających się do zachowania neutralności klimatycznej lub pozytywnego wpływu przedsięwzięcia na klimat. W przypadku budowy lub znaczącej modernizacji dużych oczyszczalni ścieków analizę oddziaływania na klimat można oprzeć na ocenie śladu węglowego (Zawiadomienie Komisji, Wytyczne techniczne dotyczące weryfikacji infrastruktury pod względem wpływu na klimat w</w:t>
      </w:r>
      <w:r>
        <w:rPr>
          <w:rFonts w:ascii="Open Sans Light" w:hAnsi="Open Sans Light" w:cs="Open Sans Light"/>
          <w:iCs/>
          <w:sz w:val="22"/>
        </w:rPr>
        <w:t> </w:t>
      </w:r>
      <w:r w:rsidRPr="00725E11">
        <w:rPr>
          <w:rFonts w:ascii="Open Sans Light" w:hAnsi="Open Sans Light" w:cs="Open Sans Light"/>
          <w:iCs/>
          <w:sz w:val="22"/>
        </w:rPr>
        <w:t xml:space="preserve">latach 2021–2027 (2021/C 373/01) </w:t>
      </w:r>
      <w:hyperlink r:id="rId20" w:history="1">
        <w:r w:rsidRPr="00725E11">
          <w:rPr>
            <w:rStyle w:val="Hipercze"/>
            <w:rFonts w:ascii="Open Sans Light" w:hAnsi="Open Sans Light" w:cs="Open Sans Light"/>
            <w:sz w:val="22"/>
          </w:rPr>
          <w:t>https://eur-lex.europa.eu/legal-content/PL/TXT/?uri=uriserv%3AOJ.C_.2021.373.01.0001.01.POL&amp;toc=OJ%3AC%3A2021%3A373%3AFULL</w:t>
        </w:r>
      </w:hyperlink>
    </w:p>
    <w:p w14:paraId="74DF974F" w14:textId="552C26DE" w:rsidR="006E6CED" w:rsidRDefault="006E6CED" w:rsidP="006A6300">
      <w:pPr>
        <w:keepNext/>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lastRenderedPageBreak/>
        <w:t>7.4.2. Oddziaływanie zmian klimatu na projekt z uwzględnieniem środków mających na celu adaptację projektu do zmian klimatu, w tym reagowania na ryzyko powodziowe</w:t>
      </w:r>
    </w:p>
    <w:p w14:paraId="024E1F2B" w14:textId="77777777" w:rsidR="006E6CED" w:rsidRPr="00725E11" w:rsidRDefault="006E6CED" w:rsidP="006A6300">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udzielić odpowiedzi, w jaki sposób projekt uwzględnia zagrożenia związane ze zmianami klimatu oraz odporności na klęski żywiołowe; w tym</w:t>
      </w:r>
      <w:r>
        <w:rPr>
          <w:rFonts w:ascii="Open Sans Light" w:hAnsi="Open Sans Light" w:cs="Open Sans Light"/>
          <w:sz w:val="22"/>
        </w:rPr>
        <w:t xml:space="preserve"> (w ramach badania preselekcyjnego – screeningu)</w:t>
      </w:r>
      <w:r w:rsidRPr="00725E11">
        <w:rPr>
          <w:rFonts w:ascii="Open Sans Light" w:hAnsi="Open Sans Light" w:cs="Open Sans Light"/>
          <w:sz w:val="22"/>
        </w:rPr>
        <w:t>:</w:t>
      </w:r>
    </w:p>
    <w:p w14:paraId="0A0E652E" w14:textId="77777777" w:rsidR="006E6CED" w:rsidRPr="00725E11" w:rsidRDefault="006E6CED" w:rsidP="006A6300">
      <w:pPr>
        <w:pStyle w:val="Akapitzlist"/>
        <w:numPr>
          <w:ilvl w:val="0"/>
          <w:numId w:val="3"/>
        </w:numPr>
        <w:spacing w:after="120" w:line="276" w:lineRule="auto"/>
        <w:ind w:left="589" w:hanging="283"/>
        <w:jc w:val="left"/>
        <w:rPr>
          <w:rFonts w:ascii="Open Sans Light" w:hAnsi="Open Sans Light" w:cs="Open Sans Light"/>
          <w:sz w:val="22"/>
        </w:rPr>
      </w:pPr>
      <w:r w:rsidRPr="00725E11">
        <w:rPr>
          <w:rFonts w:ascii="Open Sans Light" w:hAnsi="Open Sans Light" w:cs="Open Sans Light"/>
          <w:sz w:val="22"/>
        </w:rPr>
        <w:t xml:space="preserve">czy w trakcie przygotowywania projektu przeprowadzono ocenę zagrożeń wynikających ze zmian klimatycznych lub kontrolę podatności na te zagrożenia (np. ryzyko powodzi, podtopień, ekstremalnych temperatur, burz, gradu i wiatru, osunięć ziemi)? </w:t>
      </w:r>
      <w:r>
        <w:rPr>
          <w:rFonts w:ascii="Open Sans Light" w:hAnsi="Open Sans Light" w:cs="Open Sans Light"/>
          <w:sz w:val="22"/>
        </w:rPr>
        <w:t xml:space="preserve">Należy przeprowadzić </w:t>
      </w:r>
      <w:r w:rsidRPr="00365F3C">
        <w:rPr>
          <w:rFonts w:ascii="Open Sans Light" w:hAnsi="Open Sans Light" w:cs="Open Sans Light"/>
          <w:sz w:val="22"/>
        </w:rPr>
        <w:t>szczegółowe analizy (jeśli dotyczy), włącznie ze zgodnością z polskimi regionalnymi i lokalnymi strategiami i planami adaptacji do zmian klimatu</w:t>
      </w:r>
      <w:r>
        <w:rPr>
          <w:rFonts w:ascii="Open Sans Light" w:hAnsi="Open Sans Light" w:cs="Open Sans Light"/>
          <w:sz w:val="22"/>
        </w:rPr>
        <w:t>.</w:t>
      </w:r>
      <w:r w:rsidRPr="00365F3C">
        <w:rPr>
          <w:rFonts w:ascii="Open Sans Light" w:hAnsi="Open Sans Light" w:cs="Open Sans Light"/>
          <w:sz w:val="22"/>
        </w:rPr>
        <w:t xml:space="preserve"> </w:t>
      </w:r>
      <w:r w:rsidRPr="00725E11">
        <w:rPr>
          <w:rFonts w:ascii="Open Sans Light" w:hAnsi="Open Sans Light" w:cs="Open Sans Light"/>
          <w:sz w:val="22"/>
        </w:rPr>
        <w:t>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w:t>
      </w:r>
      <w:r>
        <w:rPr>
          <w:rFonts w:ascii="Open Sans Light" w:hAnsi="Open Sans Light" w:cs="Open Sans Light"/>
          <w:sz w:val="22"/>
        </w:rPr>
        <w:t> </w:t>
      </w:r>
      <w:r w:rsidRPr="00725E11">
        <w:rPr>
          <w:rFonts w:ascii="Open Sans Light" w:hAnsi="Open Sans Light" w:cs="Open Sans Light"/>
          <w:sz w:val="22"/>
        </w:rPr>
        <w:t>ryzyko w rozumieniu dyrektywy 2007/60/WE.</w:t>
      </w:r>
    </w:p>
    <w:p w14:paraId="654C3DCC" w14:textId="77777777" w:rsidR="006E6CED" w:rsidRPr="00725E11" w:rsidRDefault="006E6CED" w:rsidP="006A6300">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w ramach prowadzonych prac nad przygotowaniem projektu, w tym związanych z wydaniem decyzji o środowiskowych uwarunkowaniach, uwzględniono kwestie związane ze zmianami klimatu?</w:t>
      </w:r>
    </w:p>
    <w:p w14:paraId="38EBB2C3" w14:textId="77777777" w:rsidR="006E6CED" w:rsidRPr="00725E11" w:rsidRDefault="006E6CED" w:rsidP="006A6300">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zmiany klimatu wpłynęły na lokalizację inwestycji?</w:t>
      </w:r>
    </w:p>
    <w:p w14:paraId="4535B077" w14:textId="77777777" w:rsidR="006E6CED" w:rsidRPr="00725E11" w:rsidRDefault="006E6CED" w:rsidP="006A6300">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inwestycja w połączeniu ze zmianami klimatu będzie miała jakikolwiek pozytywny lub negatywny wpływ na otoczenie?</w:t>
      </w:r>
    </w:p>
    <w:p w14:paraId="37BFA5F7" w14:textId="77777777" w:rsidR="006E6CED" w:rsidRPr="00725E11" w:rsidRDefault="006E6CED" w:rsidP="006A6300">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jakie rozwiązania przyjęto w ramach projektu w celu zapewnienia jego odporności na bieżącą zmienność klimatu i przyszłe zmiany klimatu?</w:t>
      </w:r>
    </w:p>
    <w:p w14:paraId="19DBFE9F" w14:textId="6B1B91CC" w:rsidR="006E6CED" w:rsidRDefault="006E6CED" w:rsidP="006A6300">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7.4.3. Zgodność projektu z celem środowiskowym gospodarki o obiegu zamkniętym, ochrony przyrody </w:t>
      </w:r>
    </w:p>
    <w:p w14:paraId="0DB99A43" w14:textId="65CE1266" w:rsidR="006E6CED" w:rsidRDefault="006E6CED" w:rsidP="006A6300">
      <w:pPr>
        <w:tabs>
          <w:tab w:val="left" w:pos="0"/>
        </w:tabs>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Należy wskazać, czy w projekcie zostały zastosowane rozwiązania w zakresie gospodarki o</w:t>
      </w:r>
      <w:r w:rsidR="00785E67">
        <w:rPr>
          <w:rFonts w:ascii="Open Sans Light" w:hAnsi="Open Sans Light" w:cs="Open Sans Light"/>
          <w:sz w:val="22"/>
        </w:rPr>
        <w:t> </w:t>
      </w:r>
      <w:r w:rsidRPr="00725E11">
        <w:rPr>
          <w:rFonts w:ascii="Open Sans Light" w:hAnsi="Open Sans Light" w:cs="Open Sans Light"/>
          <w:sz w:val="22"/>
        </w:rPr>
        <w:t xml:space="preserve">obiegu zamkniętym </w:t>
      </w:r>
      <w:r>
        <w:rPr>
          <w:rFonts w:ascii="Open Sans Light" w:hAnsi="Open Sans Light" w:cs="Open Sans Light"/>
          <w:sz w:val="22"/>
        </w:rPr>
        <w:t>oraz w zakresie ochrony przyrody (w tym różnorodności biologicznej).</w:t>
      </w:r>
    </w:p>
    <w:p w14:paraId="575A6A86" w14:textId="1A79FBB6" w:rsidR="006E6CED" w:rsidRDefault="006E6CED" w:rsidP="006A6300">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W szczególności należy wyjaśnić, czy podejmowane będą działania takie jak</w:t>
      </w:r>
      <w:r w:rsidRPr="00725E11">
        <w:rPr>
          <w:rFonts w:ascii="Open Sans Light" w:hAnsi="Open Sans Light" w:cs="Open Sans Light"/>
          <w:sz w:val="22"/>
        </w:rPr>
        <w:t xml:space="preserve"> m.in. </w:t>
      </w:r>
      <w:r>
        <w:rPr>
          <w:rFonts w:ascii="Open Sans Light" w:hAnsi="Open Sans Light" w:cs="Open Sans Light"/>
          <w:sz w:val="22"/>
        </w:rPr>
        <w:t xml:space="preserve">zmniejszenie pierwotnego zużycia surowców i materiałów, zapobieganie powstawaniu odpadów, odzysk, recycling, naprawa i ponowne wykorzystanie, </w:t>
      </w:r>
      <w:r w:rsidRPr="00725E11">
        <w:rPr>
          <w:rFonts w:ascii="Open Sans Light" w:hAnsi="Open Sans Light" w:cs="Open Sans Light"/>
          <w:sz w:val="22"/>
        </w:rPr>
        <w:t xml:space="preserve">wykorzystanie wody szarej, ścieków oczyszczonych, </w:t>
      </w:r>
      <w:r>
        <w:rPr>
          <w:rFonts w:ascii="Open Sans Light" w:hAnsi="Open Sans Light" w:cs="Open Sans Light"/>
          <w:sz w:val="22"/>
        </w:rPr>
        <w:t xml:space="preserve">ograniczenie presji na środowisko, uwzględnianie efektów środowiskowych w zarzadzaniu, zrównoważone gospodarowanie wodami opadowymi, zachowanie istniejącej zieleni (w szczególności drzew) i powierzchni biologicznie czynnej na terenie inwestycji oraz retencjonowanie wody. </w:t>
      </w:r>
      <w:r w:rsidRPr="00725E11">
        <w:rPr>
          <w:rFonts w:ascii="Open Sans Light" w:hAnsi="Open Sans Light" w:cs="Open Sans Light"/>
          <w:sz w:val="22"/>
        </w:rPr>
        <w:t xml:space="preserve"> </w:t>
      </w:r>
      <w:r w:rsidRPr="001B48AF">
        <w:rPr>
          <w:rFonts w:ascii="Open Sans Light" w:hAnsi="Open Sans Light" w:cs="Open Sans Light"/>
          <w:sz w:val="22"/>
        </w:rPr>
        <w:t xml:space="preserve">Należy wyjaśnić czy projekt zawiera rozwiązania przyczyniające się do wzrostu </w:t>
      </w:r>
      <w:r w:rsidRPr="00725E11">
        <w:rPr>
          <w:rFonts w:ascii="Open Sans Light" w:hAnsi="Open Sans Light" w:cs="Open Sans Light"/>
          <w:sz w:val="22"/>
        </w:rPr>
        <w:t xml:space="preserve">efektywności energetycznej i użycia energii ze </w:t>
      </w:r>
      <w:r w:rsidRPr="00725E11">
        <w:rPr>
          <w:rFonts w:ascii="Open Sans Light" w:hAnsi="Open Sans Light" w:cs="Open Sans Light"/>
          <w:sz w:val="22"/>
        </w:rPr>
        <w:lastRenderedPageBreak/>
        <w:t xml:space="preserve">źródeł odnawialnych, </w:t>
      </w:r>
      <w:r>
        <w:rPr>
          <w:rFonts w:ascii="Open Sans Light" w:hAnsi="Open Sans Light" w:cs="Open Sans Light"/>
          <w:sz w:val="22"/>
        </w:rPr>
        <w:t xml:space="preserve">a </w:t>
      </w:r>
      <w:r w:rsidRPr="00725E11">
        <w:rPr>
          <w:rFonts w:ascii="Open Sans Light" w:hAnsi="Open Sans Light" w:cs="Open Sans Light"/>
          <w:sz w:val="22"/>
        </w:rPr>
        <w:t>w zakresie ochrony</w:t>
      </w:r>
      <w:r>
        <w:rPr>
          <w:rFonts w:ascii="Open Sans Light" w:hAnsi="Open Sans Light" w:cs="Open Sans Light"/>
          <w:sz w:val="22"/>
        </w:rPr>
        <w:t xml:space="preserve"> przyrody uwzględnienie utrzymania istniejącej zieleni</w:t>
      </w:r>
      <w:r w:rsidRPr="00725E11">
        <w:rPr>
          <w:rFonts w:ascii="Open Sans Light" w:hAnsi="Open Sans Light" w:cs="Open Sans Light"/>
          <w:sz w:val="22"/>
        </w:rPr>
        <w:t>,</w:t>
      </w:r>
      <w:r>
        <w:rPr>
          <w:rFonts w:ascii="Open Sans Light" w:hAnsi="Open Sans Light" w:cs="Open Sans Light"/>
          <w:sz w:val="22"/>
        </w:rPr>
        <w:t xml:space="preserve"> w szczególności drzew i istniejących </w:t>
      </w:r>
      <w:r w:rsidRPr="00725E11">
        <w:rPr>
          <w:rFonts w:ascii="Open Sans Light" w:hAnsi="Open Sans Light" w:cs="Open Sans Light"/>
          <w:sz w:val="22"/>
        </w:rPr>
        <w:t xml:space="preserve"> ekosystemów, promowania i przywracania zdrowych </w:t>
      </w:r>
      <w:r>
        <w:rPr>
          <w:rFonts w:ascii="Open Sans Light" w:hAnsi="Open Sans Light" w:cs="Open Sans Light"/>
          <w:sz w:val="22"/>
        </w:rPr>
        <w:t xml:space="preserve">ekosystemów i zwiększania różnorodności biologicznej, komponentów opartych na przyrodzie, </w:t>
      </w:r>
      <w:r w:rsidRPr="00725E11">
        <w:rPr>
          <w:rFonts w:ascii="Open Sans Light" w:hAnsi="Open Sans Light" w:cs="Open Sans Light"/>
          <w:sz w:val="22"/>
        </w:rPr>
        <w:t>zielonej oraz niebieskiej infrastruktury i rozwiązań opartych na rodzimych zasobach przyrody</w:t>
      </w:r>
      <w:r>
        <w:rPr>
          <w:rFonts w:ascii="Open Sans Light" w:hAnsi="Open Sans Light" w:cs="Open Sans Light"/>
          <w:sz w:val="22"/>
        </w:rPr>
        <w:t xml:space="preserve"> oraz realizacji dodatkowych </w:t>
      </w:r>
      <w:proofErr w:type="spellStart"/>
      <w:r>
        <w:rPr>
          <w:rFonts w:ascii="Open Sans Light" w:hAnsi="Open Sans Light" w:cs="Open Sans Light"/>
          <w:sz w:val="22"/>
        </w:rPr>
        <w:t>nasadzeń</w:t>
      </w:r>
      <w:proofErr w:type="spellEnd"/>
      <w:r>
        <w:rPr>
          <w:rFonts w:ascii="Open Sans Light" w:hAnsi="Open Sans Light" w:cs="Open Sans Light"/>
          <w:sz w:val="22"/>
        </w:rPr>
        <w:t xml:space="preserve"> drzew i krzewów</w:t>
      </w:r>
      <w:r w:rsidRPr="00725E11">
        <w:rPr>
          <w:rFonts w:ascii="Open Sans Light" w:hAnsi="Open Sans Light" w:cs="Open Sans Light"/>
          <w:sz w:val="22"/>
        </w:rPr>
        <w:t>.</w:t>
      </w:r>
    </w:p>
    <w:p w14:paraId="54BA3568" w14:textId="03AA953F" w:rsidR="006F2E5A" w:rsidRPr="00581E59" w:rsidRDefault="000574CD" w:rsidP="006A6300">
      <w:pPr>
        <w:spacing w:before="240" w:after="120" w:line="276" w:lineRule="auto"/>
        <w:ind w:left="0" w:firstLine="0"/>
        <w:jc w:val="left"/>
        <w:rPr>
          <w:rFonts w:ascii="Open Sans Light" w:hAnsi="Open Sans Light" w:cs="Open Sans Light"/>
          <w:sz w:val="22"/>
        </w:rPr>
      </w:pPr>
      <w:r w:rsidRPr="00581E59">
        <w:rPr>
          <w:rFonts w:ascii="Open Sans Light" w:hAnsi="Open Sans Light" w:cs="Open Sans Light"/>
          <w:sz w:val="22"/>
        </w:rPr>
        <w:t xml:space="preserve">W związku z możliwością otrzymania punktów z tytułu spełnienia Kryterium horyzontalnego rankingującego nr 1 w szczególności trzeba wyjaśnić, czy </w:t>
      </w:r>
      <w:r w:rsidR="00300102">
        <w:rPr>
          <w:rFonts w:ascii="Open Sans Light" w:hAnsi="Open Sans Light" w:cs="Open Sans Light"/>
          <w:sz w:val="22"/>
        </w:rPr>
        <w:t xml:space="preserve">w ramach projektu są </w:t>
      </w:r>
      <w:r w:rsidRPr="00581E59">
        <w:rPr>
          <w:rFonts w:ascii="Open Sans Light" w:hAnsi="Open Sans Light" w:cs="Open Sans Light"/>
          <w:sz w:val="22"/>
        </w:rPr>
        <w:t>podejmowane działania w zakresie:</w:t>
      </w:r>
    </w:p>
    <w:p w14:paraId="35C7594F" w14:textId="3A3A6734" w:rsidR="000574CD" w:rsidRPr="00642D82" w:rsidRDefault="000574CD" w:rsidP="006A6300">
      <w:pPr>
        <w:pStyle w:val="Akapitzlist"/>
        <w:numPr>
          <w:ilvl w:val="0"/>
          <w:numId w:val="21"/>
        </w:numPr>
        <w:spacing w:before="240" w:after="120" w:line="276" w:lineRule="auto"/>
        <w:jc w:val="left"/>
        <w:rPr>
          <w:rFonts w:ascii="Open Sans Light" w:hAnsi="Open Sans Light" w:cs="Open Sans Light"/>
          <w:sz w:val="22"/>
        </w:rPr>
      </w:pPr>
      <w:r w:rsidRPr="00581E59">
        <w:rPr>
          <w:rFonts w:ascii="Open Sans Light" w:hAnsi="Open Sans Light" w:cs="Open Sans Light"/>
          <w:sz w:val="22"/>
        </w:rPr>
        <w:t xml:space="preserve">gospodarki o obiegu </w:t>
      </w:r>
      <w:r w:rsidR="00300102" w:rsidRPr="00581E59">
        <w:rPr>
          <w:rFonts w:ascii="Open Sans Light" w:hAnsi="Open Sans Light" w:cs="Open Sans Light"/>
          <w:sz w:val="22"/>
        </w:rPr>
        <w:t>zamkniętym</w:t>
      </w:r>
      <w:r w:rsidR="00300102">
        <w:rPr>
          <w:rFonts w:ascii="Open Sans Light" w:hAnsi="Open Sans Light" w:cs="Open Sans Light"/>
          <w:sz w:val="22"/>
        </w:rPr>
        <w:t xml:space="preserve">, np. </w:t>
      </w:r>
      <w:r w:rsidR="00581E59">
        <w:rPr>
          <w:rFonts w:ascii="Open Sans Light" w:hAnsi="Open Sans Light" w:cs="Open Sans Light"/>
          <w:sz w:val="22"/>
        </w:rPr>
        <w:t xml:space="preserve">poprzez </w:t>
      </w:r>
      <w:r w:rsidR="00300102">
        <w:rPr>
          <w:rFonts w:ascii="Open Sans Light" w:hAnsi="Open Sans Light" w:cs="Open Sans Light"/>
          <w:sz w:val="22"/>
        </w:rPr>
        <w:t>ponowne wykorzystanie ścieków oczyszczonych</w:t>
      </w:r>
      <w:r w:rsidRPr="00642D82">
        <w:rPr>
          <w:rFonts w:ascii="Open Sans Light" w:hAnsi="Open Sans Light" w:cs="Open Sans Light"/>
          <w:sz w:val="22"/>
        </w:rPr>
        <w:t>;</w:t>
      </w:r>
      <w:r w:rsidR="009E3D17">
        <w:rPr>
          <w:rFonts w:ascii="Open Sans Light" w:hAnsi="Open Sans Light" w:cs="Open Sans Light"/>
          <w:sz w:val="22"/>
        </w:rPr>
        <w:t xml:space="preserve"> produkcja i wykorzystanie biogazu uzyskanego w procesie oczyszczania ścieków, w</w:t>
      </w:r>
      <w:r w:rsidR="009E3D17" w:rsidRPr="009E3D17">
        <w:rPr>
          <w:rFonts w:ascii="Open Sans Light" w:hAnsi="Open Sans Light" w:cs="Open Sans Light"/>
          <w:sz w:val="22"/>
        </w:rPr>
        <w:t>ykorzystanie ścieków jako źródła energii cieplnej poprzez technologie wymienników ciepła</w:t>
      </w:r>
      <w:r w:rsidR="009E3D17">
        <w:rPr>
          <w:rFonts w:ascii="Open Sans Light" w:hAnsi="Open Sans Light" w:cs="Open Sans Light"/>
          <w:sz w:val="22"/>
        </w:rPr>
        <w:t>, itp.</w:t>
      </w:r>
    </w:p>
    <w:p w14:paraId="0302A129" w14:textId="2DA4CB51" w:rsidR="00300102" w:rsidRDefault="00300102" w:rsidP="006A6300">
      <w:pPr>
        <w:pStyle w:val="Akapitzlist"/>
        <w:numPr>
          <w:ilvl w:val="0"/>
          <w:numId w:val="21"/>
        </w:numPr>
        <w:spacing w:before="240" w:after="120" w:line="276" w:lineRule="auto"/>
        <w:jc w:val="left"/>
        <w:rPr>
          <w:rFonts w:ascii="Open Sans Light" w:hAnsi="Open Sans Light" w:cs="Open Sans Light"/>
          <w:sz w:val="22"/>
        </w:rPr>
      </w:pPr>
      <w:r w:rsidRPr="00300102">
        <w:rPr>
          <w:rFonts w:ascii="Open Sans Light" w:hAnsi="Open Sans Light" w:cs="Open Sans Light"/>
          <w:sz w:val="22"/>
        </w:rPr>
        <w:t>odporności i adaptacji do zmian klimatu</w:t>
      </w:r>
      <w:r>
        <w:rPr>
          <w:rFonts w:ascii="Open Sans Light" w:hAnsi="Open Sans Light" w:cs="Open Sans Light"/>
          <w:sz w:val="22"/>
        </w:rPr>
        <w:t xml:space="preserve">, w szczególności dotyczące </w:t>
      </w:r>
      <w:r w:rsidR="00BD3FD3">
        <w:rPr>
          <w:rFonts w:ascii="Open Sans Light" w:hAnsi="Open Sans Light" w:cs="Open Sans Light"/>
          <w:sz w:val="22"/>
        </w:rPr>
        <w:t>zagospodarowania</w:t>
      </w:r>
      <w:r w:rsidR="00BD3FD3" w:rsidRPr="00BD3FD3">
        <w:rPr>
          <w:rFonts w:ascii="Open Sans Light" w:hAnsi="Open Sans Light" w:cs="Open Sans Light"/>
          <w:sz w:val="22"/>
        </w:rPr>
        <w:t xml:space="preserve"> wody opadowej w miejscu realizacji projektu (</w:t>
      </w:r>
      <w:r w:rsidR="00BD3FD3">
        <w:rPr>
          <w:rFonts w:ascii="Open Sans Light" w:hAnsi="Open Sans Light" w:cs="Open Sans Light"/>
          <w:sz w:val="22"/>
        </w:rPr>
        <w:t>z</w:t>
      </w:r>
      <w:r w:rsidR="00785E67">
        <w:rPr>
          <w:rFonts w:ascii="Open Sans Light" w:hAnsi="Open Sans Light" w:cs="Open Sans Light"/>
          <w:sz w:val="22"/>
        </w:rPr>
        <w:t> </w:t>
      </w:r>
      <w:r w:rsidR="00BD3FD3">
        <w:rPr>
          <w:rFonts w:ascii="Open Sans Light" w:hAnsi="Open Sans Light" w:cs="Open Sans Light"/>
          <w:sz w:val="22"/>
        </w:rPr>
        <w:t>wykorzystaniem rozwiązań opartych na przyrodzie</w:t>
      </w:r>
      <w:r w:rsidR="00BD3FD3" w:rsidRPr="00BD3FD3">
        <w:rPr>
          <w:rFonts w:ascii="Open Sans Light" w:hAnsi="Open Sans Light" w:cs="Open Sans Light"/>
          <w:sz w:val="22"/>
        </w:rPr>
        <w:t xml:space="preserve">, w tym </w:t>
      </w:r>
      <w:r w:rsidR="00BD3FD3">
        <w:rPr>
          <w:rFonts w:ascii="Open Sans Light" w:hAnsi="Open Sans Light" w:cs="Open Sans Light"/>
          <w:sz w:val="22"/>
        </w:rPr>
        <w:t xml:space="preserve">m.in. </w:t>
      </w:r>
      <w:r w:rsidR="00BD3FD3" w:rsidRPr="00BD3FD3">
        <w:rPr>
          <w:rFonts w:ascii="Open Sans Light" w:hAnsi="Open Sans Light" w:cs="Open Sans Light"/>
          <w:sz w:val="22"/>
        </w:rPr>
        <w:t>założenie niecek retencyjnych, muld chłonnych, nawierzchni przepuszczalnych, ogrodów deszczowych i zielonych dachów/zielonych ścian wykorzystujących do zasilania tylko wody opadowe)</w:t>
      </w:r>
      <w:r w:rsidR="00642D82">
        <w:rPr>
          <w:rFonts w:ascii="Open Sans Light" w:hAnsi="Open Sans Light" w:cs="Open Sans Light"/>
          <w:sz w:val="22"/>
        </w:rPr>
        <w:t>;</w:t>
      </w:r>
    </w:p>
    <w:p w14:paraId="40244505" w14:textId="2618AA5C" w:rsidR="00300102" w:rsidRDefault="00300102" w:rsidP="006A6300">
      <w:pPr>
        <w:pStyle w:val="Akapitzlist"/>
        <w:numPr>
          <w:ilvl w:val="0"/>
          <w:numId w:val="21"/>
        </w:numPr>
        <w:spacing w:before="240" w:after="120" w:line="276" w:lineRule="auto"/>
        <w:jc w:val="left"/>
        <w:rPr>
          <w:rFonts w:ascii="Open Sans Light" w:hAnsi="Open Sans Light" w:cs="Open Sans Light"/>
          <w:sz w:val="22"/>
        </w:rPr>
      </w:pPr>
      <w:r w:rsidRPr="00300102">
        <w:rPr>
          <w:rFonts w:ascii="Open Sans Light" w:hAnsi="Open Sans Light" w:cs="Open Sans Light"/>
          <w:sz w:val="22"/>
        </w:rPr>
        <w:t>ochrony przyrody (w tym zachowanie istniejących drzew i terenów zielonych oraz różnorodności biologicznej</w:t>
      </w:r>
      <w:r w:rsidR="004E3BD1">
        <w:rPr>
          <w:rFonts w:ascii="Open Sans Light" w:hAnsi="Open Sans Light" w:cs="Open Sans Light"/>
          <w:sz w:val="22"/>
        </w:rPr>
        <w:t xml:space="preserve">, np. poprzez </w:t>
      </w:r>
      <w:r w:rsidR="00D47AE0">
        <w:rPr>
          <w:rFonts w:ascii="Open Sans Light" w:hAnsi="Open Sans Light" w:cs="Open Sans Light"/>
          <w:sz w:val="22"/>
        </w:rPr>
        <w:t>zachowanie lub stworzenie powiązań</w:t>
      </w:r>
      <w:r w:rsidR="00275533">
        <w:rPr>
          <w:rFonts w:ascii="Open Sans Light" w:hAnsi="Open Sans Light" w:cs="Open Sans Light"/>
          <w:sz w:val="22"/>
        </w:rPr>
        <w:t xml:space="preserve"> przyrodniczych z otoczeniem umożliwiających migrację</w:t>
      </w:r>
      <w:r w:rsidR="00581E59">
        <w:rPr>
          <w:rFonts w:ascii="Open Sans Light" w:hAnsi="Open Sans Light" w:cs="Open Sans Light"/>
          <w:sz w:val="22"/>
        </w:rPr>
        <w:t xml:space="preserve"> gatunków</w:t>
      </w:r>
      <w:r w:rsidR="00275533">
        <w:rPr>
          <w:rFonts w:ascii="Open Sans Light" w:hAnsi="Open Sans Light" w:cs="Open Sans Light"/>
          <w:sz w:val="22"/>
        </w:rPr>
        <w:t xml:space="preserve">, zachowanie lub tworzenie wielowarstwowych struktur roślinności (min. 4 warstwy), </w:t>
      </w:r>
      <w:r w:rsidR="004E3BD1" w:rsidRPr="004E3BD1">
        <w:rPr>
          <w:rFonts w:ascii="Open Sans Light" w:hAnsi="Open Sans Light" w:cs="Open Sans Light"/>
          <w:sz w:val="22"/>
        </w:rPr>
        <w:t xml:space="preserve">tworzenie </w:t>
      </w:r>
      <w:proofErr w:type="spellStart"/>
      <w:r w:rsidR="004E3BD1" w:rsidRPr="004E3BD1">
        <w:rPr>
          <w:rFonts w:ascii="Open Sans Light" w:hAnsi="Open Sans Light" w:cs="Open Sans Light"/>
          <w:sz w:val="22"/>
        </w:rPr>
        <w:t>ekostref</w:t>
      </w:r>
      <w:proofErr w:type="spellEnd"/>
      <w:r w:rsidR="004E3BD1" w:rsidRPr="004E3BD1">
        <w:rPr>
          <w:rFonts w:ascii="Open Sans Light" w:hAnsi="Open Sans Light" w:cs="Open Sans Light"/>
          <w:sz w:val="22"/>
        </w:rPr>
        <w:t>/</w:t>
      </w:r>
      <w:proofErr w:type="spellStart"/>
      <w:r w:rsidR="004E3BD1" w:rsidRPr="004E3BD1">
        <w:rPr>
          <w:rFonts w:ascii="Open Sans Light" w:hAnsi="Open Sans Light" w:cs="Open Sans Light"/>
          <w:sz w:val="22"/>
        </w:rPr>
        <w:t>ekospotów</w:t>
      </w:r>
      <w:proofErr w:type="spellEnd"/>
      <w:r w:rsidR="004E3BD1" w:rsidRPr="004E3BD1">
        <w:rPr>
          <w:rFonts w:ascii="Open Sans Light" w:hAnsi="Open Sans Light" w:cs="Open Sans Light"/>
          <w:sz w:val="22"/>
        </w:rPr>
        <w:t>, tj. siedlisk umożliwiających rozwój drobnych ssaków, bezkręgowców, grzybów, mchów i porostów,  nasadzenia gatunków dających pożytek owadom zapylającym lub stanowiących bazę pokarmową dla ptaków i</w:t>
      </w:r>
      <w:r w:rsidR="00785E67">
        <w:rPr>
          <w:rFonts w:ascii="Open Sans Light" w:hAnsi="Open Sans Light" w:cs="Open Sans Light"/>
          <w:sz w:val="22"/>
        </w:rPr>
        <w:t> </w:t>
      </w:r>
      <w:r w:rsidR="004E3BD1" w:rsidRPr="004E3BD1">
        <w:rPr>
          <w:rFonts w:ascii="Open Sans Light" w:hAnsi="Open Sans Light" w:cs="Open Sans Light"/>
          <w:sz w:val="22"/>
        </w:rPr>
        <w:t>drobnej fauny, zakup i montaż budek lęgowych, poideł dla ptaków, domków dla owadów; zwalczanie gatunków inwazyjnych obcych; założenie/przywrócenie łąk kwietnych, itp. - tam, gdzie rozwiązania te przyczynią się bezpośrednio do ochrony przyrody i bioróżnorodności w miejscu realizacji inwestycji</w:t>
      </w:r>
      <w:r w:rsidR="00935920">
        <w:rPr>
          <w:rFonts w:ascii="Open Sans Light" w:hAnsi="Open Sans Light" w:cs="Open Sans Light"/>
          <w:sz w:val="22"/>
        </w:rPr>
        <w:t xml:space="preserve">. </w:t>
      </w:r>
      <w:r w:rsidR="006833CC">
        <w:rPr>
          <w:rFonts w:ascii="Open Sans Light" w:hAnsi="Open Sans Light" w:cs="Open Sans Light"/>
          <w:sz w:val="22"/>
        </w:rPr>
        <w:t>Z</w:t>
      </w:r>
      <w:r w:rsidR="00935920">
        <w:rPr>
          <w:rFonts w:ascii="Open Sans Light" w:hAnsi="Open Sans Light" w:cs="Open Sans Light"/>
          <w:sz w:val="22"/>
        </w:rPr>
        <w:t xml:space="preserve">achowanie istniejącej zieleni </w:t>
      </w:r>
      <w:r w:rsidR="006833CC">
        <w:rPr>
          <w:rFonts w:ascii="Open Sans Light" w:hAnsi="Open Sans Light" w:cs="Open Sans Light"/>
          <w:sz w:val="22"/>
        </w:rPr>
        <w:t>rozumiane jest, jako zachowanie wszystkich drzew i krzewów</w:t>
      </w:r>
      <w:r w:rsidR="00D47AE0">
        <w:rPr>
          <w:rFonts w:ascii="Open Sans Light" w:hAnsi="Open Sans Light" w:cs="Open Sans Light"/>
          <w:sz w:val="22"/>
        </w:rPr>
        <w:t>, których rozmiary wskazywałaby na obowiązek uzyskania odpowiednich decyzji administracyjnych w przypadku ich usunięcia (z wyjątkiem drzew stwarzających zagrożenia dla ludzi i mienia)</w:t>
      </w:r>
      <w:r w:rsidR="00642D82">
        <w:rPr>
          <w:rFonts w:ascii="Open Sans Light" w:hAnsi="Open Sans Light" w:cs="Open Sans Light"/>
          <w:sz w:val="22"/>
        </w:rPr>
        <w:t>;</w:t>
      </w:r>
      <w:r w:rsidR="00D47AE0">
        <w:rPr>
          <w:rFonts w:ascii="Open Sans Light" w:hAnsi="Open Sans Light" w:cs="Open Sans Light"/>
          <w:sz w:val="22"/>
        </w:rPr>
        <w:t xml:space="preserve"> </w:t>
      </w:r>
    </w:p>
    <w:p w14:paraId="02254205" w14:textId="2E2C650B" w:rsidR="00300102" w:rsidRDefault="00300102" w:rsidP="006A6300">
      <w:pPr>
        <w:pStyle w:val="Akapitzlist"/>
        <w:numPr>
          <w:ilvl w:val="0"/>
          <w:numId w:val="21"/>
        </w:numPr>
        <w:spacing w:before="240" w:after="120" w:line="276" w:lineRule="auto"/>
        <w:jc w:val="left"/>
        <w:rPr>
          <w:rFonts w:ascii="Open Sans Light" w:hAnsi="Open Sans Light" w:cs="Open Sans Light"/>
          <w:sz w:val="22"/>
        </w:rPr>
      </w:pPr>
      <w:r w:rsidRPr="00300102">
        <w:rPr>
          <w:rFonts w:ascii="Open Sans Light" w:hAnsi="Open Sans Light" w:cs="Open Sans Light"/>
          <w:sz w:val="22"/>
        </w:rPr>
        <w:t>poprawy efektywności energetycznej lub OZE</w:t>
      </w:r>
      <w:r w:rsidR="00275533">
        <w:rPr>
          <w:rFonts w:ascii="Open Sans Light" w:hAnsi="Open Sans Light" w:cs="Open Sans Light"/>
          <w:sz w:val="22"/>
        </w:rPr>
        <w:t xml:space="preserve">, np. poprzez zastosowanie energooszczędnych urządzeń/rozwiązań lub odnawialnych źródeł energii </w:t>
      </w:r>
      <w:r w:rsidR="00642D82">
        <w:rPr>
          <w:rFonts w:ascii="Open Sans Light" w:hAnsi="Open Sans Light" w:cs="Open Sans Light"/>
          <w:sz w:val="22"/>
        </w:rPr>
        <w:t>na potrzeby wnioskodawcy;</w:t>
      </w:r>
    </w:p>
    <w:p w14:paraId="14367B78" w14:textId="1B4C4D49" w:rsidR="00300102" w:rsidRDefault="00300102" w:rsidP="006A6300">
      <w:pPr>
        <w:pStyle w:val="Akapitzlist"/>
        <w:numPr>
          <w:ilvl w:val="0"/>
          <w:numId w:val="21"/>
        </w:numPr>
        <w:spacing w:before="240" w:after="120" w:line="276" w:lineRule="auto"/>
        <w:jc w:val="left"/>
        <w:rPr>
          <w:rFonts w:ascii="Open Sans Light" w:hAnsi="Open Sans Light" w:cs="Open Sans Light"/>
          <w:sz w:val="22"/>
        </w:rPr>
      </w:pPr>
      <w:r w:rsidRPr="00300102">
        <w:rPr>
          <w:rFonts w:ascii="Open Sans Light" w:hAnsi="Open Sans Light" w:cs="Open Sans Light"/>
          <w:sz w:val="22"/>
        </w:rPr>
        <w:lastRenderedPageBreak/>
        <w:t>dodatkowe nasadzenia drzew lub drzew i krzewów ponad te wynikające z</w:t>
      </w:r>
      <w:r w:rsidR="00785E67">
        <w:rPr>
          <w:rFonts w:ascii="Open Sans Light" w:hAnsi="Open Sans Light" w:cs="Open Sans Light"/>
          <w:sz w:val="22"/>
        </w:rPr>
        <w:t> </w:t>
      </w:r>
      <w:r w:rsidRPr="00300102">
        <w:rPr>
          <w:rFonts w:ascii="Open Sans Light" w:hAnsi="Open Sans Light" w:cs="Open Sans Light"/>
          <w:sz w:val="22"/>
        </w:rPr>
        <w:t xml:space="preserve">rozstrzygnięć administracyjnych. Trwałość wykonanych </w:t>
      </w:r>
      <w:proofErr w:type="spellStart"/>
      <w:r w:rsidRPr="00300102">
        <w:rPr>
          <w:rFonts w:ascii="Open Sans Light" w:hAnsi="Open Sans Light" w:cs="Open Sans Light"/>
          <w:sz w:val="22"/>
        </w:rPr>
        <w:t>nasadzeń</w:t>
      </w:r>
      <w:proofErr w:type="spellEnd"/>
      <w:r w:rsidRPr="00300102">
        <w:rPr>
          <w:rFonts w:ascii="Open Sans Light" w:hAnsi="Open Sans Light" w:cs="Open Sans Light"/>
          <w:sz w:val="22"/>
        </w:rPr>
        <w:t xml:space="preserve"> wynosi co najmniej 5 lat.</w:t>
      </w:r>
      <w:r w:rsidR="004E3BD1">
        <w:rPr>
          <w:rFonts w:ascii="Open Sans Light" w:hAnsi="Open Sans Light" w:cs="Open Sans Light"/>
          <w:sz w:val="22"/>
        </w:rPr>
        <w:t xml:space="preserve"> Zalecane są nasadzenia z wykorzystaniem </w:t>
      </w:r>
      <w:r w:rsidR="005450BB" w:rsidRPr="005450BB">
        <w:rPr>
          <w:rFonts w:ascii="Open Sans Light" w:hAnsi="Open Sans Light" w:cs="Open Sans Light"/>
          <w:sz w:val="22"/>
        </w:rPr>
        <w:t>roślin rodzimych właściwych dla strefy klimatycznej oraz naturalnie przystosowanych do środowiska, w którym będą wzrastał</w:t>
      </w:r>
      <w:r w:rsidR="00642D82">
        <w:rPr>
          <w:rFonts w:ascii="Open Sans Light" w:hAnsi="Open Sans Light" w:cs="Open Sans Light"/>
          <w:sz w:val="22"/>
        </w:rPr>
        <w:t>y;</w:t>
      </w:r>
    </w:p>
    <w:p w14:paraId="3782276B" w14:textId="593DB665" w:rsidR="00300102" w:rsidRPr="00275533" w:rsidRDefault="00300102" w:rsidP="006A6300">
      <w:pPr>
        <w:pStyle w:val="Akapitzlist"/>
        <w:numPr>
          <w:ilvl w:val="0"/>
          <w:numId w:val="21"/>
        </w:numPr>
        <w:spacing w:before="240" w:after="120" w:line="276" w:lineRule="auto"/>
        <w:jc w:val="left"/>
        <w:rPr>
          <w:rFonts w:ascii="Open Sans Light" w:hAnsi="Open Sans Light" w:cs="Open Sans Light"/>
          <w:sz w:val="22"/>
        </w:rPr>
      </w:pPr>
      <w:r w:rsidRPr="00300102">
        <w:rPr>
          <w:rFonts w:ascii="Open Sans Light" w:hAnsi="Open Sans Light" w:cs="Open Sans Light"/>
          <w:sz w:val="22"/>
        </w:rPr>
        <w:t>realizacja projektu będzie przebiegać zgodnie ze „Standardem ochrony drzew i</w:t>
      </w:r>
      <w:r w:rsidR="00785E67">
        <w:rPr>
          <w:rFonts w:ascii="Open Sans Light" w:hAnsi="Open Sans Light" w:cs="Open Sans Light"/>
          <w:sz w:val="22"/>
        </w:rPr>
        <w:t> </w:t>
      </w:r>
      <w:r w:rsidRPr="00300102">
        <w:rPr>
          <w:rFonts w:ascii="Open Sans Light" w:hAnsi="Open Sans Light" w:cs="Open Sans Light"/>
          <w:sz w:val="22"/>
        </w:rPr>
        <w:t xml:space="preserve">innych form zieleni w procesie inwestycyjnym” (Standard opracowany przez Fundację Ekorozwoju oraz Stowarzyszenie Architektury Krajobrazu Fundacja </w:t>
      </w:r>
      <w:proofErr w:type="spellStart"/>
      <w:r w:rsidRPr="00300102">
        <w:rPr>
          <w:rFonts w:ascii="Open Sans Light" w:hAnsi="Open Sans Light" w:cs="Open Sans Light"/>
          <w:sz w:val="22"/>
        </w:rPr>
        <w:t>EkoRozwoju</w:t>
      </w:r>
      <w:proofErr w:type="spellEnd"/>
      <w:r w:rsidRPr="00300102">
        <w:rPr>
          <w:rFonts w:ascii="Open Sans Light" w:hAnsi="Open Sans Light" w:cs="Open Sans Light"/>
          <w:sz w:val="22"/>
        </w:rPr>
        <w:t>) lub innym standardem stosowanym przez wnioskodawcę chroniącym zieleń w stopniu nie mniejszym niż ww. “Standard (...)”. Spełnienie przedmiotowego kryterium następuje na podstawie oświadczenia wnioskodawcy.</w:t>
      </w:r>
    </w:p>
    <w:p w14:paraId="6B4B9D40" w14:textId="551221F5" w:rsidR="006E6CED" w:rsidRDefault="006E6CED" w:rsidP="006A6300">
      <w:pPr>
        <w:spacing w:before="240" w:after="120" w:line="276" w:lineRule="auto"/>
        <w:ind w:left="426" w:hanging="568"/>
        <w:jc w:val="left"/>
        <w:rPr>
          <w:rFonts w:ascii="Open Sans Light" w:hAnsi="Open Sans Light" w:cs="Open Sans Light"/>
          <w:sz w:val="22"/>
        </w:rPr>
      </w:pPr>
      <w:r w:rsidRPr="00725E11">
        <w:rPr>
          <w:rFonts w:ascii="Open Sans Light" w:hAnsi="Open Sans Light" w:cs="Open Sans Light"/>
          <w:b/>
          <w:sz w:val="22"/>
        </w:rPr>
        <w:t xml:space="preserve">7.5.1. </w:t>
      </w:r>
      <w:r w:rsidRPr="00725E11">
        <w:rPr>
          <w:rFonts w:ascii="Open Sans Light" w:eastAsia="Arial" w:hAnsi="Open Sans Light" w:cs="Open Sans Light"/>
          <w:b/>
          <w:sz w:val="22"/>
        </w:rPr>
        <w:t xml:space="preserve">Strategiczna ocena oddziaływania na środowisko </w:t>
      </w:r>
      <w:r w:rsidRPr="00725E11">
        <w:rPr>
          <w:rFonts w:ascii="Open Sans Light" w:hAnsi="Open Sans Light" w:cs="Open Sans Light"/>
          <w:b/>
          <w:sz w:val="22"/>
        </w:rPr>
        <w:t>(zgodnie z Dyrektywą 2001/42/WE) planów i programów, z których wynika realizacja przedsięwzięcia</w:t>
      </w:r>
    </w:p>
    <w:p w14:paraId="5F7D9CA0" w14:textId="77777777" w:rsidR="006E6CED" w:rsidRPr="00725E11" w:rsidRDefault="006E6CED" w:rsidP="006A6300">
      <w:pPr>
        <w:spacing w:after="120" w:line="276" w:lineRule="auto"/>
        <w:ind w:left="22" w:firstLine="0"/>
        <w:jc w:val="left"/>
        <w:rPr>
          <w:rFonts w:ascii="Open Sans Light" w:hAnsi="Open Sans Light" w:cs="Open Sans Light"/>
          <w:color w:val="auto"/>
          <w:sz w:val="22"/>
        </w:rPr>
      </w:pPr>
      <w:r w:rsidRPr="00725E11">
        <w:rPr>
          <w:rFonts w:ascii="Open Sans Light" w:hAnsi="Open Sans Light" w:cs="Open Sans Light"/>
          <w:color w:val="auto"/>
          <w:sz w:val="22"/>
        </w:rPr>
        <w:t>Należy wskazać, które przedsięwzięcia w ramach projektu wymagały przeprowadzenia strategicznej oceny oddziaływania na środowisko.</w:t>
      </w:r>
    </w:p>
    <w:p w14:paraId="70EE80C9" w14:textId="77777777" w:rsidR="006E6CED" w:rsidRPr="00725E11" w:rsidRDefault="006E6CED" w:rsidP="006A6300">
      <w:pPr>
        <w:spacing w:after="120" w:line="276" w:lineRule="auto"/>
        <w:ind w:left="22" w:firstLine="0"/>
        <w:jc w:val="left"/>
        <w:rPr>
          <w:rFonts w:ascii="Open Sans Light" w:hAnsi="Open Sans Light" w:cs="Open Sans Light"/>
          <w:color w:val="auto"/>
          <w:sz w:val="22"/>
        </w:rPr>
      </w:pPr>
      <w:r w:rsidRPr="00725E11">
        <w:rPr>
          <w:rFonts w:ascii="Open Sans Light" w:hAnsi="Open Sans Light" w:cs="Open Sans Light"/>
          <w:color w:val="auto"/>
          <w:sz w:val="22"/>
        </w:rPr>
        <w:t>Postępowanie w sprawie oceny oddziaływania skutków realizacji niektórych planów i</w:t>
      </w:r>
      <w:r>
        <w:rPr>
          <w:rFonts w:ascii="Open Sans Light" w:hAnsi="Open Sans Light" w:cs="Open Sans Light"/>
          <w:color w:val="auto"/>
          <w:sz w:val="22"/>
        </w:rPr>
        <w:t> </w:t>
      </w:r>
      <w:r w:rsidRPr="00725E11">
        <w:rPr>
          <w:rFonts w:ascii="Open Sans Light" w:hAnsi="Open Sans Light" w:cs="Open Sans Light"/>
          <w:color w:val="auto"/>
          <w:sz w:val="22"/>
        </w:rPr>
        <w:t xml:space="preserve">programów na środowisko, czyli tzw. strategiczna ocena oddziaływania na środowisko (SOOŚ), uregulowane jest w dziale “IV Strategiczna ocena oddziaływania na środowisko” ustawy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 SOOŚ obejmuje w szczególności:</w:t>
      </w:r>
    </w:p>
    <w:p w14:paraId="08CF96FC" w14:textId="77777777" w:rsidR="006E6CED" w:rsidRPr="00725E11" w:rsidRDefault="006E6CED" w:rsidP="006A6300">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uzgodnienie stopnia szczegółowości informacji zawartych w prognozie oddziaływania na środowisko</w:t>
      </w:r>
      <w:r>
        <w:rPr>
          <w:rFonts w:ascii="Open Sans Light" w:hAnsi="Open Sans Light" w:cs="Open Sans Light"/>
          <w:color w:val="auto"/>
          <w:sz w:val="22"/>
        </w:rPr>
        <w:t>;</w:t>
      </w:r>
    </w:p>
    <w:p w14:paraId="1EDFEDAF" w14:textId="77777777" w:rsidR="006E6CED" w:rsidRPr="00725E11" w:rsidRDefault="006E6CED" w:rsidP="006A6300">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sporządzenie prognozy oddziaływania na środowisko</w:t>
      </w:r>
      <w:r>
        <w:rPr>
          <w:rFonts w:ascii="Open Sans Light" w:hAnsi="Open Sans Light" w:cs="Open Sans Light"/>
          <w:color w:val="auto"/>
          <w:sz w:val="22"/>
        </w:rPr>
        <w:t>;</w:t>
      </w:r>
    </w:p>
    <w:p w14:paraId="0FAE0587" w14:textId="77777777" w:rsidR="006E6CED" w:rsidRPr="00725E11" w:rsidRDefault="006E6CED" w:rsidP="006A6300">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uzyskanie wymaganych ustawą opinii</w:t>
      </w:r>
      <w:r>
        <w:rPr>
          <w:rFonts w:ascii="Open Sans Light" w:hAnsi="Open Sans Light" w:cs="Open Sans Light"/>
          <w:color w:val="auto"/>
          <w:sz w:val="22"/>
        </w:rPr>
        <w:t>;</w:t>
      </w:r>
    </w:p>
    <w:p w14:paraId="2216D34D" w14:textId="77777777" w:rsidR="006E6CED" w:rsidRPr="00725E11" w:rsidRDefault="006E6CED" w:rsidP="006A6300">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zapewnienie możliwości udziału społeczeństwa w postępowaniu.</w:t>
      </w:r>
    </w:p>
    <w:p w14:paraId="60B500D8" w14:textId="77777777" w:rsidR="006E6CED" w:rsidRPr="00725E11" w:rsidRDefault="006E6CED" w:rsidP="006A6300">
      <w:pPr>
        <w:spacing w:after="120" w:line="276" w:lineRule="auto"/>
        <w:ind w:left="0" w:firstLine="0"/>
        <w:jc w:val="left"/>
        <w:rPr>
          <w:rFonts w:ascii="Open Sans Light" w:hAnsi="Open Sans Light" w:cs="Open Sans Light"/>
          <w:color w:val="auto"/>
          <w:sz w:val="22"/>
        </w:rPr>
      </w:pPr>
      <w:r w:rsidRPr="00725E11">
        <w:rPr>
          <w:rFonts w:ascii="Open Sans Light" w:hAnsi="Open Sans Light" w:cs="Open Sans Light"/>
          <w:color w:val="auto"/>
          <w:sz w:val="22"/>
        </w:rPr>
        <w:t>Do projektów wymagających przeprowadzenia SOOŚ zaliczamy m. in.:</w:t>
      </w:r>
    </w:p>
    <w:p w14:paraId="1AEE5070" w14:textId="44C07B6A" w:rsidR="006E6CED" w:rsidRPr="00725E11" w:rsidRDefault="006E6CED" w:rsidP="006A6300">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w:t>
      </w:r>
      <w:r w:rsidR="00187AF9">
        <w:rPr>
          <w:rFonts w:ascii="Open Sans Light" w:hAnsi="Open Sans Light" w:cs="Open Sans Light"/>
          <w:color w:val="auto"/>
          <w:sz w:val="22"/>
        </w:rPr>
        <w:t> </w:t>
      </w:r>
      <w:r w:rsidRPr="00725E11">
        <w:rPr>
          <w:rFonts w:ascii="Open Sans Light" w:hAnsi="Open Sans Light" w:cs="Open Sans Light"/>
          <w:color w:val="auto"/>
          <w:sz w:val="22"/>
        </w:rPr>
        <w:t>dokumentu programowego, z zakresu polityki rozwoju, wyznaczający ramy dla późniejszej realizacji przedsięwzięć mogących znacząco oddziaływać na środowisko;</w:t>
      </w:r>
    </w:p>
    <w:p w14:paraId="439096BA" w14:textId="77777777" w:rsidR="006E6CED" w:rsidRPr="00725E11" w:rsidRDefault="006E6CED" w:rsidP="006A6300">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 xml:space="preserve">polityki, strategii, planu i programu w dziedzinie przemysłu, energetyki, transportu, telekomunikacji, gospodarki wodnej, gospodarki odpadami, leśnictwa, rolnictwa, rybołówstwa, turystyki i wykorzystywania terenu, opracowywany lub przyjmowany </w:t>
      </w:r>
      <w:r w:rsidRPr="00725E11">
        <w:rPr>
          <w:rFonts w:ascii="Open Sans Light" w:hAnsi="Open Sans Light" w:cs="Open Sans Light"/>
          <w:color w:val="auto"/>
          <w:sz w:val="22"/>
        </w:rPr>
        <w:lastRenderedPageBreak/>
        <w:t>przez organy administracji, wyznaczający ramy dla późniejszej realizacji przedsięwzięć mogących znacząco oddziaływać na środowisko;</w:t>
      </w:r>
    </w:p>
    <w:p w14:paraId="1CF346B2" w14:textId="2F8B2878" w:rsidR="006E6CED" w:rsidRPr="00725E11" w:rsidRDefault="006E6CED" w:rsidP="006A6300">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 xml:space="preserve">polityki, strategii, planu i programu innego niż wymienione w </w:t>
      </w:r>
      <w:proofErr w:type="spellStart"/>
      <w:r w:rsidRPr="00725E11">
        <w:rPr>
          <w:rFonts w:ascii="Open Sans Light" w:hAnsi="Open Sans Light" w:cs="Open Sans Light"/>
          <w:color w:val="auto"/>
          <w:sz w:val="22"/>
        </w:rPr>
        <w:t>tiret</w:t>
      </w:r>
      <w:proofErr w:type="spellEnd"/>
      <w:r w:rsidRPr="00725E11">
        <w:rPr>
          <w:rFonts w:ascii="Open Sans Light" w:hAnsi="Open Sans Light" w:cs="Open Sans Light"/>
          <w:color w:val="auto"/>
          <w:sz w:val="22"/>
        </w:rPr>
        <w:t xml:space="preserve"> 1 i 2, którego realizacja może spowodować znaczące oddziaływanie na obszar Natura 2000, jeżeli nie jest on bezpośrednio związany z ochroną obszaru Natura 2000 lub nie wynika z</w:t>
      </w:r>
      <w:r w:rsidR="00785E67">
        <w:rPr>
          <w:rFonts w:ascii="Open Sans Light" w:hAnsi="Open Sans Light" w:cs="Open Sans Light"/>
          <w:color w:val="auto"/>
          <w:sz w:val="22"/>
        </w:rPr>
        <w:t> </w:t>
      </w:r>
      <w:r w:rsidRPr="00725E11">
        <w:rPr>
          <w:rFonts w:ascii="Open Sans Light" w:hAnsi="Open Sans Light" w:cs="Open Sans Light"/>
          <w:color w:val="auto"/>
          <w:sz w:val="22"/>
        </w:rPr>
        <w:t>tej ochrony.</w:t>
      </w:r>
    </w:p>
    <w:p w14:paraId="10AFBC71" w14:textId="089C4D07" w:rsidR="00566B93" w:rsidRDefault="006E6CED" w:rsidP="006A6300">
      <w:pPr>
        <w:spacing w:before="240" w:after="120" w:line="276" w:lineRule="auto"/>
        <w:ind w:left="0" w:firstLine="0"/>
        <w:jc w:val="left"/>
        <w:rPr>
          <w:rFonts w:ascii="Open Sans Light" w:hAnsi="Open Sans Light" w:cs="Open Sans Light"/>
          <w:color w:val="auto"/>
          <w:sz w:val="22"/>
        </w:rPr>
      </w:pPr>
      <w:r w:rsidRPr="00725E11">
        <w:rPr>
          <w:rFonts w:ascii="Open Sans Light" w:hAnsi="Open Sans Light" w:cs="Open Sans Light"/>
          <w:color w:val="auto"/>
          <w:sz w:val="22"/>
        </w:rPr>
        <w:t xml:space="preserve">Daną politykę, strategię, plan lub program kwalifikuje się do poddania procedurze oceny według kryteriów określonych w ustawie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 xml:space="preserve"> (m.in..: charakter działań przewidzianych w</w:t>
      </w:r>
      <w:r w:rsidR="00785E67">
        <w:rPr>
          <w:rFonts w:ascii="Open Sans Light" w:hAnsi="Open Sans Light" w:cs="Open Sans Light"/>
          <w:color w:val="auto"/>
          <w:sz w:val="22"/>
        </w:rPr>
        <w:t> </w:t>
      </w:r>
      <w:r w:rsidRPr="00725E11">
        <w:rPr>
          <w:rFonts w:ascii="Open Sans Light" w:hAnsi="Open Sans Light" w:cs="Open Sans Light"/>
          <w:color w:val="auto"/>
          <w:sz w:val="22"/>
        </w:rPr>
        <w:t xml:space="preserve">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w:t>
      </w:r>
    </w:p>
    <w:p w14:paraId="0261E649" w14:textId="77777777" w:rsidR="00B3725E" w:rsidRDefault="00B3725E" w:rsidP="006A6300">
      <w:pPr>
        <w:spacing w:after="160" w:line="276" w:lineRule="auto"/>
        <w:ind w:left="0" w:firstLine="0"/>
        <w:jc w:val="left"/>
        <w:rPr>
          <w:rFonts w:ascii="Open Sans Light" w:hAnsi="Open Sans Light" w:cs="Open Sans Light"/>
          <w:b/>
          <w:sz w:val="22"/>
        </w:rPr>
      </w:pPr>
      <w:r>
        <w:rPr>
          <w:rFonts w:ascii="Open Sans Light" w:hAnsi="Open Sans Light" w:cs="Open Sans Light"/>
          <w:b/>
          <w:sz w:val="22"/>
        </w:rPr>
        <w:br w:type="page"/>
      </w:r>
    </w:p>
    <w:p w14:paraId="756ADE80" w14:textId="6969294A" w:rsidR="00566B93" w:rsidRDefault="00566B93" w:rsidP="006A6300">
      <w:pPr>
        <w:spacing w:before="240" w:after="120" w:line="276" w:lineRule="auto"/>
        <w:ind w:left="426" w:hanging="568"/>
        <w:jc w:val="left"/>
        <w:rPr>
          <w:rFonts w:ascii="Open Sans Light" w:eastAsia="Arial" w:hAnsi="Open Sans Light" w:cs="Open Sans Light"/>
          <w:b/>
          <w:sz w:val="22"/>
        </w:rPr>
      </w:pPr>
      <w:r>
        <w:rPr>
          <w:rFonts w:ascii="Open Sans Light" w:hAnsi="Open Sans Light" w:cs="Open Sans Light"/>
          <w:b/>
          <w:sz w:val="22"/>
        </w:rPr>
        <w:lastRenderedPageBreak/>
        <w:t>10</w:t>
      </w:r>
      <w:r w:rsidRPr="00725E11">
        <w:rPr>
          <w:rFonts w:ascii="Open Sans Light" w:hAnsi="Open Sans Light" w:cs="Open Sans Light"/>
          <w:b/>
          <w:sz w:val="22"/>
        </w:rPr>
        <w:t xml:space="preserve">. </w:t>
      </w:r>
      <w:r>
        <w:rPr>
          <w:rFonts w:ascii="Open Sans Light" w:eastAsia="Arial" w:hAnsi="Open Sans Light" w:cs="Open Sans Light"/>
          <w:b/>
          <w:sz w:val="22"/>
        </w:rPr>
        <w:t>Analiza finansowa i analiza trwałości</w:t>
      </w:r>
    </w:p>
    <w:p w14:paraId="58D0BFAF" w14:textId="1CA833D2" w:rsidR="00566B93" w:rsidRPr="00EA2F85" w:rsidRDefault="00566B93" w:rsidP="006A6300">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 xml:space="preserve">Dla analizy finansowej należy przyjąć okres odniesienia dla gospodarki wodno-ściekowej wynoszący 30 lat, tj. podobnie jak dla poprzedniej perspektywy finansowej </w:t>
      </w:r>
      <w:proofErr w:type="spellStart"/>
      <w:r w:rsidRPr="00EA2F85">
        <w:rPr>
          <w:rFonts w:ascii="Open Sans Light" w:hAnsi="Open Sans Light" w:cs="Open Sans Light"/>
          <w:sz w:val="22"/>
        </w:rPr>
        <w:t>POIiŚ</w:t>
      </w:r>
      <w:proofErr w:type="spellEnd"/>
      <w:r w:rsidRPr="00EA2F85">
        <w:rPr>
          <w:rFonts w:ascii="Open Sans Light" w:hAnsi="Open Sans Light" w:cs="Open Sans Light"/>
          <w:sz w:val="22"/>
        </w:rPr>
        <w:t xml:space="preserve"> 2014-2020 (Załącznik I do rozporządzenia nr KE 480/2014).</w:t>
      </w:r>
    </w:p>
    <w:p w14:paraId="513B5618" w14:textId="1EEE1AEC" w:rsidR="00F64A43" w:rsidRPr="00EA2F85" w:rsidRDefault="00F64A43" w:rsidP="006A6300">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Zgodnie z dokumentem</w:t>
      </w:r>
      <w:r w:rsidR="00B3725E">
        <w:rPr>
          <w:rFonts w:ascii="Open Sans Light" w:hAnsi="Open Sans Light" w:cs="Open Sans Light"/>
          <w:sz w:val="22"/>
        </w:rPr>
        <w:t xml:space="preserve"> </w:t>
      </w:r>
      <w:r w:rsidRPr="00EA2F85">
        <w:rPr>
          <w:rFonts w:ascii="Open Sans Light" w:hAnsi="Open Sans Light" w:cs="Open Sans Light"/>
          <w:i/>
          <w:sz w:val="22"/>
        </w:rPr>
        <w:t>Wytyczne dotyczące zagadnień związanych z przygotowaniem projektów inwestycyjnych, w tym hybrydowych na lata 2021-2027</w:t>
      </w:r>
      <w:r w:rsidRPr="00EA2F85">
        <w:rPr>
          <w:rFonts w:ascii="Open Sans Light" w:hAnsi="Open Sans Light" w:cs="Open Sans Light"/>
          <w:sz w:val="22"/>
        </w:rPr>
        <w:t xml:space="preserve">, Roz. 6 </w:t>
      </w:r>
      <w:r w:rsidRPr="00EA2F85">
        <w:rPr>
          <w:rFonts w:ascii="Open Sans Light" w:hAnsi="Open Sans Light" w:cs="Open Sans Light"/>
          <w:i/>
          <w:sz w:val="22"/>
        </w:rPr>
        <w:t>Analiza finansowa</w:t>
      </w:r>
      <w:r w:rsidRPr="00EA2F85">
        <w:rPr>
          <w:rFonts w:ascii="Open Sans Light" w:hAnsi="Open Sans Light" w:cs="Open Sans Light"/>
          <w:sz w:val="22"/>
        </w:rPr>
        <w:t>, Podrozdział 6.4, analiza finansowa może być sporządzona:</w:t>
      </w:r>
    </w:p>
    <w:p w14:paraId="6C62BF17" w14:textId="2F8B7F9D" w:rsidR="00F64A43" w:rsidRPr="00EA2F85" w:rsidRDefault="00F64A43" w:rsidP="006A6300">
      <w:pPr>
        <w:pStyle w:val="Akapitzlist"/>
        <w:numPr>
          <w:ilvl w:val="1"/>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w cenach stałych lub</w:t>
      </w:r>
    </w:p>
    <w:p w14:paraId="62B7FEF0" w14:textId="15AB8680" w:rsidR="00F64A43" w:rsidRPr="00EA2F85" w:rsidRDefault="00F64A43" w:rsidP="006A6300">
      <w:pPr>
        <w:pStyle w:val="Akapitzlist"/>
        <w:numPr>
          <w:ilvl w:val="1"/>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w cenach bieżących, przy czym, o ile to możliwe i uzasadnione, powinna być przeprowadzona w cenach stałych.</w:t>
      </w:r>
    </w:p>
    <w:p w14:paraId="47BC2DBB" w14:textId="77777777" w:rsidR="00F64A43" w:rsidRPr="00EA2F85" w:rsidRDefault="00F64A43" w:rsidP="006A6300">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Ceny stałe/bieżące determinują stosowanie określonych stawek dyskontowych:</w:t>
      </w:r>
    </w:p>
    <w:p w14:paraId="19333208" w14:textId="0D4E5713" w:rsidR="00F64A43" w:rsidRPr="00EA2F85" w:rsidRDefault="00F64A43" w:rsidP="006A6300">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   4 % do analizy finansowej prowadzonej w cenach stałych,</w:t>
      </w:r>
    </w:p>
    <w:p w14:paraId="64EF142C" w14:textId="116F2DFA" w:rsidR="00F64A43" w:rsidRPr="00EA2F85" w:rsidRDefault="00F64A43" w:rsidP="006A6300">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   9 % dla analizy finansowej prowadzonej w cenach bieżących.</w:t>
      </w:r>
    </w:p>
    <w:p w14:paraId="42E5D538" w14:textId="21C5A202" w:rsidR="00F64A43" w:rsidRPr="00EA2F85" w:rsidRDefault="00F64A43" w:rsidP="006A6300">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Wnioskodawca ma możliwość dokonywania wyboru stosowania cen stałych lub zmiennych, ale z zaleceniem, że:</w:t>
      </w:r>
    </w:p>
    <w:p w14:paraId="06319B24" w14:textId="6F43B951" w:rsidR="00F64A43" w:rsidRPr="00EA2F85" w:rsidRDefault="00F64A43" w:rsidP="006A6300">
      <w:pPr>
        <w:spacing w:after="120" w:line="276" w:lineRule="auto"/>
        <w:ind w:left="993" w:hanging="284"/>
        <w:jc w:val="left"/>
        <w:rPr>
          <w:rFonts w:ascii="Open Sans Light" w:hAnsi="Open Sans Light" w:cs="Open Sans Light"/>
          <w:sz w:val="22"/>
        </w:rPr>
      </w:pPr>
      <w:r w:rsidRPr="00EA2F85">
        <w:rPr>
          <w:rFonts w:ascii="Open Sans Light" w:hAnsi="Open Sans Light" w:cs="Open Sans Light"/>
          <w:sz w:val="22"/>
        </w:rPr>
        <w:t xml:space="preserve">-   </w:t>
      </w:r>
      <w:r w:rsidR="00B3725E" w:rsidRPr="00EA2F85">
        <w:rPr>
          <w:rFonts w:ascii="Open Sans Light" w:hAnsi="Open Sans Light" w:cs="Open Sans Light"/>
          <w:sz w:val="22"/>
        </w:rPr>
        <w:tab/>
      </w:r>
      <w:r w:rsidRPr="00EA2F85">
        <w:rPr>
          <w:rFonts w:ascii="Open Sans Light" w:hAnsi="Open Sans Light" w:cs="Open Sans Light"/>
          <w:sz w:val="22"/>
        </w:rPr>
        <w:t>dla projektów o wartości do 50 mln zł, wnioskodawca ma dowolność w</w:t>
      </w:r>
      <w:r w:rsidR="00785E67">
        <w:rPr>
          <w:rFonts w:ascii="Open Sans Light" w:hAnsi="Open Sans Light" w:cs="Open Sans Light"/>
          <w:sz w:val="22"/>
        </w:rPr>
        <w:t> </w:t>
      </w:r>
      <w:r w:rsidRPr="00EA2F85">
        <w:rPr>
          <w:rFonts w:ascii="Open Sans Light" w:hAnsi="Open Sans Light" w:cs="Open Sans Light"/>
          <w:sz w:val="22"/>
        </w:rPr>
        <w:t>stosowaniu cen stałych/bieżących, ale z zastrzeżeniem, że przyjęcie cen zmiennych w analizie finansowej wymaga przedstawienia przez wnioskodawcę odpowiedniej argumentacji (specyfika branży, warunki makroekonomiczne, itp.)</w:t>
      </w:r>
    </w:p>
    <w:p w14:paraId="7BD8B336" w14:textId="0C89F0DE" w:rsidR="00F64A43" w:rsidRPr="00EA2F85" w:rsidRDefault="00F64A43" w:rsidP="006A6300">
      <w:pPr>
        <w:spacing w:after="120" w:line="276" w:lineRule="auto"/>
        <w:ind w:left="993" w:hanging="284"/>
        <w:jc w:val="left"/>
        <w:rPr>
          <w:rFonts w:ascii="Open Sans Light" w:hAnsi="Open Sans Light" w:cs="Open Sans Light"/>
          <w:sz w:val="22"/>
        </w:rPr>
      </w:pPr>
      <w:r w:rsidRPr="00EA2F85">
        <w:rPr>
          <w:rFonts w:ascii="Open Sans Light" w:hAnsi="Open Sans Light" w:cs="Open Sans Light"/>
          <w:sz w:val="22"/>
        </w:rPr>
        <w:t xml:space="preserve">-   </w:t>
      </w:r>
      <w:r w:rsidR="00B3725E" w:rsidRPr="00EA2F85">
        <w:rPr>
          <w:rFonts w:ascii="Open Sans Light" w:hAnsi="Open Sans Light" w:cs="Open Sans Light"/>
          <w:sz w:val="22"/>
        </w:rPr>
        <w:tab/>
      </w:r>
      <w:r w:rsidRPr="00EA2F85">
        <w:rPr>
          <w:rFonts w:ascii="Open Sans Light" w:hAnsi="Open Sans Light" w:cs="Open Sans Light"/>
          <w:sz w:val="22"/>
        </w:rPr>
        <w:t>dla projektów o wartości powyżej 50 mln zł, wnioskodawca powinien stosować ceny stałe, ze względu na konieczność ujednolicenia analizy finansowej oraz analizy ekonomicznej, która, co do zasady jest przeprowadzana w cenach stałych.</w:t>
      </w:r>
    </w:p>
    <w:p w14:paraId="23339C64" w14:textId="139C7411" w:rsidR="00566B93" w:rsidRPr="00EA2F85" w:rsidRDefault="00566B93" w:rsidP="006A6300">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Należy przyjąć metodę obliczenia wartości rezydualnej w oparciu o wycenę wartości aktywów trwałych netto, określoną przy wykorzystaniu metody i okresu amortyzacji zgodnych z polityką rachunkowości </w:t>
      </w:r>
      <w:r w:rsidR="007B7D2F" w:rsidRPr="00EA2F85">
        <w:rPr>
          <w:rFonts w:ascii="Open Sans Light" w:hAnsi="Open Sans Light" w:cs="Open Sans Light"/>
          <w:sz w:val="22"/>
        </w:rPr>
        <w:t>wnioskodawcy</w:t>
      </w:r>
      <w:r w:rsidRPr="00EA2F85">
        <w:rPr>
          <w:rFonts w:ascii="Open Sans Light" w:hAnsi="Open Sans Light" w:cs="Open Sans Light"/>
          <w:sz w:val="22"/>
        </w:rPr>
        <w:t>/operatora.</w:t>
      </w:r>
    </w:p>
    <w:p w14:paraId="1968D35F" w14:textId="25A8EDFA" w:rsidR="00566B93" w:rsidRPr="00EA2F85" w:rsidRDefault="00F64A43" w:rsidP="006A6300">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 xml:space="preserve">Należy przyjąć </w:t>
      </w:r>
      <w:r w:rsidR="00566B93" w:rsidRPr="00EA2F85">
        <w:rPr>
          <w:rFonts w:ascii="Open Sans Light" w:hAnsi="Open Sans Light" w:cs="Open Sans Light"/>
          <w:sz w:val="22"/>
        </w:rPr>
        <w:t>regulacje dotyczące dostępności cenowej, zgodnie z dokumentem „</w:t>
      </w:r>
      <w:r w:rsidR="00566B93" w:rsidRPr="00EA2F85">
        <w:rPr>
          <w:rFonts w:ascii="Open Sans Light" w:hAnsi="Open Sans Light" w:cs="Open Sans Light"/>
          <w:i/>
          <w:sz w:val="22"/>
        </w:rPr>
        <w:t>Metodyka zastosowania kryterium dostępności cenowej w projektach inwestycyjnych z</w:t>
      </w:r>
      <w:r w:rsidR="00785E67">
        <w:rPr>
          <w:rFonts w:ascii="Open Sans Light" w:hAnsi="Open Sans Light" w:cs="Open Sans Light"/>
          <w:i/>
          <w:sz w:val="22"/>
        </w:rPr>
        <w:t> </w:t>
      </w:r>
      <w:r w:rsidR="00566B93" w:rsidRPr="00EA2F85">
        <w:rPr>
          <w:rFonts w:ascii="Open Sans Light" w:hAnsi="Open Sans Light" w:cs="Open Sans Light"/>
          <w:i/>
          <w:sz w:val="22"/>
        </w:rPr>
        <w:t>dofinansowaniem UE</w:t>
      </w:r>
      <w:r w:rsidR="00566B93" w:rsidRPr="00EA2F85">
        <w:rPr>
          <w:rFonts w:ascii="Open Sans Light" w:hAnsi="Open Sans Light" w:cs="Open Sans Light"/>
          <w:sz w:val="22"/>
        </w:rPr>
        <w:t>” dostępnym pod linkiem:</w:t>
      </w:r>
    </w:p>
    <w:p w14:paraId="4A4836C2" w14:textId="7DBEE0DB" w:rsidR="00566B93" w:rsidRPr="00EA2F85" w:rsidRDefault="00566B93" w:rsidP="006A6300">
      <w:pPr>
        <w:spacing w:after="120" w:line="276" w:lineRule="auto"/>
        <w:ind w:left="360" w:firstLine="0"/>
        <w:jc w:val="left"/>
        <w:rPr>
          <w:rFonts w:ascii="Open Sans Light" w:hAnsi="Open Sans Light" w:cs="Open Sans Light"/>
          <w:sz w:val="22"/>
        </w:rPr>
      </w:pPr>
      <w:hyperlink r:id="rId21" w:history="1">
        <w:r w:rsidRPr="00B3725E">
          <w:rPr>
            <w:rStyle w:val="Hipercze"/>
            <w:rFonts w:ascii="Open Sans Light" w:hAnsi="Open Sans Light" w:cs="Open Sans Light"/>
            <w:sz w:val="22"/>
          </w:rPr>
          <w:t>https://www.funduszeeuropejskie.gov.pl/media/119589/Metodyka-zastosowania-kryterium-dostepnosci-cenowej-w-projektach-inwestycyjnych-z-dofinansowaniem-UE-2.pdf</w:t>
        </w:r>
      </w:hyperlink>
    </w:p>
    <w:p w14:paraId="1EC522A1" w14:textId="165FA266" w:rsidR="00F64A43" w:rsidRPr="00EA2F85" w:rsidRDefault="00F64A43" w:rsidP="006A6300">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lastRenderedPageBreak/>
        <w:t>Należy przyjąć regulacje dotyczące przeprowadzania analiz efektywności kosztowej zgodnie z dokumentem „Metodyka analizy efektywności kosztowej w oparciu o wskaźnik dynamicznego kosztu jednostkowego (</w:t>
      </w:r>
      <w:proofErr w:type="spellStart"/>
      <w:r w:rsidRPr="00EA2F85">
        <w:rPr>
          <w:rFonts w:ascii="Open Sans Light" w:hAnsi="Open Sans Light" w:cs="Open Sans Light"/>
          <w:sz w:val="22"/>
        </w:rPr>
        <w:t>Dynamic</w:t>
      </w:r>
      <w:proofErr w:type="spellEnd"/>
      <w:r w:rsidRPr="00EA2F85">
        <w:rPr>
          <w:rFonts w:ascii="Open Sans Light" w:hAnsi="Open Sans Light" w:cs="Open Sans Light"/>
          <w:sz w:val="22"/>
        </w:rPr>
        <w:t xml:space="preserve"> </w:t>
      </w:r>
      <w:proofErr w:type="spellStart"/>
      <w:r w:rsidRPr="00EA2F85">
        <w:rPr>
          <w:rFonts w:ascii="Open Sans Light" w:hAnsi="Open Sans Light" w:cs="Open Sans Light"/>
          <w:sz w:val="22"/>
        </w:rPr>
        <w:t>Generation</w:t>
      </w:r>
      <w:proofErr w:type="spellEnd"/>
      <w:r w:rsidRPr="00EA2F85">
        <w:rPr>
          <w:rFonts w:ascii="Open Sans Light" w:hAnsi="Open Sans Light" w:cs="Open Sans Light"/>
          <w:sz w:val="22"/>
        </w:rPr>
        <w:t xml:space="preserve"> </w:t>
      </w:r>
      <w:proofErr w:type="spellStart"/>
      <w:r w:rsidRPr="00EA2F85">
        <w:rPr>
          <w:rFonts w:ascii="Open Sans Light" w:hAnsi="Open Sans Light" w:cs="Open Sans Light"/>
          <w:sz w:val="22"/>
        </w:rPr>
        <w:t>Cost</w:t>
      </w:r>
      <w:proofErr w:type="spellEnd"/>
      <w:r w:rsidRPr="00EA2F85">
        <w:rPr>
          <w:rFonts w:ascii="Open Sans Light" w:hAnsi="Open Sans Light" w:cs="Open Sans Light"/>
          <w:sz w:val="22"/>
        </w:rPr>
        <w:t xml:space="preserve">)” </w:t>
      </w:r>
      <w:r w:rsidR="00CA4261">
        <w:rPr>
          <w:rFonts w:ascii="Open Sans Light" w:hAnsi="Open Sans Light" w:cs="Open Sans Light"/>
          <w:sz w:val="22"/>
        </w:rPr>
        <w:t>stanowiącym załącznik do Instrukcji wypełniania wniosku o</w:t>
      </w:r>
      <w:r w:rsidR="00785E67">
        <w:rPr>
          <w:rFonts w:ascii="Open Sans Light" w:hAnsi="Open Sans Light" w:cs="Open Sans Light"/>
          <w:sz w:val="22"/>
        </w:rPr>
        <w:t> </w:t>
      </w:r>
      <w:r w:rsidR="00CA4261">
        <w:rPr>
          <w:rFonts w:ascii="Open Sans Light" w:hAnsi="Open Sans Light" w:cs="Open Sans Light"/>
          <w:sz w:val="22"/>
        </w:rPr>
        <w:t>dofinansowanie.</w:t>
      </w:r>
    </w:p>
    <w:p w14:paraId="23B7AB91" w14:textId="3361C140" w:rsidR="007B7D2F" w:rsidRPr="00CA4261" w:rsidRDefault="007B7D2F" w:rsidP="006A6300">
      <w:pPr>
        <w:pStyle w:val="Akapitzlist"/>
        <w:numPr>
          <w:ilvl w:val="0"/>
          <w:numId w:val="20"/>
        </w:numPr>
        <w:spacing w:after="120" w:line="276" w:lineRule="auto"/>
        <w:contextualSpacing w:val="0"/>
        <w:jc w:val="left"/>
        <w:rPr>
          <w:rFonts w:ascii="Open Sans Light" w:hAnsi="Open Sans Light" w:cs="Open Sans Light"/>
          <w:i/>
          <w:sz w:val="22"/>
        </w:rPr>
      </w:pPr>
      <w:r w:rsidRPr="00EA2F85">
        <w:rPr>
          <w:rFonts w:ascii="Open Sans Light" w:hAnsi="Open Sans Light" w:cs="Open Sans Light"/>
          <w:sz w:val="22"/>
        </w:rPr>
        <w:t>Całkowity koszt projektu/inwestycji obejmuje wydatki kwalifikowalne i</w:t>
      </w:r>
      <w:r w:rsidR="00785E67">
        <w:rPr>
          <w:rFonts w:ascii="Open Sans Light" w:hAnsi="Open Sans Light" w:cs="Open Sans Light"/>
          <w:sz w:val="22"/>
        </w:rPr>
        <w:t> </w:t>
      </w:r>
      <w:r w:rsidRPr="00EA2F85">
        <w:rPr>
          <w:rFonts w:ascii="Open Sans Light" w:hAnsi="Open Sans Light" w:cs="Open Sans Light"/>
          <w:sz w:val="22"/>
        </w:rPr>
        <w:t xml:space="preserve">niekwalifikowalne, o których mowa w </w:t>
      </w:r>
      <w:r w:rsidRPr="00EA2F85">
        <w:rPr>
          <w:rFonts w:ascii="Open Sans Light" w:hAnsi="Open Sans Light" w:cs="Open Sans Light"/>
          <w:i/>
          <w:sz w:val="22"/>
        </w:rPr>
        <w:t>Wytycznych dotyczących zagadnień związanych z przygotowaniem projektów inwestycyjnych, w tym hybrydowych na lata 2021-2027</w:t>
      </w:r>
      <w:r w:rsidR="003E5EBD" w:rsidRPr="003E5EBD">
        <w:rPr>
          <w:rFonts w:ascii="Open Sans Light" w:eastAsia="Arial" w:hAnsi="Open Sans Light" w:cs="Open Sans Light"/>
          <w:sz w:val="22"/>
        </w:rPr>
        <w:t xml:space="preserve"> </w:t>
      </w:r>
      <w:r w:rsidR="003E5EBD">
        <w:rPr>
          <w:rFonts w:ascii="Open Sans Light" w:eastAsia="Arial" w:hAnsi="Open Sans Light" w:cs="Open Sans Light"/>
          <w:sz w:val="22"/>
        </w:rPr>
        <w:t xml:space="preserve">(w tym </w:t>
      </w:r>
      <w:r w:rsidR="003E5EBD" w:rsidRPr="00EA2F85">
        <w:rPr>
          <w:rFonts w:ascii="Open Sans Light" w:eastAsia="Arial" w:hAnsi="Open Sans Light" w:cs="Open Sans Light"/>
          <w:sz w:val="22"/>
        </w:rPr>
        <w:t xml:space="preserve">zawiera podatek VAT, </w:t>
      </w:r>
      <w:r w:rsidR="003E5EBD">
        <w:rPr>
          <w:rFonts w:ascii="Open Sans Light" w:eastAsia="Arial" w:hAnsi="Open Sans Light" w:cs="Open Sans Light"/>
          <w:sz w:val="22"/>
        </w:rPr>
        <w:t>również, gdy</w:t>
      </w:r>
      <w:r w:rsidR="003E5EBD" w:rsidRPr="00EA2F85">
        <w:rPr>
          <w:rFonts w:ascii="Open Sans Light" w:eastAsia="Arial" w:hAnsi="Open Sans Light" w:cs="Open Sans Light"/>
          <w:sz w:val="22"/>
        </w:rPr>
        <w:t xml:space="preserve"> stanowi </w:t>
      </w:r>
      <w:r w:rsidR="003E5EBD">
        <w:rPr>
          <w:rFonts w:ascii="Open Sans Light" w:eastAsia="Arial" w:hAnsi="Open Sans Light" w:cs="Open Sans Light"/>
          <w:sz w:val="22"/>
        </w:rPr>
        <w:t xml:space="preserve">on </w:t>
      </w:r>
      <w:r w:rsidR="003E5EBD" w:rsidRPr="00EA2F85">
        <w:rPr>
          <w:rFonts w:ascii="Open Sans Light" w:eastAsia="Arial" w:hAnsi="Open Sans Light" w:cs="Open Sans Light"/>
          <w:sz w:val="22"/>
        </w:rPr>
        <w:t xml:space="preserve">wydatek </w:t>
      </w:r>
      <w:r w:rsidR="003E5EBD">
        <w:rPr>
          <w:rFonts w:ascii="Open Sans Light" w:eastAsia="Arial" w:hAnsi="Open Sans Light" w:cs="Open Sans Light"/>
          <w:sz w:val="22"/>
        </w:rPr>
        <w:t>nie</w:t>
      </w:r>
      <w:r w:rsidR="003E5EBD" w:rsidRPr="00EA2F85">
        <w:rPr>
          <w:rFonts w:ascii="Open Sans Light" w:eastAsia="Arial" w:hAnsi="Open Sans Light" w:cs="Open Sans Light"/>
          <w:sz w:val="22"/>
        </w:rPr>
        <w:t>kwalifikowalny w danym projekcie</w:t>
      </w:r>
      <w:r w:rsidR="003E5EBD">
        <w:rPr>
          <w:rFonts w:ascii="Open Sans Light" w:eastAsia="Arial" w:hAnsi="Open Sans Light" w:cs="Open Sans Light"/>
          <w:sz w:val="22"/>
        </w:rPr>
        <w:t>).</w:t>
      </w:r>
    </w:p>
    <w:p w14:paraId="706F0B18" w14:textId="5635A220" w:rsidR="003E5EBD" w:rsidRPr="00CA4261" w:rsidRDefault="003E5EBD" w:rsidP="006A6300">
      <w:pPr>
        <w:pStyle w:val="Akapitzlist"/>
        <w:numPr>
          <w:ilvl w:val="0"/>
          <w:numId w:val="20"/>
        </w:numPr>
        <w:spacing w:line="276" w:lineRule="auto"/>
        <w:jc w:val="left"/>
        <w:rPr>
          <w:rFonts w:ascii="Open Sans Light" w:hAnsi="Open Sans Light" w:cs="Open Sans Light"/>
          <w:sz w:val="22"/>
        </w:rPr>
      </w:pPr>
      <w:r>
        <w:rPr>
          <w:rFonts w:ascii="Open Sans Light" w:hAnsi="Open Sans Light" w:cs="Open Sans Light"/>
          <w:sz w:val="22"/>
        </w:rPr>
        <w:t xml:space="preserve"> </w:t>
      </w:r>
      <w:r w:rsidRPr="00CA4261">
        <w:rPr>
          <w:rFonts w:ascii="Open Sans Light" w:hAnsi="Open Sans Light" w:cs="Open Sans Light"/>
          <w:sz w:val="22"/>
        </w:rPr>
        <w:t>Wnioskodawca ma możliwość uwzględnienia rezerwy na nieprzewidziane wydatki (tzw. rezerwa inwestycyjna), ale z zastrzeżeniem, że maksymalna jej wartość nie może przekraczać 15% całkowitych nakładów inwestycyjnych oraz z zastrzeżeniem, że do proponowanego projektu załączona jest szczegółowa analiza ryzyka, uzasadniająca utworzenie rezerwy (w rozdziale 12 SW).</w:t>
      </w:r>
    </w:p>
    <w:p w14:paraId="583DB071" w14:textId="483F9009" w:rsidR="007B7D2F" w:rsidRPr="00CA4261" w:rsidRDefault="007B7D2F" w:rsidP="006A6300">
      <w:pPr>
        <w:spacing w:after="120" w:line="276" w:lineRule="auto"/>
        <w:ind w:left="708" w:firstLine="0"/>
        <w:jc w:val="left"/>
        <w:rPr>
          <w:rFonts w:ascii="Open Sans Light" w:hAnsi="Open Sans Light" w:cs="Open Sans Light"/>
          <w:sz w:val="22"/>
        </w:rPr>
      </w:pPr>
      <w:r w:rsidRPr="00CA4261">
        <w:rPr>
          <w:rFonts w:ascii="Open Sans Light" w:hAnsi="Open Sans Light" w:cs="Open Sans Light"/>
          <w:sz w:val="22"/>
        </w:rPr>
        <w:t>Rezerw na nieprzewidziane wydatki nie uwzględnia się dla potrzeb kalkulacji wskaźników rentowności finansowej i ekonomicznej oraz trwałości finansowej projektu z uwagi na fakt, iż nie stanowią one przepływu środków pieniężnych. W</w:t>
      </w:r>
      <w:r w:rsidR="00785E67">
        <w:rPr>
          <w:rFonts w:ascii="Open Sans Light" w:hAnsi="Open Sans Light" w:cs="Open Sans Light"/>
          <w:sz w:val="22"/>
        </w:rPr>
        <w:t> </w:t>
      </w:r>
      <w:r w:rsidRPr="00CA4261">
        <w:rPr>
          <w:rFonts w:ascii="Open Sans Light" w:hAnsi="Open Sans Light" w:cs="Open Sans Light"/>
          <w:sz w:val="22"/>
        </w:rPr>
        <w:t>związku z tym, wartość rezerw na nieprzewidziane wydatki należy prezentować oddzielnie od nakładów inwestycyjnych na realizację projektu.</w:t>
      </w:r>
    </w:p>
    <w:p w14:paraId="6513C2CB" w14:textId="51A6C5ED" w:rsidR="007B7D2F" w:rsidRPr="00CA4261" w:rsidRDefault="007B7D2F" w:rsidP="006A6300">
      <w:pPr>
        <w:spacing w:after="120" w:line="276" w:lineRule="auto"/>
        <w:ind w:left="708" w:firstLine="0"/>
        <w:jc w:val="left"/>
        <w:rPr>
          <w:rFonts w:ascii="Open Sans Light" w:hAnsi="Open Sans Light" w:cs="Open Sans Light"/>
          <w:sz w:val="22"/>
        </w:rPr>
      </w:pPr>
      <w:r w:rsidRPr="00CA4261">
        <w:rPr>
          <w:rFonts w:ascii="Open Sans Light" w:hAnsi="Open Sans Light" w:cs="Open Sans Light"/>
          <w:sz w:val="22"/>
        </w:rPr>
        <w:t>Rezerwa na nieprzewidziane wydatki nie stanowi kosztów operacyjnych. Ponadto niepieniężne pozycje rachunkowe, takie jak rezerwy na nieprzewidziane wydatki, nie mogą być przedmiotem analizy finansowej.</w:t>
      </w:r>
    </w:p>
    <w:p w14:paraId="37BA2A6C" w14:textId="69589D23" w:rsidR="00F64A43" w:rsidRDefault="00F64A43" w:rsidP="006A6300">
      <w:pPr>
        <w:spacing w:before="240" w:after="120" w:line="276" w:lineRule="auto"/>
        <w:ind w:left="426" w:hanging="568"/>
        <w:jc w:val="left"/>
        <w:rPr>
          <w:rFonts w:ascii="Open Sans Light" w:eastAsia="Arial" w:hAnsi="Open Sans Light" w:cs="Open Sans Light"/>
          <w:b/>
          <w:sz w:val="22"/>
        </w:rPr>
      </w:pPr>
      <w:r>
        <w:rPr>
          <w:rFonts w:ascii="Open Sans Light" w:hAnsi="Open Sans Light" w:cs="Open Sans Light"/>
          <w:b/>
          <w:sz w:val="22"/>
        </w:rPr>
        <w:t>11</w:t>
      </w:r>
      <w:r w:rsidRPr="00725E11">
        <w:rPr>
          <w:rFonts w:ascii="Open Sans Light" w:hAnsi="Open Sans Light" w:cs="Open Sans Light"/>
          <w:b/>
          <w:sz w:val="22"/>
        </w:rPr>
        <w:t xml:space="preserve">. </w:t>
      </w:r>
      <w:r>
        <w:rPr>
          <w:rFonts w:ascii="Open Sans Light" w:eastAsia="Arial" w:hAnsi="Open Sans Light" w:cs="Open Sans Light"/>
          <w:b/>
          <w:sz w:val="22"/>
        </w:rPr>
        <w:t>Analiza kosztów i korzyści</w:t>
      </w:r>
    </w:p>
    <w:p w14:paraId="7FFCB5F0" w14:textId="0D86166F" w:rsidR="00F64A43" w:rsidRDefault="00F64A43" w:rsidP="006A6300">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 xml:space="preserve">Dla analizy ekonomicznej należy przyjąć </w:t>
      </w:r>
      <w:r w:rsidRPr="00566B93">
        <w:rPr>
          <w:rFonts w:ascii="Open Sans Light" w:hAnsi="Open Sans Light" w:cs="Open Sans Light"/>
          <w:sz w:val="22"/>
        </w:rPr>
        <w:t xml:space="preserve">okres odniesienia dla gospodarki wodno-ściekowej wynoszący 30 lat, tj. podobnie jak dla poprzedniej perspektywy finansowej </w:t>
      </w:r>
      <w:proofErr w:type="spellStart"/>
      <w:r w:rsidRPr="00566B93">
        <w:rPr>
          <w:rFonts w:ascii="Open Sans Light" w:hAnsi="Open Sans Light" w:cs="Open Sans Light"/>
          <w:sz w:val="22"/>
        </w:rPr>
        <w:t>POIiŚ</w:t>
      </w:r>
      <w:proofErr w:type="spellEnd"/>
      <w:r w:rsidRPr="00566B93">
        <w:rPr>
          <w:rFonts w:ascii="Open Sans Light" w:hAnsi="Open Sans Light" w:cs="Open Sans Light"/>
          <w:sz w:val="22"/>
        </w:rPr>
        <w:t xml:space="preserve"> 2014-2020 (Załącznik I do rozporządzenia nr KE 480/2014).</w:t>
      </w:r>
    </w:p>
    <w:p w14:paraId="0049DFCA" w14:textId="498596AA" w:rsidR="00F64A43" w:rsidRPr="00EA2F85" w:rsidRDefault="00F64A43" w:rsidP="006A6300">
      <w:pPr>
        <w:spacing w:before="240" w:after="120" w:line="276" w:lineRule="auto"/>
        <w:ind w:left="0" w:firstLine="0"/>
        <w:jc w:val="left"/>
        <w:rPr>
          <w:rFonts w:ascii="Open Sans Light" w:eastAsia="Arial" w:hAnsi="Open Sans Light" w:cs="Open Sans Light"/>
          <w:sz w:val="22"/>
        </w:rPr>
      </w:pPr>
      <w:r w:rsidRPr="00EA2F85">
        <w:rPr>
          <w:rFonts w:ascii="Open Sans Light" w:eastAsia="Arial" w:hAnsi="Open Sans Light" w:cs="Open Sans Light"/>
          <w:sz w:val="22"/>
        </w:rPr>
        <w:t>W przypadku projektów poniżej 50 mln zł kosztu całkowitego, analizę kosztów i korzyści należy przeprowadzić w sposób uproszczony, tj. należy sporządzić analizę CBA w</w:t>
      </w:r>
      <w:r w:rsidR="00785E67">
        <w:rPr>
          <w:rFonts w:ascii="Open Sans Light" w:eastAsia="Arial" w:hAnsi="Open Sans Light" w:cs="Open Sans Light"/>
          <w:sz w:val="22"/>
        </w:rPr>
        <w:t> </w:t>
      </w:r>
      <w:r w:rsidRPr="00EA2F85">
        <w:rPr>
          <w:rFonts w:ascii="Open Sans Light" w:eastAsia="Arial" w:hAnsi="Open Sans Light" w:cs="Open Sans Light"/>
          <w:sz w:val="22"/>
        </w:rPr>
        <w:t>uproszczonej, opisowej formie oraz nie ma potrzeby obliczania wskaźników FNPV/K, FRR/K.</w:t>
      </w:r>
    </w:p>
    <w:p w14:paraId="079136EA" w14:textId="2D1B01EE" w:rsidR="00F64A43" w:rsidRPr="00EA2F85" w:rsidRDefault="00F64A43" w:rsidP="006A6300">
      <w:pPr>
        <w:spacing w:before="240" w:after="120" w:line="276" w:lineRule="auto"/>
        <w:ind w:left="0" w:firstLine="0"/>
        <w:jc w:val="left"/>
        <w:rPr>
          <w:rFonts w:ascii="Open Sans Light" w:eastAsia="Arial" w:hAnsi="Open Sans Light" w:cs="Open Sans Light"/>
          <w:sz w:val="22"/>
        </w:rPr>
      </w:pPr>
      <w:r w:rsidRPr="00EA2F85">
        <w:rPr>
          <w:rFonts w:ascii="Open Sans Light" w:eastAsia="Arial" w:hAnsi="Open Sans Light" w:cs="Open Sans Light"/>
          <w:sz w:val="22"/>
        </w:rPr>
        <w:t>Koszt całkowity projektu obejmuje sumę wydatków kwalifikowanych i niekwalifikowanych, z zastrzeżeniem, że całkowity koszt projektu zawiera podatek VAT, niezależnie od tego, czy podatek VAT stanowi wydatek kwalifikowalny w danym projekcie.</w:t>
      </w:r>
    </w:p>
    <w:p w14:paraId="643FE7E8" w14:textId="402501FC" w:rsidR="008E65DB" w:rsidRDefault="008E65DB" w:rsidP="006A6300">
      <w:pPr>
        <w:spacing w:before="240" w:after="120" w:line="276" w:lineRule="auto"/>
        <w:ind w:left="426" w:hanging="568"/>
        <w:jc w:val="left"/>
        <w:rPr>
          <w:rFonts w:ascii="Open Sans Light" w:hAnsi="Open Sans Light" w:cs="Open Sans Light"/>
          <w:sz w:val="22"/>
        </w:rPr>
      </w:pPr>
      <w:r>
        <w:rPr>
          <w:rFonts w:ascii="Open Sans Light" w:hAnsi="Open Sans Light" w:cs="Open Sans Light"/>
          <w:b/>
          <w:sz w:val="22"/>
        </w:rPr>
        <w:lastRenderedPageBreak/>
        <w:t>12</w:t>
      </w:r>
      <w:r w:rsidRPr="00725E11">
        <w:rPr>
          <w:rFonts w:ascii="Open Sans Light" w:hAnsi="Open Sans Light" w:cs="Open Sans Light"/>
          <w:b/>
          <w:sz w:val="22"/>
        </w:rPr>
        <w:t xml:space="preserve">. </w:t>
      </w:r>
      <w:r>
        <w:rPr>
          <w:rFonts w:ascii="Open Sans Light" w:eastAsia="Arial" w:hAnsi="Open Sans Light" w:cs="Open Sans Light"/>
          <w:b/>
          <w:sz w:val="22"/>
        </w:rPr>
        <w:t>Analiza ryzyka i wrażliwości</w:t>
      </w:r>
    </w:p>
    <w:p w14:paraId="0A8DE3C1" w14:textId="24F1D917" w:rsidR="008E65DB" w:rsidRDefault="008E65DB" w:rsidP="00F73ED9">
      <w:pPr>
        <w:spacing w:before="240" w:after="120" w:line="276" w:lineRule="auto"/>
        <w:ind w:left="0" w:firstLine="0"/>
        <w:jc w:val="left"/>
        <w:rPr>
          <w:rFonts w:ascii="Open Sans Light" w:hAnsi="Open Sans Light" w:cs="Open Sans Light"/>
          <w:sz w:val="22"/>
        </w:rPr>
      </w:pPr>
      <w:r w:rsidRPr="00EA2F85">
        <w:rPr>
          <w:rFonts w:ascii="Open Sans Light" w:hAnsi="Open Sans Light" w:cs="Open Sans Light"/>
          <w:sz w:val="22"/>
        </w:rPr>
        <w:t>Ocenę ryzyka należy przeprowadzić dla wszystkich projektów inwestycyjnych, w</w:t>
      </w:r>
      <w:r w:rsidR="00785E67">
        <w:rPr>
          <w:rFonts w:ascii="Open Sans Light" w:hAnsi="Open Sans Light" w:cs="Open Sans Light"/>
          <w:sz w:val="22"/>
        </w:rPr>
        <w:t> </w:t>
      </w:r>
      <w:r w:rsidRPr="00EA2F85">
        <w:rPr>
          <w:rFonts w:ascii="Open Sans Light" w:hAnsi="Open Sans Light" w:cs="Open Sans Light"/>
          <w:sz w:val="22"/>
        </w:rPr>
        <w:t xml:space="preserve">przypadku których dla uzyskania dofinansowania wymagane jest przedłożenie studium wykonalności.  Ocena ryzyka wymaga przeprowadzenia jakościowej analizy ryzyka oraz analizy wrażliwości. Analiza wrażliwości ma na celu wskazanie, jak zmiany w wartościach zmiennych krytycznych projektu wpłyną na wyniki analiz przeprowadzonych dla projektu, a w szczególności na wartość wskaźników efektywności finansowej i ekonomicznej projektu oraz trwałość finansową. Analizę ryzyka i wrażliwości należy przeprowadzić zgodnie z dokumentem </w:t>
      </w:r>
      <w:r w:rsidRPr="00EA2F85">
        <w:rPr>
          <w:rFonts w:ascii="Open Sans Light" w:hAnsi="Open Sans Light" w:cs="Open Sans Light"/>
          <w:i/>
          <w:sz w:val="22"/>
        </w:rPr>
        <w:t>Wytyczne dotyczące zagadnień związanych z przygotowaniem projektów inwestycyjnych, w tym hybrydowych na lata 2021-2027</w:t>
      </w:r>
      <w:r w:rsidRPr="00EA2F85">
        <w:rPr>
          <w:rFonts w:ascii="Open Sans Light" w:hAnsi="Open Sans Light" w:cs="Open Sans Light"/>
          <w:sz w:val="22"/>
        </w:rPr>
        <w:t xml:space="preserve"> (rozdział 8).</w:t>
      </w:r>
    </w:p>
    <w:p w14:paraId="669A5E37" w14:textId="16009082" w:rsidR="00A623C6" w:rsidRPr="00EA2F85" w:rsidRDefault="007B7D2F" w:rsidP="00F73ED9">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W przypadku, gdy w</w:t>
      </w:r>
      <w:r w:rsidR="00A623C6" w:rsidRPr="00A623C6">
        <w:rPr>
          <w:rFonts w:ascii="Open Sans Light" w:hAnsi="Open Sans Light" w:cs="Open Sans Light"/>
          <w:sz w:val="22"/>
        </w:rPr>
        <w:t xml:space="preserve">nioskodawca </w:t>
      </w:r>
      <w:r>
        <w:rPr>
          <w:rFonts w:ascii="Open Sans Light" w:hAnsi="Open Sans Light" w:cs="Open Sans Light"/>
          <w:sz w:val="22"/>
        </w:rPr>
        <w:t>uwzględnił</w:t>
      </w:r>
      <w:r w:rsidR="00A623C6" w:rsidRPr="00A623C6">
        <w:rPr>
          <w:rFonts w:ascii="Open Sans Light" w:hAnsi="Open Sans Light" w:cs="Open Sans Light"/>
          <w:sz w:val="22"/>
        </w:rPr>
        <w:t xml:space="preserve"> </w:t>
      </w:r>
      <w:r w:rsidR="00A623C6">
        <w:rPr>
          <w:rFonts w:ascii="Open Sans Light" w:hAnsi="Open Sans Light" w:cs="Open Sans Light"/>
          <w:sz w:val="22"/>
        </w:rPr>
        <w:t xml:space="preserve">w budżecie projektu </w:t>
      </w:r>
      <w:r>
        <w:rPr>
          <w:rFonts w:ascii="Open Sans Light" w:hAnsi="Open Sans Light" w:cs="Open Sans Light"/>
          <w:sz w:val="22"/>
        </w:rPr>
        <w:t>rezerwę</w:t>
      </w:r>
      <w:r w:rsidR="00A623C6" w:rsidRPr="00A623C6">
        <w:rPr>
          <w:rFonts w:ascii="Open Sans Light" w:hAnsi="Open Sans Light" w:cs="Open Sans Light"/>
          <w:sz w:val="22"/>
        </w:rPr>
        <w:t xml:space="preserve"> na niepr</w:t>
      </w:r>
      <w:r>
        <w:rPr>
          <w:rFonts w:ascii="Open Sans Light" w:hAnsi="Open Sans Light" w:cs="Open Sans Light"/>
          <w:sz w:val="22"/>
        </w:rPr>
        <w:t>zewidziane wydatki (tzw. rezerwę inwestycyjną</w:t>
      </w:r>
      <w:r w:rsidR="00A623C6" w:rsidRPr="00A623C6">
        <w:rPr>
          <w:rFonts w:ascii="Open Sans Light" w:hAnsi="Open Sans Light" w:cs="Open Sans Light"/>
          <w:sz w:val="22"/>
        </w:rPr>
        <w:t xml:space="preserve">), </w:t>
      </w:r>
      <w:r>
        <w:rPr>
          <w:rFonts w:ascii="Open Sans Light" w:hAnsi="Open Sans Light" w:cs="Open Sans Light"/>
          <w:sz w:val="22"/>
        </w:rPr>
        <w:t>należy przedstawić szczegółową</w:t>
      </w:r>
      <w:r w:rsidR="00A623C6" w:rsidRPr="00A623C6">
        <w:rPr>
          <w:rFonts w:ascii="Open Sans Light" w:hAnsi="Open Sans Light" w:cs="Open Sans Light"/>
          <w:sz w:val="22"/>
        </w:rPr>
        <w:t xml:space="preserve"> </w:t>
      </w:r>
      <w:r>
        <w:rPr>
          <w:rFonts w:ascii="Open Sans Light" w:hAnsi="Open Sans Light" w:cs="Open Sans Light"/>
          <w:sz w:val="22"/>
        </w:rPr>
        <w:t>analizę ryzyka, uzasadniającą</w:t>
      </w:r>
      <w:r w:rsidR="00A623C6" w:rsidRPr="00A623C6">
        <w:rPr>
          <w:rFonts w:ascii="Open Sans Light" w:hAnsi="Open Sans Light" w:cs="Open Sans Light"/>
          <w:sz w:val="22"/>
        </w:rPr>
        <w:t xml:space="preserve"> utworzenie rezerwy.</w:t>
      </w:r>
    </w:p>
    <w:sectPr w:rsidR="00A623C6" w:rsidRPr="00EA2F85" w:rsidSect="00B438B3">
      <w:type w:val="continuous"/>
      <w:pgSz w:w="12240" w:h="15840"/>
      <w:pgMar w:top="1125" w:right="1591" w:bottom="1247" w:left="1853" w:header="708" w:footer="687" w:gutter="0"/>
      <w:cols w:space="708"/>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9AADA" w14:textId="77777777" w:rsidR="001B48AF" w:rsidRDefault="001B48AF">
      <w:pPr>
        <w:spacing w:after="0" w:line="240" w:lineRule="auto"/>
      </w:pPr>
      <w:r>
        <w:separator/>
      </w:r>
    </w:p>
  </w:endnote>
  <w:endnote w:type="continuationSeparator" w:id="0">
    <w:p w14:paraId="4019AADB" w14:textId="77777777" w:rsidR="001B48AF" w:rsidRDefault="001B4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C" w14:textId="77777777" w:rsidR="001B48AF" w:rsidRDefault="001B48AF">
    <w:pPr>
      <w:tabs>
        <w:tab w:val="right" w:pos="8796"/>
      </w:tabs>
      <w:spacing w:after="0" w:line="259" w:lineRule="auto"/>
      <w:ind w:left="0" w:firstLine="0"/>
      <w:jc w:val="left"/>
    </w:pPr>
    <w:r>
      <w:rPr>
        <w:sz w:val="19"/>
      </w:rPr>
      <w:tab/>
    </w:r>
    <w:r>
      <w:fldChar w:fldCharType="begin"/>
    </w:r>
    <w:r>
      <w:instrText xml:space="preserve"> PAGE   \* MERGEFORMAT </w:instrText>
    </w:r>
    <w:r>
      <w:fldChar w:fldCharType="separate"/>
    </w:r>
    <w:r>
      <w:rPr>
        <w:sz w:val="19"/>
      </w:rPr>
      <w:t>1</w:t>
    </w:r>
    <w:r>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D" w14:textId="418AEC35" w:rsidR="001B48AF" w:rsidRPr="00725E11" w:rsidRDefault="001B48AF">
    <w:pPr>
      <w:tabs>
        <w:tab w:val="right" w:pos="8796"/>
      </w:tabs>
      <w:spacing w:after="0" w:line="259" w:lineRule="auto"/>
      <w:ind w:left="0" w:firstLine="0"/>
      <w:jc w:val="left"/>
      <w:rPr>
        <w:rFonts w:ascii="Open Sans Light" w:hAnsi="Open Sans Light" w:cs="Open Sans Light"/>
        <w:sz w:val="18"/>
        <w:szCs w:val="18"/>
      </w:rPr>
    </w:pPr>
    <w:r>
      <w:rPr>
        <w:sz w:val="19"/>
      </w:rPr>
      <w:tab/>
    </w:r>
    <w:r w:rsidRPr="00725E11">
      <w:rPr>
        <w:rFonts w:ascii="Open Sans Light" w:hAnsi="Open Sans Light" w:cs="Open Sans Light"/>
        <w:sz w:val="18"/>
        <w:szCs w:val="18"/>
      </w:rPr>
      <w:fldChar w:fldCharType="begin"/>
    </w:r>
    <w:r w:rsidRPr="00725E11">
      <w:rPr>
        <w:rFonts w:ascii="Open Sans Light" w:hAnsi="Open Sans Light" w:cs="Open Sans Light"/>
        <w:sz w:val="18"/>
        <w:szCs w:val="18"/>
      </w:rPr>
      <w:instrText xml:space="preserve"> PAGE   \* MERGEFORMAT </w:instrText>
    </w:r>
    <w:r w:rsidRPr="00725E11">
      <w:rPr>
        <w:rFonts w:ascii="Open Sans Light" w:hAnsi="Open Sans Light" w:cs="Open Sans Light"/>
        <w:sz w:val="18"/>
        <w:szCs w:val="18"/>
      </w:rPr>
      <w:fldChar w:fldCharType="separate"/>
    </w:r>
    <w:r w:rsidR="008F0068">
      <w:rPr>
        <w:rFonts w:ascii="Open Sans Light" w:hAnsi="Open Sans Light" w:cs="Open Sans Light"/>
        <w:noProof/>
        <w:sz w:val="18"/>
        <w:szCs w:val="18"/>
      </w:rPr>
      <w:t>18</w:t>
    </w:r>
    <w:r w:rsidRPr="00725E11">
      <w:rPr>
        <w:rFonts w:ascii="Open Sans Light" w:hAnsi="Open Sans Light" w:cs="Open Sans Light"/>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E" w14:textId="455A967C" w:rsidR="001B48AF" w:rsidRDefault="001B48AF">
    <w:pPr>
      <w:tabs>
        <w:tab w:val="right" w:pos="8796"/>
      </w:tabs>
      <w:spacing w:after="0" w:line="259" w:lineRule="auto"/>
      <w:ind w:left="0" w:firstLine="0"/>
      <w:jc w:val="left"/>
    </w:pPr>
    <w:r>
      <w:rPr>
        <w:sz w:val="19"/>
      </w:rPr>
      <w:tab/>
    </w:r>
    <w:r>
      <w:fldChar w:fldCharType="begin"/>
    </w:r>
    <w:r>
      <w:instrText xml:space="preserve"> PAGE   \* MERGEFORMAT </w:instrText>
    </w:r>
    <w:r>
      <w:fldChar w:fldCharType="separate"/>
    </w:r>
    <w:r w:rsidR="00690CAC" w:rsidRPr="00690CAC">
      <w:rPr>
        <w:noProof/>
        <w:sz w:val="19"/>
      </w:rPr>
      <w:t>2</w:t>
    </w:r>
    <w:r>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9AAD8" w14:textId="77777777" w:rsidR="001B48AF" w:rsidRDefault="001B48AF">
      <w:pPr>
        <w:spacing w:after="0" w:line="240" w:lineRule="auto"/>
      </w:pPr>
      <w:r>
        <w:separator/>
      </w:r>
    </w:p>
  </w:footnote>
  <w:footnote w:type="continuationSeparator" w:id="0">
    <w:p w14:paraId="4019AAD9" w14:textId="77777777" w:rsidR="001B48AF" w:rsidRDefault="001B48AF">
      <w:pPr>
        <w:spacing w:after="0" w:line="240" w:lineRule="auto"/>
      </w:pPr>
      <w:r>
        <w:continuationSeparator/>
      </w:r>
    </w:p>
  </w:footnote>
  <w:footnote w:id="1">
    <w:p w14:paraId="33579864" w14:textId="77777777" w:rsidR="00AE5161" w:rsidRPr="00AE73D9" w:rsidRDefault="00AE5161" w:rsidP="00AE5161">
      <w:pPr>
        <w:pStyle w:val="Tekstprzypisudolnego"/>
        <w:jc w:val="left"/>
        <w:rPr>
          <w:rFonts w:ascii="Open Sans Light" w:hAnsi="Open Sans Light" w:cs="Open Sans Light"/>
          <w:sz w:val="18"/>
          <w:szCs w:val="18"/>
        </w:rPr>
      </w:pPr>
      <w:r w:rsidRPr="00ED20F6">
        <w:rPr>
          <w:rStyle w:val="Odwoanieprzypisudolnego"/>
          <w:rFonts w:ascii="Open Sans Light" w:hAnsi="Open Sans Light" w:cs="Open Sans Light"/>
        </w:rPr>
        <w:footnoteRef/>
      </w:r>
      <w:r>
        <w:t xml:space="preserve"> </w:t>
      </w:r>
      <w:r w:rsidRPr="00AE73D9">
        <w:rPr>
          <w:rFonts w:ascii="Open Sans Light" w:hAnsi="Open Sans Light" w:cs="Open Sans Light"/>
          <w:sz w:val="18"/>
          <w:szCs w:val="18"/>
        </w:rPr>
        <w:t>W analizie można kierować się</w:t>
      </w:r>
      <w:r>
        <w:t xml:space="preserve"> </w:t>
      </w:r>
      <w:r w:rsidRPr="00AE73D9">
        <w:rPr>
          <w:rFonts w:ascii="Open Sans Light" w:hAnsi="Open Sans Light" w:cs="Open Sans Light"/>
          <w:sz w:val="18"/>
          <w:szCs w:val="18"/>
        </w:rPr>
        <w:t>wytycznymi zawartymi w podręczniku „Zgodność przedsięwzięć finansowanych ze środków Unii Europejskiej, w tym realizowanych w ramach Krajowego Planu Odbudowy i Zwiększania Odporności, z zasadą „nie czyń znaczącej szkody” - zasadą DNSH« (DNSH) - Podręcznik dla Beneficjenta” (https://www.gov.pl/web/planodbudowy/dnsh2)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6228A" w14:textId="0647E57F" w:rsidR="006F416F" w:rsidRDefault="006F416F" w:rsidP="00156418">
    <w:pPr>
      <w:pStyle w:val="Nagwek"/>
      <w:spacing w:line="276" w:lineRule="auto"/>
      <w:ind w:left="-709" w:firstLine="0"/>
      <w:jc w:val="left"/>
      <w:rPr>
        <w:rFonts w:ascii="Open Sans Light" w:hAnsi="Open Sans Light"/>
        <w:sz w:val="22"/>
      </w:rPr>
    </w:pPr>
    <w:r>
      <w:rPr>
        <w:rFonts w:ascii="Arial" w:eastAsia="Arial" w:hAnsi="Arial" w:cs="Arial"/>
        <w:noProof/>
      </w:rPr>
      <w:drawing>
        <wp:inline distT="0" distB="0" distL="0" distR="0" wp14:anchorId="0F3BF90E" wp14:editId="1BDA7237">
          <wp:extent cx="5585460" cy="555467"/>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5460" cy="555467"/>
                  </a:xfrm>
                  <a:prstGeom prst="rect">
                    <a:avLst/>
                  </a:prstGeom>
                </pic:spPr>
              </pic:pic>
            </a:graphicData>
          </a:graphic>
        </wp:inline>
      </w:drawing>
    </w:r>
  </w:p>
  <w:p w14:paraId="70010AE2" w14:textId="2316EBF0" w:rsidR="00795CAD" w:rsidRDefault="00795CAD" w:rsidP="008351AE">
    <w:pPr>
      <w:pStyle w:val="Nagwek"/>
      <w:spacing w:before="240" w:line="276" w:lineRule="auto"/>
      <w:ind w:left="-709" w:firstLine="0"/>
      <w:jc w:val="left"/>
      <w:rPr>
        <w:rFonts w:ascii="Open Sans Light" w:hAnsi="Open Sans Light"/>
        <w:sz w:val="22"/>
      </w:rPr>
    </w:pPr>
    <w:r w:rsidRPr="00AE5161">
      <w:rPr>
        <w:rFonts w:ascii="Open Sans Light" w:hAnsi="Open Sans Light"/>
        <w:sz w:val="22"/>
      </w:rPr>
      <w:t>Załącznik 1 do Instrukcji wypełniania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E252C"/>
    <w:multiLevelType w:val="hybridMultilevel"/>
    <w:tmpl w:val="82F09A42"/>
    <w:lvl w:ilvl="0" w:tplc="962241DA">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 w15:restartNumberingAfterBreak="0">
    <w:nsid w:val="173D3C0F"/>
    <w:multiLevelType w:val="hybridMultilevel"/>
    <w:tmpl w:val="A6A206AE"/>
    <w:lvl w:ilvl="0" w:tplc="CB54E57E">
      <w:start w:val="2"/>
      <w:numFmt w:val="bullet"/>
      <w:lvlText w:val="•"/>
      <w:lvlJc w:val="left"/>
      <w:pPr>
        <w:ind w:left="666" w:hanging="360"/>
      </w:pPr>
      <w:rPr>
        <w:rFonts w:ascii="Open Sans Light" w:eastAsia="Times New Roman" w:hAnsi="Open Sans Light" w:cs="Open Sans Light" w:hint="default"/>
      </w:rPr>
    </w:lvl>
    <w:lvl w:ilvl="1" w:tplc="04150003" w:tentative="1">
      <w:start w:val="1"/>
      <w:numFmt w:val="bullet"/>
      <w:lvlText w:val="o"/>
      <w:lvlJc w:val="left"/>
      <w:pPr>
        <w:ind w:left="1386" w:hanging="360"/>
      </w:pPr>
      <w:rPr>
        <w:rFonts w:ascii="Courier New" w:hAnsi="Courier New" w:cs="Courier New" w:hint="default"/>
      </w:rPr>
    </w:lvl>
    <w:lvl w:ilvl="2" w:tplc="04150005" w:tentative="1">
      <w:start w:val="1"/>
      <w:numFmt w:val="bullet"/>
      <w:lvlText w:val=""/>
      <w:lvlJc w:val="left"/>
      <w:pPr>
        <w:ind w:left="2106" w:hanging="360"/>
      </w:pPr>
      <w:rPr>
        <w:rFonts w:ascii="Wingdings" w:hAnsi="Wingdings" w:hint="default"/>
      </w:rPr>
    </w:lvl>
    <w:lvl w:ilvl="3" w:tplc="04150001" w:tentative="1">
      <w:start w:val="1"/>
      <w:numFmt w:val="bullet"/>
      <w:lvlText w:val=""/>
      <w:lvlJc w:val="left"/>
      <w:pPr>
        <w:ind w:left="2826" w:hanging="360"/>
      </w:pPr>
      <w:rPr>
        <w:rFonts w:ascii="Symbol" w:hAnsi="Symbol" w:hint="default"/>
      </w:rPr>
    </w:lvl>
    <w:lvl w:ilvl="4" w:tplc="04150003" w:tentative="1">
      <w:start w:val="1"/>
      <w:numFmt w:val="bullet"/>
      <w:lvlText w:val="o"/>
      <w:lvlJc w:val="left"/>
      <w:pPr>
        <w:ind w:left="3546" w:hanging="360"/>
      </w:pPr>
      <w:rPr>
        <w:rFonts w:ascii="Courier New" w:hAnsi="Courier New" w:cs="Courier New" w:hint="default"/>
      </w:rPr>
    </w:lvl>
    <w:lvl w:ilvl="5" w:tplc="04150005" w:tentative="1">
      <w:start w:val="1"/>
      <w:numFmt w:val="bullet"/>
      <w:lvlText w:val=""/>
      <w:lvlJc w:val="left"/>
      <w:pPr>
        <w:ind w:left="4266" w:hanging="360"/>
      </w:pPr>
      <w:rPr>
        <w:rFonts w:ascii="Wingdings" w:hAnsi="Wingdings" w:hint="default"/>
      </w:rPr>
    </w:lvl>
    <w:lvl w:ilvl="6" w:tplc="04150001" w:tentative="1">
      <w:start w:val="1"/>
      <w:numFmt w:val="bullet"/>
      <w:lvlText w:val=""/>
      <w:lvlJc w:val="left"/>
      <w:pPr>
        <w:ind w:left="4986" w:hanging="360"/>
      </w:pPr>
      <w:rPr>
        <w:rFonts w:ascii="Symbol" w:hAnsi="Symbol" w:hint="default"/>
      </w:rPr>
    </w:lvl>
    <w:lvl w:ilvl="7" w:tplc="04150003" w:tentative="1">
      <w:start w:val="1"/>
      <w:numFmt w:val="bullet"/>
      <w:lvlText w:val="o"/>
      <w:lvlJc w:val="left"/>
      <w:pPr>
        <w:ind w:left="5706" w:hanging="360"/>
      </w:pPr>
      <w:rPr>
        <w:rFonts w:ascii="Courier New" w:hAnsi="Courier New" w:cs="Courier New" w:hint="default"/>
      </w:rPr>
    </w:lvl>
    <w:lvl w:ilvl="8" w:tplc="04150005" w:tentative="1">
      <w:start w:val="1"/>
      <w:numFmt w:val="bullet"/>
      <w:lvlText w:val=""/>
      <w:lvlJc w:val="left"/>
      <w:pPr>
        <w:ind w:left="6426" w:hanging="360"/>
      </w:pPr>
      <w:rPr>
        <w:rFonts w:ascii="Wingdings" w:hAnsi="Wingdings" w:hint="default"/>
      </w:rPr>
    </w:lvl>
  </w:abstractNum>
  <w:abstractNum w:abstractNumId="2" w15:restartNumberingAfterBreak="0">
    <w:nsid w:val="1DDD6695"/>
    <w:multiLevelType w:val="hybridMultilevel"/>
    <w:tmpl w:val="3D184C4A"/>
    <w:lvl w:ilvl="0" w:tplc="04150017">
      <w:start w:val="1"/>
      <w:numFmt w:val="lowerLetter"/>
      <w:lvlText w:val="%1)"/>
      <w:lvlJc w:val="left"/>
      <w:pPr>
        <w:ind w:left="1026" w:hanging="360"/>
      </w:pPr>
    </w:lvl>
    <w:lvl w:ilvl="1" w:tplc="04150019" w:tentative="1">
      <w:start w:val="1"/>
      <w:numFmt w:val="lowerLetter"/>
      <w:lvlText w:val="%2."/>
      <w:lvlJc w:val="left"/>
      <w:pPr>
        <w:ind w:left="1746" w:hanging="360"/>
      </w:pPr>
    </w:lvl>
    <w:lvl w:ilvl="2" w:tplc="0415001B" w:tentative="1">
      <w:start w:val="1"/>
      <w:numFmt w:val="lowerRoman"/>
      <w:lvlText w:val="%3."/>
      <w:lvlJc w:val="right"/>
      <w:pPr>
        <w:ind w:left="2466" w:hanging="180"/>
      </w:p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3" w15:restartNumberingAfterBreak="0">
    <w:nsid w:val="1FDA360A"/>
    <w:multiLevelType w:val="hybridMultilevel"/>
    <w:tmpl w:val="0268B248"/>
    <w:lvl w:ilvl="0" w:tplc="1F426D84">
      <w:start w:val="1"/>
      <w:numFmt w:val="decimal"/>
      <w:lvlText w:val="%1)"/>
      <w:lvlJc w:val="left"/>
      <w:pPr>
        <w:ind w:left="666" w:hanging="360"/>
      </w:pPr>
      <w:rPr>
        <w:rFonts w:hint="default"/>
      </w:r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4"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5" w15:restartNumberingAfterBreak="0">
    <w:nsid w:val="319010D3"/>
    <w:multiLevelType w:val="hybridMultilevel"/>
    <w:tmpl w:val="3E5219C2"/>
    <w:lvl w:ilvl="0" w:tplc="04150011">
      <w:start w:val="1"/>
      <w:numFmt w:val="decimal"/>
      <w:lvlText w:val="%1)"/>
      <w:lvlJc w:val="left"/>
      <w:pPr>
        <w:ind w:left="1026" w:hanging="360"/>
      </w:pPr>
    </w:lvl>
    <w:lvl w:ilvl="1" w:tplc="04150019" w:tentative="1">
      <w:start w:val="1"/>
      <w:numFmt w:val="lowerLetter"/>
      <w:lvlText w:val="%2."/>
      <w:lvlJc w:val="left"/>
      <w:pPr>
        <w:ind w:left="1746" w:hanging="360"/>
      </w:pPr>
    </w:lvl>
    <w:lvl w:ilvl="2" w:tplc="0415001B" w:tentative="1">
      <w:start w:val="1"/>
      <w:numFmt w:val="lowerRoman"/>
      <w:lvlText w:val="%3."/>
      <w:lvlJc w:val="right"/>
      <w:pPr>
        <w:ind w:left="2466" w:hanging="180"/>
      </w:p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6"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4A683C85"/>
    <w:multiLevelType w:val="hybridMultilevel"/>
    <w:tmpl w:val="ED7660E8"/>
    <w:lvl w:ilvl="0" w:tplc="962241DA">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8" w15:restartNumberingAfterBreak="0">
    <w:nsid w:val="4BC341E8"/>
    <w:multiLevelType w:val="hybridMultilevel"/>
    <w:tmpl w:val="7E621686"/>
    <w:lvl w:ilvl="0" w:tplc="355A2C94">
      <w:start w:val="1"/>
      <w:numFmt w:val="decimal"/>
      <w:lvlText w:val="%1)"/>
      <w:lvlJc w:val="left"/>
      <w:pPr>
        <w:ind w:left="673" w:hanging="360"/>
      </w:pPr>
      <w:rPr>
        <w:rFonts w:hint="default"/>
        <w:color w:val="000000"/>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9" w15:restartNumberingAfterBreak="0">
    <w:nsid w:val="4F6E78A7"/>
    <w:multiLevelType w:val="hybridMultilevel"/>
    <w:tmpl w:val="27F08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51606F"/>
    <w:multiLevelType w:val="hybridMultilevel"/>
    <w:tmpl w:val="AF607554"/>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1" w15:restartNumberingAfterBreak="0">
    <w:nsid w:val="5AA5236E"/>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3131"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69564EEB"/>
    <w:multiLevelType w:val="hybridMultilevel"/>
    <w:tmpl w:val="F8E627AC"/>
    <w:lvl w:ilvl="0" w:tplc="6390EA2C">
      <w:start w:val="1"/>
      <w:numFmt w:val="decimal"/>
      <w:lvlText w:val="%1."/>
      <w:lvlJc w:val="left"/>
      <w:pPr>
        <w:ind w:left="0"/>
      </w:pPr>
      <w:rPr>
        <w:rFonts w:ascii="Open Sans Light" w:eastAsia="Times New Roman" w:hAnsi="Open Sans Light" w:cs="Open Sans Light" w:hint="default"/>
        <w:b/>
        <w:bCs/>
        <w:i w:val="0"/>
        <w:strike w:val="0"/>
        <w:dstrike w:val="0"/>
        <w:color w:val="000000"/>
        <w:sz w:val="22"/>
        <w:szCs w:val="22"/>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6B31147B"/>
    <w:multiLevelType w:val="hybridMultilevel"/>
    <w:tmpl w:val="FAF0845C"/>
    <w:lvl w:ilvl="0" w:tplc="5E24FBDE">
      <w:start w:val="1"/>
      <w:numFmt w:val="lowerLetter"/>
      <w:lvlText w:val="%1)"/>
      <w:lvlJc w:val="left"/>
      <w:pPr>
        <w:ind w:left="666" w:hanging="360"/>
      </w:pPr>
      <w:rPr>
        <w:rFonts w:hint="default"/>
      </w:r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14" w15:restartNumberingAfterBreak="0">
    <w:nsid w:val="6B9208A9"/>
    <w:multiLevelType w:val="hybridMultilevel"/>
    <w:tmpl w:val="CFD84380"/>
    <w:lvl w:ilvl="0" w:tplc="962241DA">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15" w15:restartNumberingAfterBreak="0">
    <w:nsid w:val="6C501AD8"/>
    <w:multiLevelType w:val="hybridMultilevel"/>
    <w:tmpl w:val="DA44106C"/>
    <w:lvl w:ilvl="0" w:tplc="0415000F">
      <w:start w:val="1"/>
      <w:numFmt w:val="decimal"/>
      <w:lvlText w:val="%1."/>
      <w:lvlJc w:val="left"/>
      <w:pPr>
        <w:ind w:left="720" w:hanging="360"/>
      </w:pPr>
    </w:lvl>
    <w:lvl w:ilvl="1" w:tplc="434047AE">
      <w:start w:val="1"/>
      <w:numFmt w:val="lowerLetter"/>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C71053C"/>
    <w:multiLevelType w:val="hybridMultilevel"/>
    <w:tmpl w:val="1E9A7474"/>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num w:numId="1" w16cid:durableId="1534270307">
    <w:abstractNumId w:val="12"/>
  </w:num>
  <w:num w:numId="2" w16cid:durableId="835464769">
    <w:abstractNumId w:val="4"/>
  </w:num>
  <w:num w:numId="3" w16cid:durableId="190144567">
    <w:abstractNumId w:val="6"/>
  </w:num>
  <w:num w:numId="4" w16cid:durableId="1893887443">
    <w:abstractNumId w:val="12"/>
  </w:num>
  <w:num w:numId="5" w16cid:durableId="1436293848">
    <w:abstractNumId w:val="12"/>
  </w:num>
  <w:num w:numId="6" w16cid:durableId="1411925257">
    <w:abstractNumId w:val="12"/>
  </w:num>
  <w:num w:numId="7" w16cid:durableId="1423914534">
    <w:abstractNumId w:val="12"/>
  </w:num>
  <w:num w:numId="8" w16cid:durableId="788009268">
    <w:abstractNumId w:val="0"/>
  </w:num>
  <w:num w:numId="9" w16cid:durableId="1227299126">
    <w:abstractNumId w:val="2"/>
  </w:num>
  <w:num w:numId="10" w16cid:durableId="1647247542">
    <w:abstractNumId w:val="13"/>
  </w:num>
  <w:num w:numId="11" w16cid:durableId="916671161">
    <w:abstractNumId w:val="7"/>
  </w:num>
  <w:num w:numId="12" w16cid:durableId="928659731">
    <w:abstractNumId w:val="10"/>
  </w:num>
  <w:num w:numId="13" w16cid:durableId="1573928441">
    <w:abstractNumId w:val="8"/>
  </w:num>
  <w:num w:numId="14" w16cid:durableId="1627811963">
    <w:abstractNumId w:val="5"/>
  </w:num>
  <w:num w:numId="15" w16cid:durableId="757943979">
    <w:abstractNumId w:val="3"/>
  </w:num>
  <w:num w:numId="16" w16cid:durableId="374086343">
    <w:abstractNumId w:val="16"/>
  </w:num>
  <w:num w:numId="17" w16cid:durableId="1937011760">
    <w:abstractNumId w:val="1"/>
  </w:num>
  <w:num w:numId="18" w16cid:durableId="1487359605">
    <w:abstractNumId w:val="14"/>
  </w:num>
  <w:num w:numId="19" w16cid:durableId="1830444184">
    <w:abstractNumId w:val="11"/>
  </w:num>
  <w:num w:numId="20" w16cid:durableId="615139657">
    <w:abstractNumId w:val="15"/>
  </w:num>
  <w:num w:numId="21" w16cid:durableId="3565821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136F9"/>
    <w:rsid w:val="00023E74"/>
    <w:rsid w:val="000356C9"/>
    <w:rsid w:val="0003768E"/>
    <w:rsid w:val="000574CD"/>
    <w:rsid w:val="000819D2"/>
    <w:rsid w:val="000B4B0A"/>
    <w:rsid w:val="000B6006"/>
    <w:rsid w:val="000B6071"/>
    <w:rsid w:val="000B713F"/>
    <w:rsid w:val="001142B4"/>
    <w:rsid w:val="001218AA"/>
    <w:rsid w:val="00126E67"/>
    <w:rsid w:val="001362A0"/>
    <w:rsid w:val="00156418"/>
    <w:rsid w:val="0016127C"/>
    <w:rsid w:val="00176EBB"/>
    <w:rsid w:val="00187AF9"/>
    <w:rsid w:val="00194301"/>
    <w:rsid w:val="00197D2B"/>
    <w:rsid w:val="001A6912"/>
    <w:rsid w:val="001B48AF"/>
    <w:rsid w:val="001C671C"/>
    <w:rsid w:val="001D4BE9"/>
    <w:rsid w:val="001D77D2"/>
    <w:rsid w:val="001D7EC8"/>
    <w:rsid w:val="001E6788"/>
    <w:rsid w:val="00214CB3"/>
    <w:rsid w:val="00216695"/>
    <w:rsid w:val="00240035"/>
    <w:rsid w:val="00275533"/>
    <w:rsid w:val="002A0DA4"/>
    <w:rsid w:val="002A18DA"/>
    <w:rsid w:val="002A406B"/>
    <w:rsid w:val="002B5A4C"/>
    <w:rsid w:val="002D14DB"/>
    <w:rsid w:val="002D5B4F"/>
    <w:rsid w:val="00300102"/>
    <w:rsid w:val="00313B9A"/>
    <w:rsid w:val="003200AD"/>
    <w:rsid w:val="003525DB"/>
    <w:rsid w:val="003649BE"/>
    <w:rsid w:val="00365F3C"/>
    <w:rsid w:val="003665AB"/>
    <w:rsid w:val="003E3415"/>
    <w:rsid w:val="003E5EBD"/>
    <w:rsid w:val="003F0EFF"/>
    <w:rsid w:val="003F6CBB"/>
    <w:rsid w:val="00407AA6"/>
    <w:rsid w:val="00411069"/>
    <w:rsid w:val="00413BB4"/>
    <w:rsid w:val="004170C7"/>
    <w:rsid w:val="004422C4"/>
    <w:rsid w:val="004600D4"/>
    <w:rsid w:val="00461D0B"/>
    <w:rsid w:val="00464178"/>
    <w:rsid w:val="00471549"/>
    <w:rsid w:val="00472908"/>
    <w:rsid w:val="00482969"/>
    <w:rsid w:val="00482A02"/>
    <w:rsid w:val="004A3DCA"/>
    <w:rsid w:val="004D5F3F"/>
    <w:rsid w:val="004E3BD1"/>
    <w:rsid w:val="00502481"/>
    <w:rsid w:val="0050765A"/>
    <w:rsid w:val="005450BB"/>
    <w:rsid w:val="005632BD"/>
    <w:rsid w:val="00566B93"/>
    <w:rsid w:val="00581E59"/>
    <w:rsid w:val="005A170F"/>
    <w:rsid w:val="005F3358"/>
    <w:rsid w:val="00604F47"/>
    <w:rsid w:val="00642D82"/>
    <w:rsid w:val="00653625"/>
    <w:rsid w:val="00655769"/>
    <w:rsid w:val="006614E2"/>
    <w:rsid w:val="0067005D"/>
    <w:rsid w:val="00680F73"/>
    <w:rsid w:val="006833CC"/>
    <w:rsid w:val="00685FF3"/>
    <w:rsid w:val="00690CAC"/>
    <w:rsid w:val="00692E76"/>
    <w:rsid w:val="00697030"/>
    <w:rsid w:val="006A145C"/>
    <w:rsid w:val="006A6300"/>
    <w:rsid w:val="006C3266"/>
    <w:rsid w:val="006E6CED"/>
    <w:rsid w:val="006F2E5A"/>
    <w:rsid w:val="006F416F"/>
    <w:rsid w:val="00706251"/>
    <w:rsid w:val="00720991"/>
    <w:rsid w:val="00722B24"/>
    <w:rsid w:val="00725E11"/>
    <w:rsid w:val="00757BEE"/>
    <w:rsid w:val="00777ED1"/>
    <w:rsid w:val="00780AA8"/>
    <w:rsid w:val="00785E67"/>
    <w:rsid w:val="00795CAD"/>
    <w:rsid w:val="007A6217"/>
    <w:rsid w:val="007B7D2F"/>
    <w:rsid w:val="007C6B75"/>
    <w:rsid w:val="007D3643"/>
    <w:rsid w:val="00802AE3"/>
    <w:rsid w:val="00812930"/>
    <w:rsid w:val="00834C2A"/>
    <w:rsid w:val="008351AE"/>
    <w:rsid w:val="00843989"/>
    <w:rsid w:val="008573D2"/>
    <w:rsid w:val="008642F7"/>
    <w:rsid w:val="00870213"/>
    <w:rsid w:val="00877ABB"/>
    <w:rsid w:val="00886556"/>
    <w:rsid w:val="00890684"/>
    <w:rsid w:val="008A225E"/>
    <w:rsid w:val="008B3759"/>
    <w:rsid w:val="008D000F"/>
    <w:rsid w:val="008E2442"/>
    <w:rsid w:val="008E450C"/>
    <w:rsid w:val="008E65DB"/>
    <w:rsid w:val="008F0068"/>
    <w:rsid w:val="008F3632"/>
    <w:rsid w:val="009152E2"/>
    <w:rsid w:val="00915BB8"/>
    <w:rsid w:val="00920B62"/>
    <w:rsid w:val="00935920"/>
    <w:rsid w:val="00941024"/>
    <w:rsid w:val="0096239A"/>
    <w:rsid w:val="009676E4"/>
    <w:rsid w:val="009842F9"/>
    <w:rsid w:val="00991311"/>
    <w:rsid w:val="009977A3"/>
    <w:rsid w:val="009D110B"/>
    <w:rsid w:val="009E3D17"/>
    <w:rsid w:val="009E5FEB"/>
    <w:rsid w:val="009F474A"/>
    <w:rsid w:val="00A12AA5"/>
    <w:rsid w:val="00A1589D"/>
    <w:rsid w:val="00A161F0"/>
    <w:rsid w:val="00A25CF7"/>
    <w:rsid w:val="00A25E34"/>
    <w:rsid w:val="00A4205F"/>
    <w:rsid w:val="00A52714"/>
    <w:rsid w:val="00A55F99"/>
    <w:rsid w:val="00A623C6"/>
    <w:rsid w:val="00A67E12"/>
    <w:rsid w:val="00A97DB9"/>
    <w:rsid w:val="00AE5161"/>
    <w:rsid w:val="00AE73D9"/>
    <w:rsid w:val="00AF36AC"/>
    <w:rsid w:val="00B3725E"/>
    <w:rsid w:val="00B438B3"/>
    <w:rsid w:val="00B64377"/>
    <w:rsid w:val="00B658F2"/>
    <w:rsid w:val="00B75428"/>
    <w:rsid w:val="00B7793C"/>
    <w:rsid w:val="00BD3FD3"/>
    <w:rsid w:val="00BE0491"/>
    <w:rsid w:val="00BE316B"/>
    <w:rsid w:val="00BE36C3"/>
    <w:rsid w:val="00BF1B62"/>
    <w:rsid w:val="00BF74EC"/>
    <w:rsid w:val="00C119A2"/>
    <w:rsid w:val="00C15F4B"/>
    <w:rsid w:val="00C54989"/>
    <w:rsid w:val="00C81D4A"/>
    <w:rsid w:val="00C9484E"/>
    <w:rsid w:val="00C974B1"/>
    <w:rsid w:val="00CA4261"/>
    <w:rsid w:val="00CB0E0E"/>
    <w:rsid w:val="00CB67CD"/>
    <w:rsid w:val="00CC432F"/>
    <w:rsid w:val="00CD6949"/>
    <w:rsid w:val="00D02209"/>
    <w:rsid w:val="00D16CA3"/>
    <w:rsid w:val="00D30237"/>
    <w:rsid w:val="00D47AE0"/>
    <w:rsid w:val="00D50CE6"/>
    <w:rsid w:val="00D668BF"/>
    <w:rsid w:val="00DA5BFE"/>
    <w:rsid w:val="00DB180A"/>
    <w:rsid w:val="00DC5147"/>
    <w:rsid w:val="00DC796E"/>
    <w:rsid w:val="00DD0767"/>
    <w:rsid w:val="00DD22E1"/>
    <w:rsid w:val="00DE7317"/>
    <w:rsid w:val="00DF0005"/>
    <w:rsid w:val="00DF5E9B"/>
    <w:rsid w:val="00E02C9D"/>
    <w:rsid w:val="00E11F0F"/>
    <w:rsid w:val="00E23F36"/>
    <w:rsid w:val="00E43444"/>
    <w:rsid w:val="00E56B00"/>
    <w:rsid w:val="00E64B58"/>
    <w:rsid w:val="00E66847"/>
    <w:rsid w:val="00E72C38"/>
    <w:rsid w:val="00E839CF"/>
    <w:rsid w:val="00E87B22"/>
    <w:rsid w:val="00EA2F85"/>
    <w:rsid w:val="00EB289F"/>
    <w:rsid w:val="00ED20F6"/>
    <w:rsid w:val="00ED5ABC"/>
    <w:rsid w:val="00ED5DAE"/>
    <w:rsid w:val="00ED66A3"/>
    <w:rsid w:val="00EE09D2"/>
    <w:rsid w:val="00F10BAD"/>
    <w:rsid w:val="00F15F47"/>
    <w:rsid w:val="00F17F59"/>
    <w:rsid w:val="00F45A24"/>
    <w:rsid w:val="00F64A43"/>
    <w:rsid w:val="00F73ED9"/>
    <w:rsid w:val="00F908AA"/>
    <w:rsid w:val="00FA5CFF"/>
    <w:rsid w:val="00FB6993"/>
    <w:rsid w:val="00FC4A9E"/>
    <w:rsid w:val="00FD2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4A43"/>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6A6300"/>
    <w:pPr>
      <w:keepNext/>
      <w:keepLines/>
      <w:numPr>
        <w:numId w:val="19"/>
      </w:numPr>
      <w:spacing w:after="9" w:line="276" w:lineRule="auto"/>
      <w:ind w:left="431" w:hanging="431"/>
      <w:outlineLvl w:val="0"/>
    </w:pPr>
    <w:rPr>
      <w:rFonts w:ascii="Open Sans Light" w:eastAsia="Times New Roman" w:hAnsi="Open Sans Light" w:cs="Times New Roman"/>
      <w:b/>
      <w:color w:val="000000"/>
      <w:sz w:val="28"/>
    </w:rPr>
  </w:style>
  <w:style w:type="paragraph" w:styleId="Nagwek2">
    <w:name w:val="heading 2"/>
    <w:basedOn w:val="Normalny"/>
    <w:next w:val="Normalny"/>
    <w:link w:val="Nagwek2Znak"/>
    <w:uiPriority w:val="9"/>
    <w:unhideWhenUsed/>
    <w:qFormat/>
    <w:rsid w:val="00E11F0F"/>
    <w:pPr>
      <w:keepNext/>
      <w:keepLines/>
      <w:numPr>
        <w:ilvl w:val="1"/>
        <w:numId w:val="19"/>
      </w:numPr>
      <w:spacing w:before="40" w:after="0"/>
      <w:outlineLvl w:val="1"/>
    </w:pPr>
    <w:rPr>
      <w:rFonts w:ascii="Open Sans Light" w:eastAsiaTheme="majorEastAsia" w:hAnsi="Open Sans Light" w:cstheme="majorBidi"/>
      <w:color w:val="auto"/>
      <w:sz w:val="24"/>
      <w:szCs w:val="26"/>
    </w:rPr>
  </w:style>
  <w:style w:type="paragraph" w:styleId="Nagwek3">
    <w:name w:val="heading 3"/>
    <w:basedOn w:val="Normalny"/>
    <w:next w:val="Normalny"/>
    <w:link w:val="Nagwek3Znak"/>
    <w:uiPriority w:val="9"/>
    <w:unhideWhenUsed/>
    <w:qFormat/>
    <w:rsid w:val="006A6300"/>
    <w:pPr>
      <w:keepNext/>
      <w:keepLines/>
      <w:numPr>
        <w:ilvl w:val="2"/>
        <w:numId w:val="19"/>
      </w:numPr>
      <w:spacing w:before="40" w:after="0" w:line="276" w:lineRule="auto"/>
      <w:ind w:left="720"/>
      <w:outlineLvl w:val="2"/>
    </w:pPr>
    <w:rPr>
      <w:rFonts w:ascii="Open Sans Light" w:eastAsiaTheme="majorEastAsia" w:hAnsi="Open Sans Light" w:cstheme="majorBidi"/>
      <w:color w:val="auto"/>
      <w:sz w:val="24"/>
      <w:szCs w:val="24"/>
    </w:rPr>
  </w:style>
  <w:style w:type="paragraph" w:styleId="Nagwek4">
    <w:name w:val="heading 4"/>
    <w:basedOn w:val="Normalny"/>
    <w:next w:val="Normalny"/>
    <w:link w:val="Nagwek4Znak"/>
    <w:uiPriority w:val="9"/>
    <w:unhideWhenUsed/>
    <w:qFormat/>
    <w:rsid w:val="00E11F0F"/>
    <w:pPr>
      <w:keepNext/>
      <w:keepLines/>
      <w:numPr>
        <w:ilvl w:val="3"/>
        <w:numId w:val="19"/>
      </w:numPr>
      <w:spacing w:before="40" w:after="0"/>
      <w:outlineLvl w:val="3"/>
    </w:pPr>
    <w:rPr>
      <w:rFonts w:ascii="Open Sans Light" w:eastAsiaTheme="majorEastAsia" w:hAnsi="Open Sans Light" w:cstheme="majorBidi"/>
      <w:i/>
      <w:iCs/>
      <w:color w:val="auto"/>
      <w:sz w:val="22"/>
    </w:rPr>
  </w:style>
  <w:style w:type="paragraph" w:styleId="Nagwek5">
    <w:name w:val="heading 5"/>
    <w:basedOn w:val="Normalny"/>
    <w:next w:val="Normalny"/>
    <w:link w:val="Nagwek5Znak"/>
    <w:uiPriority w:val="9"/>
    <w:semiHidden/>
    <w:unhideWhenUsed/>
    <w:qFormat/>
    <w:rsid w:val="00795CAD"/>
    <w:pPr>
      <w:keepNext/>
      <w:keepLines/>
      <w:numPr>
        <w:ilvl w:val="4"/>
        <w:numId w:val="19"/>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795CAD"/>
    <w:pPr>
      <w:keepNext/>
      <w:keepLines/>
      <w:numPr>
        <w:ilvl w:val="5"/>
        <w:numId w:val="19"/>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795CAD"/>
    <w:pPr>
      <w:keepNext/>
      <w:keepLines/>
      <w:numPr>
        <w:ilvl w:val="6"/>
        <w:numId w:val="19"/>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795CAD"/>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95CAD"/>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A6300"/>
    <w:rPr>
      <w:rFonts w:ascii="Open Sans Light" w:eastAsia="Times New Roman" w:hAnsi="Open Sans Light" w:cs="Times New Roman"/>
      <w:b/>
      <w:color w:val="000000"/>
      <w:sz w:val="28"/>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character" w:customStyle="1" w:styleId="Nierozpoznanawzmianka1">
    <w:name w:val="Nierozpoznana wzmianka1"/>
    <w:basedOn w:val="Domylnaczcionkaakapitu"/>
    <w:uiPriority w:val="99"/>
    <w:semiHidden/>
    <w:unhideWhenUsed/>
    <w:rsid w:val="007C6B75"/>
    <w:rPr>
      <w:color w:val="605E5C"/>
      <w:shd w:val="clear" w:color="auto" w:fill="E1DFDD"/>
    </w:rPr>
  </w:style>
  <w:style w:type="paragraph" w:styleId="Tekstprzypisudolnego">
    <w:name w:val="footnote text"/>
    <w:basedOn w:val="Normalny"/>
    <w:link w:val="TekstprzypisudolnegoZnak"/>
    <w:uiPriority w:val="99"/>
    <w:semiHidden/>
    <w:unhideWhenUsed/>
    <w:rsid w:val="00AE73D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73D9"/>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AE73D9"/>
    <w:rPr>
      <w:vertAlign w:val="superscript"/>
    </w:rPr>
  </w:style>
  <w:style w:type="character" w:customStyle="1" w:styleId="Nagwek2Znak">
    <w:name w:val="Nagłówek 2 Znak"/>
    <w:basedOn w:val="Domylnaczcionkaakapitu"/>
    <w:link w:val="Nagwek2"/>
    <w:uiPriority w:val="9"/>
    <w:rsid w:val="00E11F0F"/>
    <w:rPr>
      <w:rFonts w:ascii="Open Sans Light" w:eastAsiaTheme="majorEastAsia" w:hAnsi="Open Sans Light" w:cstheme="majorBidi"/>
      <w:sz w:val="24"/>
      <w:szCs w:val="26"/>
    </w:rPr>
  </w:style>
  <w:style w:type="character" w:customStyle="1" w:styleId="Nagwek3Znak">
    <w:name w:val="Nagłówek 3 Znak"/>
    <w:basedOn w:val="Domylnaczcionkaakapitu"/>
    <w:link w:val="Nagwek3"/>
    <w:uiPriority w:val="9"/>
    <w:rsid w:val="006A6300"/>
    <w:rPr>
      <w:rFonts w:ascii="Open Sans Light" w:eastAsiaTheme="majorEastAsia" w:hAnsi="Open Sans Light" w:cstheme="majorBidi"/>
      <w:sz w:val="24"/>
      <w:szCs w:val="24"/>
    </w:rPr>
  </w:style>
  <w:style w:type="character" w:customStyle="1" w:styleId="Nagwek4Znak">
    <w:name w:val="Nagłówek 4 Znak"/>
    <w:basedOn w:val="Domylnaczcionkaakapitu"/>
    <w:link w:val="Nagwek4"/>
    <w:uiPriority w:val="9"/>
    <w:rsid w:val="00E11F0F"/>
    <w:rPr>
      <w:rFonts w:ascii="Open Sans Light" w:eastAsiaTheme="majorEastAsia" w:hAnsi="Open Sans Light" w:cstheme="majorBidi"/>
      <w:i/>
      <w:iCs/>
    </w:rPr>
  </w:style>
  <w:style w:type="character" w:customStyle="1" w:styleId="Nagwek5Znak">
    <w:name w:val="Nagłówek 5 Znak"/>
    <w:basedOn w:val="Domylnaczcionkaakapitu"/>
    <w:link w:val="Nagwek5"/>
    <w:uiPriority w:val="9"/>
    <w:semiHidden/>
    <w:rsid w:val="00795CAD"/>
    <w:rPr>
      <w:rFonts w:asciiTheme="majorHAnsi" w:eastAsiaTheme="majorEastAsia" w:hAnsiTheme="majorHAnsi" w:cstheme="majorBidi"/>
      <w:color w:val="2E74B5" w:themeColor="accent1" w:themeShade="BF"/>
      <w:sz w:val="23"/>
    </w:rPr>
  </w:style>
  <w:style w:type="character" w:customStyle="1" w:styleId="Nagwek6Znak">
    <w:name w:val="Nagłówek 6 Znak"/>
    <w:basedOn w:val="Domylnaczcionkaakapitu"/>
    <w:link w:val="Nagwek6"/>
    <w:uiPriority w:val="9"/>
    <w:semiHidden/>
    <w:rsid w:val="00795CAD"/>
    <w:rPr>
      <w:rFonts w:asciiTheme="majorHAnsi" w:eastAsiaTheme="majorEastAsia" w:hAnsiTheme="majorHAnsi" w:cstheme="majorBidi"/>
      <w:color w:val="1F4D78" w:themeColor="accent1" w:themeShade="7F"/>
      <w:sz w:val="23"/>
    </w:rPr>
  </w:style>
  <w:style w:type="character" w:customStyle="1" w:styleId="Nagwek7Znak">
    <w:name w:val="Nagłówek 7 Znak"/>
    <w:basedOn w:val="Domylnaczcionkaakapitu"/>
    <w:link w:val="Nagwek7"/>
    <w:uiPriority w:val="9"/>
    <w:semiHidden/>
    <w:rsid w:val="00795CAD"/>
    <w:rPr>
      <w:rFonts w:asciiTheme="majorHAnsi" w:eastAsiaTheme="majorEastAsia" w:hAnsiTheme="majorHAnsi" w:cstheme="majorBidi"/>
      <w:i/>
      <w:iCs/>
      <w:color w:val="1F4D78" w:themeColor="accent1" w:themeShade="7F"/>
      <w:sz w:val="23"/>
    </w:rPr>
  </w:style>
  <w:style w:type="character" w:customStyle="1" w:styleId="Nagwek8Znak">
    <w:name w:val="Nagłówek 8 Znak"/>
    <w:basedOn w:val="Domylnaczcionkaakapitu"/>
    <w:link w:val="Nagwek8"/>
    <w:uiPriority w:val="9"/>
    <w:semiHidden/>
    <w:rsid w:val="00795CA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95CAD"/>
    <w:rPr>
      <w:rFonts w:asciiTheme="majorHAnsi" w:eastAsiaTheme="majorEastAsia" w:hAnsiTheme="majorHAnsi" w:cstheme="majorBidi"/>
      <w:i/>
      <w:iCs/>
      <w:color w:val="272727" w:themeColor="text1" w:themeTint="D8"/>
      <w:sz w:val="21"/>
      <w:szCs w:val="21"/>
    </w:rPr>
  </w:style>
  <w:style w:type="paragraph" w:styleId="Tytu">
    <w:name w:val="Title"/>
    <w:basedOn w:val="Normalny"/>
    <w:next w:val="Normalny"/>
    <w:link w:val="TytuZnak"/>
    <w:uiPriority w:val="10"/>
    <w:qFormat/>
    <w:rsid w:val="00411069"/>
    <w:pPr>
      <w:spacing w:before="840" w:after="0" w:line="276" w:lineRule="auto"/>
      <w:ind w:left="351" w:hanging="11"/>
      <w:contextualSpacing/>
      <w:jc w:val="left"/>
    </w:pPr>
    <w:rPr>
      <w:rFonts w:ascii="Open Sans Light" w:eastAsiaTheme="majorEastAsia" w:hAnsi="Open Sans Light" w:cstheme="majorBidi"/>
      <w:b/>
      <w:color w:val="auto"/>
      <w:spacing w:val="-10"/>
      <w:kern w:val="28"/>
      <w:sz w:val="28"/>
      <w:szCs w:val="56"/>
    </w:rPr>
  </w:style>
  <w:style w:type="character" w:customStyle="1" w:styleId="TytuZnak">
    <w:name w:val="Tytuł Znak"/>
    <w:basedOn w:val="Domylnaczcionkaakapitu"/>
    <w:link w:val="Tytu"/>
    <w:uiPriority w:val="10"/>
    <w:rsid w:val="00411069"/>
    <w:rPr>
      <w:rFonts w:ascii="Open Sans Light" w:eastAsiaTheme="majorEastAsia" w:hAnsi="Open Sans Light" w:cstheme="majorBidi"/>
      <w:b/>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474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ur-lex.europa.eu/legal-content/PL/TXT/PDF/?uri=CELEX%3A52021XC0218%2801%29&amp;from=EN" TargetMode="External"/><Relationship Id="rId18" Type="http://schemas.openxmlformats.org/officeDocument/2006/relationships/hyperlink" Target="https://ec.europa.eu/environment/nature/natura2000/management/docs/art6/natura_2000_assess_pl.pdf" TargetMode="External"/><Relationship Id="rId3" Type="http://schemas.openxmlformats.org/officeDocument/2006/relationships/styles" Target="styles.xml"/><Relationship Id="rId21" Type="http://schemas.openxmlformats.org/officeDocument/2006/relationships/hyperlink" Target="https://www.funduszeeuropejskie.gov.pl/media/119589/Metodyka-zastosowania-kryterium-dostepnosci-cenowej-w-projektach-inwestycyjnych-z-dofinansowaniem-UE-2.pdf" TargetMode="External"/><Relationship Id="rId7" Type="http://schemas.openxmlformats.org/officeDocument/2006/relationships/endnotes" Target="endnotes.xml"/><Relationship Id="rId12" Type="http://schemas.openxmlformats.org/officeDocument/2006/relationships/hyperlink" Target="https://www.funduszeeuropejskie.gov.pl/media/115275/Wytyczne_PI_i_PH_21_27_5.pdf"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eur-lex.europa.eu/legal-content/PL/TXT/?uri=celex:52000DC0001" TargetMode="External"/><Relationship Id="rId20" Type="http://schemas.openxmlformats.org/officeDocument/2006/relationships/hyperlink" Target="https://eur-lex.europa.eu/legal-content/PL/TXT/?uri=uriserv%3AOJ.C_.2021.373.01.0001.01.POL&amp;toc=OJ%3AC%3A2021%3A373%3A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uroparl.europa.eu/factsheets/pl/sheet/71/polityka-ochrony-srodowiska-ogolne-zasady-i-podstawowe-ramy"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ec.europa.eu/environment/nature/natura2000/management/docs/art6/PL_art_6_guide_jun_2019.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file:///\\svkfiles\zasoby\Grupy\DT\FEnIKS%202021-2027%20SPRAWOZDAWCZO&#346;&#262;\KONKURSY\II%20KONKURS\KOMPLET_zmiany\Zal%204%20do%20Regulaminu_Instrukcja%20wype&#322;niania%20WoD\powinn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FB171-C27D-4C4E-BEB0-6F35C4591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23</Pages>
  <Words>5879</Words>
  <Characters>35275</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41072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Instrukcji wypełniania wniosku o dofinansowanie - Zakres studium wykonalności</dc:title>
  <dc:subject/>
  <dc:creator>marcin_bialek</dc:creator>
  <cp:keywords/>
  <cp:lastModifiedBy>Młynarczyk Karolina</cp:lastModifiedBy>
  <cp:revision>19</cp:revision>
  <dcterms:created xsi:type="dcterms:W3CDTF">2024-12-02T08:03:00Z</dcterms:created>
  <dcterms:modified xsi:type="dcterms:W3CDTF">2025-01-09T15:03:00Z</dcterms:modified>
</cp:coreProperties>
</file>