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9BD7F" w14:textId="431A3C26" w:rsidR="003B7CF8" w:rsidRPr="00B850EC" w:rsidRDefault="00B850EC" w:rsidP="00B850E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850EC">
        <w:rPr>
          <w:bCs/>
          <w:sz w:val="22"/>
          <w:szCs w:val="22"/>
        </w:rPr>
        <w:t>lonafarnib</w:t>
      </w:r>
    </w:p>
    <w:p w14:paraId="60826521" w14:textId="77777777" w:rsidR="00B850EC" w:rsidRPr="00B850EC" w:rsidRDefault="00B850EC" w:rsidP="00B850EC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14:paraId="5737AB58" w14:textId="60157521" w:rsidR="00523C92" w:rsidRPr="00B850EC" w:rsidRDefault="000E48FF" w:rsidP="006E6EEB">
      <w:pPr>
        <w:autoSpaceDE w:val="0"/>
        <w:autoSpaceDN w:val="0"/>
        <w:adjustRightInd w:val="0"/>
        <w:spacing w:after="240"/>
        <w:jc w:val="both"/>
        <w:rPr>
          <w:b/>
          <w:sz w:val="28"/>
          <w:szCs w:val="28"/>
        </w:rPr>
      </w:pPr>
      <w:r w:rsidRPr="00B850EC">
        <w:rPr>
          <w:b/>
          <w:sz w:val="28"/>
          <w:szCs w:val="28"/>
        </w:rPr>
        <w:t>LECZENIE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PACJENTÓW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Z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ZESPOŁEM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PROGERII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HUTCHINSONA-GILFORDA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(HGPS)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LUB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PROGEROIDOWĄ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LAMINOPATIĄ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(PL)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Z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WADLIWĄ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OBRÓBKĄ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PRELAMIN</w:t>
      </w:r>
      <w:r w:rsidR="007D11EB">
        <w:rPr>
          <w:b/>
          <w:sz w:val="28"/>
          <w:szCs w:val="28"/>
        </w:rPr>
        <w:t xml:space="preserve"> </w:t>
      </w:r>
      <w:r w:rsidR="00E9685E" w:rsidRPr="00B850EC">
        <w:rPr>
          <w:b/>
          <w:sz w:val="28"/>
          <w:szCs w:val="28"/>
        </w:rPr>
        <w:t>(</w:t>
      </w:r>
      <w:r w:rsidRPr="00B850EC">
        <w:rPr>
          <w:b/>
          <w:sz w:val="28"/>
          <w:szCs w:val="28"/>
        </w:rPr>
        <w:t>ICD-10:</w:t>
      </w:r>
      <w:r w:rsidR="007D11EB">
        <w:rPr>
          <w:b/>
          <w:sz w:val="28"/>
          <w:szCs w:val="28"/>
        </w:rPr>
        <w:t xml:space="preserve"> </w:t>
      </w:r>
      <w:r w:rsidRPr="00B850EC">
        <w:rPr>
          <w:b/>
          <w:sz w:val="28"/>
          <w:szCs w:val="28"/>
        </w:rPr>
        <w:t>E34.8)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63"/>
        <w:gridCol w:w="4115"/>
        <w:gridCol w:w="5610"/>
      </w:tblGrid>
      <w:tr w:rsidR="00565830" w:rsidRPr="00966F29" w14:paraId="7B66CDCC" w14:textId="77777777" w:rsidTr="00281E15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32B4" w14:textId="7130DBC6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ZAKRES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ŚWIADCZENIA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GWARANTOWANEGO</w:t>
            </w:r>
          </w:p>
        </w:tc>
      </w:tr>
      <w:tr w:rsidR="002803BD" w:rsidRPr="00966F29" w14:paraId="26BDAA2F" w14:textId="77777777" w:rsidTr="00281E15">
        <w:trPr>
          <w:trHeight w:val="567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203F8" w14:textId="77777777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F1A7C" w14:textId="10254305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SCHEMAT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DAWKOWANIA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LEKÓW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7D11EB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PROGRAMIE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D547" w14:textId="0088CA5F" w:rsidR="00565830" w:rsidRPr="00966F29" w:rsidRDefault="00565830" w:rsidP="00A45E0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966F29">
              <w:rPr>
                <w:b/>
                <w:bCs/>
                <w:sz w:val="20"/>
                <w:szCs w:val="20"/>
              </w:rPr>
              <w:t>BADANIA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DIAGNOSTYCZNE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WYKONYWANE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7D11EB">
              <w:rPr>
                <w:b/>
                <w:bCs/>
                <w:sz w:val="20"/>
                <w:szCs w:val="20"/>
              </w:rPr>
              <w:br/>
            </w:r>
            <w:r w:rsidRPr="00966F29">
              <w:rPr>
                <w:b/>
                <w:bCs/>
                <w:sz w:val="20"/>
                <w:szCs w:val="20"/>
              </w:rPr>
              <w:t>W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RAMACH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966F29">
              <w:rPr>
                <w:b/>
                <w:bCs/>
                <w:sz w:val="20"/>
                <w:szCs w:val="20"/>
              </w:rPr>
              <w:t>PROGRAMU</w:t>
            </w:r>
          </w:p>
        </w:tc>
      </w:tr>
      <w:tr w:rsidR="002803BD" w:rsidRPr="00966F29" w14:paraId="23726558" w14:textId="77777777" w:rsidTr="00281E15">
        <w:trPr>
          <w:trHeight w:val="2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3404" w14:textId="15B4DF6C" w:rsidR="00006E10" w:rsidRPr="00E43BF8" w:rsidRDefault="006E6EEB" w:rsidP="00E43BF8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i/>
                <w:iCs/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ramach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programu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pacjentom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zespołem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progerii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Hutchinsona-Gilforda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(HGPS)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progeroidową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laminopatią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(PL)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wadliwą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obróbką</w:t>
            </w:r>
            <w:r w:rsidR="007D11EB">
              <w:rPr>
                <w:sz w:val="20"/>
                <w:szCs w:val="20"/>
              </w:rPr>
              <w:t xml:space="preserve"> </w:t>
            </w:r>
            <w:r w:rsidR="000E48FF" w:rsidRPr="00E43BF8">
              <w:rPr>
                <w:sz w:val="20"/>
                <w:szCs w:val="20"/>
              </w:rPr>
              <w:t>prelamin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udostępnia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terapi</w:t>
            </w:r>
            <w:r w:rsidR="000E48FF" w:rsidRPr="00E43BF8">
              <w:rPr>
                <w:sz w:val="20"/>
                <w:szCs w:val="20"/>
              </w:rPr>
              <w:t>ę</w:t>
            </w:r>
            <w:r w:rsidR="007D11EB">
              <w:rPr>
                <w:sz w:val="20"/>
                <w:szCs w:val="20"/>
              </w:rPr>
              <w:t xml:space="preserve"> </w:t>
            </w:r>
            <w:r w:rsidR="00816178" w:rsidRPr="00E43BF8">
              <w:rPr>
                <w:sz w:val="20"/>
                <w:szCs w:val="20"/>
              </w:rPr>
              <w:t>lonafarnibem</w:t>
            </w:r>
            <w:r w:rsidR="007D11EB">
              <w:rPr>
                <w:sz w:val="20"/>
                <w:szCs w:val="20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zgodnie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ze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wskazanymi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w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opisie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programu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warunkami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i</w:t>
            </w:r>
            <w:r w:rsidR="007D11EB">
              <w:rPr>
                <w:sz w:val="20"/>
                <w:szCs w:val="20"/>
                <w:u w:val="single"/>
              </w:rPr>
              <w:t xml:space="preserve"> </w:t>
            </w:r>
            <w:r w:rsidR="00C10950" w:rsidRPr="00E43BF8">
              <w:rPr>
                <w:sz w:val="20"/>
                <w:szCs w:val="20"/>
                <w:u w:val="single"/>
              </w:rPr>
              <w:t>kryteriami.</w:t>
            </w:r>
          </w:p>
          <w:p w14:paraId="223878FE" w14:textId="15931E47" w:rsidR="00C10950" w:rsidRPr="00E43BF8" w:rsidRDefault="00C10950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Kwalifikacja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świadczeniobiorców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programu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przeprowadzana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jest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Zespół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Koordynacyjny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ds.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Zespołu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Progerii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Hutchinsona-Gilforda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Progeroidowej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Laminopatii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Wadliwą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Obróbką</w:t>
            </w:r>
            <w:r w:rsidR="007D11EB">
              <w:rPr>
                <w:sz w:val="20"/>
                <w:szCs w:val="20"/>
              </w:rPr>
              <w:t xml:space="preserve"> </w:t>
            </w:r>
            <w:r w:rsidR="00FF07D5" w:rsidRPr="00E43BF8">
              <w:rPr>
                <w:sz w:val="20"/>
                <w:szCs w:val="20"/>
              </w:rPr>
              <w:t>Prelamin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powoływany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Prezesa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Narodowego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Funduszu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Zdrowia.</w:t>
            </w:r>
          </w:p>
          <w:p w14:paraId="34EAB008" w14:textId="77777777" w:rsidR="00C10950" w:rsidRPr="00E43BF8" w:rsidRDefault="00C10950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42CD0E48" w14:textId="59B6EB24" w:rsidR="00FC69A4" w:rsidRPr="00E43BF8" w:rsidRDefault="00FC69A4" w:rsidP="00E43BF8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Kryteria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kwalifikacji</w:t>
            </w:r>
          </w:p>
          <w:p w14:paraId="625CE3BC" w14:textId="55E8A25A" w:rsidR="004C2572" w:rsidRPr="00E43BF8" w:rsidRDefault="004C2572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wiek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12</w:t>
            </w:r>
            <w:r w:rsidR="007D11EB">
              <w:rPr>
                <w:sz w:val="20"/>
                <w:szCs w:val="20"/>
              </w:rPr>
              <w:t xml:space="preserve"> </w:t>
            </w:r>
            <w:r w:rsidR="00464739" w:rsidRPr="00E43BF8">
              <w:rPr>
                <w:sz w:val="20"/>
                <w:szCs w:val="20"/>
              </w:rPr>
              <w:t>miesięcy</w:t>
            </w:r>
            <w:r w:rsidR="007D11EB">
              <w:rPr>
                <w:sz w:val="20"/>
                <w:szCs w:val="20"/>
              </w:rPr>
              <w:t xml:space="preserve"> </w:t>
            </w:r>
            <w:r w:rsidR="00F737F0"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="00F737F0" w:rsidRPr="00E43BF8">
              <w:rPr>
                <w:sz w:val="20"/>
                <w:szCs w:val="20"/>
              </w:rPr>
              <w:t>powyżej</w:t>
            </w:r>
            <w:r w:rsidR="00E30D66" w:rsidRPr="00E43BF8">
              <w:rPr>
                <w:sz w:val="20"/>
                <w:szCs w:val="20"/>
              </w:rPr>
              <w:t>;</w:t>
            </w:r>
          </w:p>
          <w:p w14:paraId="02D4592B" w14:textId="43C463E5" w:rsidR="00464739" w:rsidRPr="00E43BF8" w:rsidRDefault="004C2572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potwierdzon</w:t>
            </w:r>
            <w:r w:rsidR="006E5F71" w:rsidRPr="00E43BF8">
              <w:rPr>
                <w:sz w:val="20"/>
                <w:szCs w:val="20"/>
              </w:rPr>
              <w:t>e</w:t>
            </w:r>
            <w:r w:rsidR="007D11EB">
              <w:rPr>
                <w:sz w:val="20"/>
                <w:szCs w:val="20"/>
              </w:rPr>
              <w:t xml:space="preserve"> </w:t>
            </w:r>
            <w:r w:rsidR="00464739" w:rsidRPr="00E43BF8">
              <w:rPr>
                <w:sz w:val="20"/>
                <w:szCs w:val="20"/>
              </w:rPr>
              <w:t>genetycznie</w:t>
            </w:r>
            <w:r w:rsidR="007D11EB">
              <w:rPr>
                <w:sz w:val="20"/>
                <w:szCs w:val="20"/>
              </w:rPr>
              <w:t xml:space="preserve"> </w:t>
            </w:r>
            <w:r w:rsidR="00464739" w:rsidRPr="00E43BF8">
              <w:rPr>
                <w:sz w:val="20"/>
                <w:szCs w:val="20"/>
              </w:rPr>
              <w:t>rozpoznanie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(sekwencjonowanie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LMNA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metodą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Sangera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-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preferencyjnie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-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NGS;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przypadku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NGS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potwierdzeniem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metodą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Sangera):</w:t>
            </w:r>
          </w:p>
          <w:p w14:paraId="15F8D07F" w14:textId="5F390A44" w:rsidR="00464739" w:rsidRPr="00E43BF8" w:rsidRDefault="001F2D3D" w:rsidP="00E43BF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z</w:t>
            </w:r>
            <w:r w:rsidR="00464739" w:rsidRPr="00E43BF8">
              <w:rPr>
                <w:sz w:val="20"/>
                <w:szCs w:val="20"/>
              </w:rPr>
              <w:t>espołu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</w:t>
            </w:r>
            <w:r w:rsidR="00464739" w:rsidRPr="00E43BF8">
              <w:rPr>
                <w:sz w:val="20"/>
                <w:szCs w:val="20"/>
              </w:rPr>
              <w:t>rogerii</w:t>
            </w:r>
            <w:r w:rsidR="007D11EB">
              <w:rPr>
                <w:sz w:val="20"/>
                <w:szCs w:val="20"/>
              </w:rPr>
              <w:t xml:space="preserve"> </w:t>
            </w:r>
            <w:r w:rsidR="00464739" w:rsidRPr="00E43BF8">
              <w:rPr>
                <w:sz w:val="20"/>
                <w:szCs w:val="20"/>
              </w:rPr>
              <w:t>Hutchinsona-Gilforda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(klasyczna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heterozygotyczna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mutacja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pozycji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c.1824C&gt;T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skutkująca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syntezą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gromadzeniem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progeryny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mutacja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eksonie/intronie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11,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która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wg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algorytmów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predykcyjnych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może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skutkować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skróceniem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białka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laminy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syntezą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białka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podobnego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="00E67BD2" w:rsidRPr="00E43BF8">
              <w:rPr>
                <w:sz w:val="20"/>
                <w:szCs w:val="20"/>
              </w:rPr>
              <w:t>progeryny)</w:t>
            </w:r>
          </w:p>
          <w:p w14:paraId="1E5DB315" w14:textId="504DE54B" w:rsidR="00464739" w:rsidRPr="00E43BF8" w:rsidRDefault="00464739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lastRenderedPageBreak/>
              <w:t>albo</w:t>
            </w:r>
          </w:p>
          <w:p w14:paraId="63134B11" w14:textId="26B2F9C1" w:rsidR="00464739" w:rsidRPr="00E43BF8" w:rsidRDefault="00464739" w:rsidP="00E43BF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progeroidowej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laminopatii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wadliwą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obróbką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prelamin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wskutek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homozygotycznej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ZMPSTE24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złożonej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heterozygotycznej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ZMPSTE24,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przy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czym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mutacje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typu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missense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dadzą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fenotyp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dysplazji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żuchwowo-obojczykowej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typu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B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(MADB,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cięższa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niż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MADA,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związana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głównie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mutacją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LMNA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hotspot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pozycji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c.1580),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zaś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mutacje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typu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loss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of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function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null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dadzą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fenotyp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dermopatii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restrykcyjnej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(tu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lokuje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też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hotspotowa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insercja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9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eksonie</w:t>
            </w:r>
            <w:r w:rsidR="007D11EB">
              <w:rPr>
                <w:sz w:val="20"/>
                <w:szCs w:val="20"/>
              </w:rPr>
              <w:t xml:space="preserve"> </w:t>
            </w:r>
            <w:r w:rsidR="00B849C7" w:rsidRPr="00E43BF8">
              <w:rPr>
                <w:sz w:val="20"/>
                <w:szCs w:val="20"/>
              </w:rPr>
              <w:t>ZMPSTE24)</w:t>
            </w:r>
            <w:r w:rsidR="00E43BF8" w:rsidRPr="00E43BF8">
              <w:rPr>
                <w:sz w:val="20"/>
                <w:szCs w:val="20"/>
              </w:rPr>
              <w:t>;</w:t>
            </w:r>
          </w:p>
          <w:p w14:paraId="15BE8D6C" w14:textId="7372E84C" w:rsidR="00464739" w:rsidRPr="00E43BF8" w:rsidRDefault="00464739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potwierdzona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obecność:</w:t>
            </w:r>
          </w:p>
          <w:p w14:paraId="421CD062" w14:textId="2CF380FD" w:rsidR="00E43BF8" w:rsidRPr="00E43BF8" w:rsidRDefault="00464739" w:rsidP="00E43BF8">
            <w:pPr>
              <w:pStyle w:val="Akapitzlist"/>
              <w:numPr>
                <w:ilvl w:val="4"/>
                <w:numId w:val="19"/>
              </w:numPr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heterozygotycznej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LMNA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gromadzeniem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białka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podobnego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progeryny</w:t>
            </w:r>
          </w:p>
          <w:p w14:paraId="2376A9E5" w14:textId="6891F2CF" w:rsidR="00464739" w:rsidRPr="00E43BF8" w:rsidRDefault="00464739" w:rsidP="00E43BF8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lub</w:t>
            </w:r>
          </w:p>
          <w:p w14:paraId="4E89E806" w14:textId="73F0C2DB" w:rsidR="00E43BF8" w:rsidRPr="00E43BF8" w:rsidRDefault="00464739" w:rsidP="00E43BF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homozygotycznej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ZMPSTE24</w:t>
            </w:r>
          </w:p>
          <w:p w14:paraId="507B1854" w14:textId="0C41ACAC" w:rsidR="00464739" w:rsidRPr="00E43BF8" w:rsidRDefault="00464739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lub</w:t>
            </w:r>
          </w:p>
          <w:p w14:paraId="4B15AD72" w14:textId="0916C2D0" w:rsidR="00464739" w:rsidRPr="00E43BF8" w:rsidRDefault="00464739" w:rsidP="00E43BF8">
            <w:pPr>
              <w:pStyle w:val="Akapitzlist"/>
              <w:numPr>
                <w:ilvl w:val="4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złożonej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heterozygotycznej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ZMPSTE24;</w:t>
            </w:r>
          </w:p>
          <w:p w14:paraId="45685C5A" w14:textId="2C8AD4B8" w:rsidR="00BF0CA8" w:rsidRPr="00E43BF8" w:rsidRDefault="00BF0CA8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potwierdzona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obecność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G608G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lamina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A;</w:t>
            </w:r>
          </w:p>
          <w:p w14:paraId="75773F99" w14:textId="2057CF6A" w:rsidR="00841286" w:rsidRPr="00E43BF8" w:rsidRDefault="00841286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wynik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testu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APC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&gt;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1000/ml;</w:t>
            </w:r>
          </w:p>
          <w:p w14:paraId="30FE79E6" w14:textId="380A8843" w:rsidR="00777E5E" w:rsidRPr="00E43BF8" w:rsidRDefault="00003CD4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wykonanie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5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pomiarów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masy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ciała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ciągu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ostatniego</w:t>
            </w:r>
            <w:r w:rsidR="007D11EB">
              <w:rPr>
                <w:sz w:val="20"/>
                <w:szCs w:val="20"/>
              </w:rPr>
              <w:t xml:space="preserve"> </w:t>
            </w:r>
            <w:r w:rsidR="00BF0CA8" w:rsidRPr="00E43BF8">
              <w:rPr>
                <w:sz w:val="20"/>
                <w:szCs w:val="20"/>
              </w:rPr>
              <w:t>roku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posiadanie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wyników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potwierdzonych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dokumentacji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medycznej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pacjenta;</w:t>
            </w:r>
          </w:p>
          <w:p w14:paraId="01F11AD6" w14:textId="5025106F" w:rsidR="00777E5E" w:rsidRPr="00E43BF8" w:rsidRDefault="00777E5E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brak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przeciwskazań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stosowania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zgodnie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aktualną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Charakterystyką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Produktu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Leczniczego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(ChPL);</w:t>
            </w:r>
          </w:p>
          <w:p w14:paraId="2F88323B" w14:textId="3B216318" w:rsidR="000E7B19" w:rsidRPr="00E43BF8" w:rsidRDefault="00AB20AA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adekwatna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wydolność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narządowa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określona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na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podstawie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wyników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badań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laboratoryjnych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umożliwiająca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opinii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B73C82"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B73C82" w:rsidRPr="00E43BF8">
              <w:rPr>
                <w:bCs/>
                <w:sz w:val="20"/>
                <w:szCs w:val="20"/>
              </w:rPr>
              <w:t>opinii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B73C82" w:rsidRPr="00E43BF8">
              <w:rPr>
                <w:bCs/>
                <w:sz w:val="20"/>
                <w:szCs w:val="20"/>
              </w:rPr>
              <w:t>Zespołu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B73C82" w:rsidRPr="00E43BF8">
              <w:rPr>
                <w:bCs/>
                <w:sz w:val="20"/>
                <w:szCs w:val="20"/>
              </w:rPr>
              <w:t>Koordynacyjnego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B73C82"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lekarza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prowadzącego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bezpieczne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rozpoczęcie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terapii</w:t>
            </w:r>
            <w:r w:rsidR="000E7B19" w:rsidRPr="00E43BF8">
              <w:rPr>
                <w:bCs/>
                <w:sz w:val="20"/>
                <w:szCs w:val="20"/>
              </w:rPr>
              <w:t>;</w:t>
            </w:r>
          </w:p>
          <w:p w14:paraId="3087CD02" w14:textId="50C80E9E" w:rsidR="00003CD4" w:rsidRPr="00E43BF8" w:rsidRDefault="00777E5E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nieobecność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istotnych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schorzeń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współistniejących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251E73"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251E73" w:rsidRPr="00E43BF8">
              <w:rPr>
                <w:bCs/>
                <w:sz w:val="20"/>
                <w:szCs w:val="20"/>
              </w:rPr>
              <w:t>stanów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251E73" w:rsidRPr="00E43BF8">
              <w:rPr>
                <w:bCs/>
                <w:sz w:val="20"/>
                <w:szCs w:val="20"/>
              </w:rPr>
              <w:t>klinicznych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stanowiących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przeciwwskazanie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terapii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lastRenderedPageBreak/>
              <w:t>stwierdzonych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przez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Zespół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Koordynacyjny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lekarza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prowadzącego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oparciu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aktualne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ChPL;</w:t>
            </w:r>
          </w:p>
          <w:p w14:paraId="0298B95E" w14:textId="6585BFB5" w:rsidR="00110934" w:rsidRPr="00E43BF8" w:rsidRDefault="000E7B19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wykluczenie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okresu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ciąży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karmienia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piersią</w:t>
            </w:r>
            <w:r w:rsidR="00777E5E" w:rsidRPr="00E43BF8">
              <w:rPr>
                <w:bCs/>
                <w:sz w:val="20"/>
                <w:szCs w:val="20"/>
              </w:rPr>
              <w:t>;</w:t>
            </w:r>
          </w:p>
          <w:p w14:paraId="31FFC8DA" w14:textId="41B0C3EF" w:rsidR="00777E5E" w:rsidRPr="00E43BF8" w:rsidRDefault="00777E5E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zgoda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pacjenta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na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prowadzenie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antykoncepcji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zgodnie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aktualną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ChPL.</w:t>
            </w:r>
          </w:p>
          <w:p w14:paraId="1149BA3E" w14:textId="678D5E4B" w:rsidR="00110934" w:rsidRPr="00E43BF8" w:rsidRDefault="00464739" w:rsidP="00E43BF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Powyższe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kryteria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kwalifikacji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muszą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być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spełnione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łącznie.</w:t>
            </w:r>
          </w:p>
          <w:p w14:paraId="4C443680" w14:textId="77777777" w:rsidR="004A0817" w:rsidRPr="00E43BF8" w:rsidRDefault="004A0817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/>
                <w:sz w:val="20"/>
                <w:szCs w:val="20"/>
              </w:rPr>
            </w:pPr>
          </w:p>
          <w:p w14:paraId="107959BA" w14:textId="407692A5" w:rsidR="004A0817" w:rsidRPr="00E43BF8" w:rsidRDefault="004A0817" w:rsidP="00E43BF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Ponadto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programu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lekowego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kwalifikowani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również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pacjenci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wymagający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kontynuacji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leczenia,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którzy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byli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leczeni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substancją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czynną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finansowaną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programie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lekowym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ramach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innego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sposobu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finansowania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terapii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(za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wyjątkiem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trwających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badań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klinicznych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</w:t>
            </w:r>
            <w:r w:rsidR="004D2694" w:rsidRPr="00E43BF8">
              <w:rPr>
                <w:bCs/>
                <w:sz w:val="20"/>
                <w:szCs w:val="20"/>
              </w:rPr>
              <w:t>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</w:t>
            </w:r>
            <w:r w:rsidR="004D2694" w:rsidRPr="00E43BF8">
              <w:rPr>
                <w:bCs/>
                <w:sz w:val="20"/>
                <w:szCs w:val="20"/>
              </w:rPr>
              <w:t>ów</w:t>
            </w:r>
            <w:r w:rsidRPr="00E43BF8">
              <w:rPr>
                <w:bCs/>
                <w:sz w:val="20"/>
                <w:szCs w:val="20"/>
              </w:rPr>
              <w:t>),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pod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warunkiem,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że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chwili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rozpoczęcia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leczenia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spełniali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kryteria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kwalifikacji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programu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lekowego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–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dotyczy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każdej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terapii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programie.</w:t>
            </w:r>
          </w:p>
          <w:p w14:paraId="067BB5A2" w14:textId="77777777" w:rsidR="004A0817" w:rsidRPr="00E43BF8" w:rsidRDefault="004A0817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i/>
                <w:iCs/>
                <w:color w:val="000000"/>
                <w:sz w:val="20"/>
                <w:szCs w:val="20"/>
              </w:rPr>
            </w:pPr>
          </w:p>
          <w:p w14:paraId="0D15DD08" w14:textId="02436F58" w:rsidR="002044A7" w:rsidRPr="00E43BF8" w:rsidRDefault="002044A7" w:rsidP="00E43BF8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sz w:val="20"/>
                <w:szCs w:val="20"/>
              </w:rPr>
            </w:pPr>
            <w:r w:rsidRPr="00E43BF8">
              <w:rPr>
                <w:b/>
                <w:sz w:val="20"/>
                <w:szCs w:val="20"/>
              </w:rPr>
              <w:t>Określenie</w:t>
            </w:r>
            <w:r w:rsidR="007D11EB">
              <w:rPr>
                <w:b/>
                <w:sz w:val="20"/>
                <w:szCs w:val="20"/>
              </w:rPr>
              <w:t xml:space="preserve"> </w:t>
            </w:r>
            <w:r w:rsidRPr="00E43BF8">
              <w:rPr>
                <w:b/>
                <w:sz w:val="20"/>
                <w:szCs w:val="20"/>
              </w:rPr>
              <w:t>czasu</w:t>
            </w:r>
            <w:r w:rsidR="007D11EB">
              <w:rPr>
                <w:b/>
                <w:sz w:val="20"/>
                <w:szCs w:val="20"/>
              </w:rPr>
              <w:t xml:space="preserve"> </w:t>
            </w:r>
            <w:r w:rsidRPr="00E43BF8">
              <w:rPr>
                <w:b/>
                <w:sz w:val="20"/>
                <w:szCs w:val="20"/>
              </w:rPr>
              <w:t>leczenia</w:t>
            </w:r>
            <w:r w:rsidR="007D11EB">
              <w:rPr>
                <w:b/>
                <w:sz w:val="20"/>
                <w:szCs w:val="20"/>
              </w:rPr>
              <w:t xml:space="preserve"> </w:t>
            </w:r>
            <w:r w:rsidRPr="00E43BF8">
              <w:rPr>
                <w:b/>
                <w:sz w:val="20"/>
                <w:szCs w:val="20"/>
              </w:rPr>
              <w:t>w</w:t>
            </w:r>
            <w:r w:rsidR="007D11EB">
              <w:rPr>
                <w:b/>
                <w:sz w:val="20"/>
                <w:szCs w:val="20"/>
              </w:rPr>
              <w:t xml:space="preserve"> </w:t>
            </w:r>
            <w:r w:rsidRPr="00E43BF8">
              <w:rPr>
                <w:b/>
                <w:sz w:val="20"/>
                <w:szCs w:val="20"/>
              </w:rPr>
              <w:t>programie</w:t>
            </w:r>
            <w:r w:rsidR="007D11EB">
              <w:rPr>
                <w:b/>
                <w:sz w:val="20"/>
                <w:szCs w:val="20"/>
              </w:rPr>
              <w:t xml:space="preserve"> </w:t>
            </w:r>
          </w:p>
          <w:p w14:paraId="7B1E061C" w14:textId="6F047F33" w:rsidR="00906A2B" w:rsidRPr="00E43BF8" w:rsidRDefault="002044A7" w:rsidP="00E43BF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Leczenie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trwa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czasu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podjęcia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przez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Zespół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Koordynacyjny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lekarza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prowadzącego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decyzji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wyłączeniu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świadczeniobiorcy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programu,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zgodnie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z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kryteriami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wyłączenia</w:t>
            </w:r>
            <w:r w:rsidR="00E30D66" w:rsidRPr="00E43BF8">
              <w:rPr>
                <w:bCs/>
                <w:sz w:val="20"/>
                <w:szCs w:val="20"/>
              </w:rPr>
              <w:t>.</w:t>
            </w:r>
          </w:p>
          <w:p w14:paraId="017D9889" w14:textId="77777777" w:rsidR="00D743F6" w:rsidRPr="00E43BF8" w:rsidRDefault="00D743F6" w:rsidP="00E43BF8">
            <w:pPr>
              <w:widowControl w:val="0"/>
              <w:autoSpaceDE w:val="0"/>
              <w:autoSpaceDN w:val="0"/>
              <w:adjustRightInd w:val="0"/>
              <w:spacing w:after="60" w:line="276" w:lineRule="auto"/>
              <w:jc w:val="both"/>
              <w:rPr>
                <w:bCs/>
                <w:sz w:val="20"/>
                <w:szCs w:val="20"/>
              </w:rPr>
            </w:pPr>
          </w:p>
          <w:p w14:paraId="73BAA6F6" w14:textId="4C927408" w:rsidR="00906A2B" w:rsidRPr="00E43BF8" w:rsidRDefault="00906A2B" w:rsidP="00E43BF8">
            <w:pPr>
              <w:pStyle w:val="Akapitzlist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Kryteria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wyłączenia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z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programu</w:t>
            </w:r>
          </w:p>
          <w:p w14:paraId="5747BEB0" w14:textId="1F42047F" w:rsidR="002F7E27" w:rsidRPr="00E43BF8" w:rsidRDefault="002F7E27" w:rsidP="00E43BF8">
            <w:pPr>
              <w:pStyle w:val="Akapitzlist"/>
              <w:widowControl w:val="0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brak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adekwatnej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odpowiedzi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na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leczenie,</w:t>
            </w:r>
            <w:r w:rsidR="007D11EB">
              <w:rPr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stwierdzonej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podczas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badania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monitorującego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skuteczność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terapii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po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AE4477" w:rsidRPr="00E43BF8">
              <w:rPr>
                <w:bCs/>
                <w:sz w:val="20"/>
                <w:szCs w:val="20"/>
              </w:rPr>
              <w:t>każdych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AE4477" w:rsidRPr="00E43BF8">
              <w:rPr>
                <w:bCs/>
                <w:sz w:val="20"/>
                <w:szCs w:val="20"/>
              </w:rPr>
              <w:t>kolejnych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12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miesiącach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="00DA106D" w:rsidRPr="00E43BF8">
              <w:rPr>
                <w:bCs/>
                <w:sz w:val="20"/>
                <w:szCs w:val="20"/>
              </w:rPr>
              <w:t>terapii,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rozumianej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jako</w:t>
            </w:r>
            <w:r w:rsidR="00DA106D" w:rsidRPr="00E43BF8">
              <w:rPr>
                <w:bCs/>
                <w:sz w:val="20"/>
                <w:szCs w:val="20"/>
              </w:rPr>
              <w:t>:</w:t>
            </w:r>
          </w:p>
          <w:p w14:paraId="65EBD208" w14:textId="27529FB0" w:rsidR="00DA106D" w:rsidRPr="00E43BF8" w:rsidRDefault="00DA106D" w:rsidP="00E43BF8">
            <w:pPr>
              <w:pStyle w:val="Akapitzlist"/>
              <w:widowControl w:val="0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przyrost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masy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ciała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&lt;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50%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porównaniu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do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wyjściowego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tempa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przyrostu</w:t>
            </w:r>
            <w:r w:rsidR="00E43BF8" w:rsidRPr="00E43BF8">
              <w:rPr>
                <w:bCs/>
                <w:sz w:val="20"/>
                <w:szCs w:val="20"/>
              </w:rPr>
              <w:t>,</w:t>
            </w:r>
          </w:p>
          <w:p w14:paraId="22E55B2B" w14:textId="55C26C5D" w:rsidR="00DA106D" w:rsidRPr="00E43BF8" w:rsidRDefault="00DA106D" w:rsidP="00E43BF8">
            <w:pPr>
              <w:pStyle w:val="Akapitzlist"/>
              <w:widowControl w:val="0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&lt;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3%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procentowy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wzrost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gęstości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mineralnej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kości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od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stanu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wyjściowego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co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najmniej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1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miejscu</w:t>
            </w:r>
            <w:r w:rsidR="00E43BF8" w:rsidRPr="00E43BF8">
              <w:rPr>
                <w:bCs/>
                <w:sz w:val="20"/>
                <w:szCs w:val="20"/>
              </w:rPr>
              <w:t>,</w:t>
            </w:r>
          </w:p>
          <w:p w14:paraId="2D5E76C6" w14:textId="00C3C5AA" w:rsidR="00DA106D" w:rsidRPr="00E43BF8" w:rsidRDefault="00DA106D" w:rsidP="00E43BF8">
            <w:pPr>
              <w:pStyle w:val="Akapitzlist"/>
              <w:widowControl w:val="0"/>
              <w:numPr>
                <w:ilvl w:val="5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Cs/>
                <w:sz w:val="20"/>
                <w:szCs w:val="20"/>
              </w:rPr>
            </w:pPr>
            <w:r w:rsidRPr="00E43BF8">
              <w:rPr>
                <w:bCs/>
                <w:sz w:val="20"/>
                <w:szCs w:val="20"/>
              </w:rPr>
              <w:t>pogorszenie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lub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brak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poprawy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wskaźników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stanu</w:t>
            </w:r>
            <w:r w:rsidR="007D11EB">
              <w:rPr>
                <w:bCs/>
                <w:sz w:val="20"/>
                <w:szCs w:val="20"/>
              </w:rPr>
              <w:t xml:space="preserve"> </w:t>
            </w:r>
            <w:r w:rsidRPr="00E43BF8">
              <w:rPr>
                <w:bCs/>
                <w:sz w:val="20"/>
                <w:szCs w:val="20"/>
              </w:rPr>
              <w:t>sercowo-naczyniowego</w:t>
            </w:r>
            <w:r w:rsidR="00AE4477" w:rsidRPr="00E43BF8">
              <w:rPr>
                <w:bCs/>
                <w:sz w:val="20"/>
                <w:szCs w:val="20"/>
              </w:rPr>
              <w:t>.</w:t>
            </w:r>
          </w:p>
          <w:p w14:paraId="2196E294" w14:textId="70108891" w:rsidR="00541CD0" w:rsidRPr="00E43BF8" w:rsidRDefault="0001098D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lastRenderedPageBreak/>
              <w:t>wystąpienie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chorób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stanów,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które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opinii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Zespołu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Koordynacyjnego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lekarza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prowadzącego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uniemożliwiają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dalsze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prowadzenie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541CD0" w:rsidRPr="00E43BF8">
              <w:rPr>
                <w:sz w:val="20"/>
                <w:szCs w:val="20"/>
              </w:rPr>
              <w:t>;</w:t>
            </w:r>
          </w:p>
          <w:p w14:paraId="347F14CB" w14:textId="3DB93A2A" w:rsidR="00541CD0" w:rsidRPr="00E43BF8" w:rsidRDefault="0001098D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wystąpienie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objawów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nadwrażliwości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którąkolwiek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substancję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czynną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substancję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pomocniczą</w:t>
            </w:r>
            <w:r w:rsidR="00541CD0" w:rsidRPr="00E43BF8">
              <w:rPr>
                <w:sz w:val="20"/>
                <w:szCs w:val="20"/>
              </w:rPr>
              <w:t>;</w:t>
            </w:r>
          </w:p>
          <w:p w14:paraId="0A4D7F19" w14:textId="72EEC241" w:rsidR="00541CD0" w:rsidRPr="00E43BF8" w:rsidRDefault="0001098D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wystąpienie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nieakceptowalnej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zagrażającej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życiu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toksyczności,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pomimo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zastosowania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adekwatnego</w:t>
            </w:r>
            <w:r w:rsidR="007D11EB">
              <w:rPr>
                <w:sz w:val="20"/>
                <w:szCs w:val="20"/>
              </w:rPr>
              <w:t xml:space="preserve"> </w:t>
            </w:r>
            <w:r w:rsidR="00C96D74" w:rsidRPr="00E43BF8">
              <w:rPr>
                <w:sz w:val="20"/>
                <w:szCs w:val="20"/>
              </w:rPr>
              <w:t>postępowania</w:t>
            </w:r>
            <w:r w:rsidR="00541CD0" w:rsidRPr="00E43BF8">
              <w:rPr>
                <w:sz w:val="20"/>
                <w:szCs w:val="20"/>
              </w:rPr>
              <w:t>;</w:t>
            </w:r>
          </w:p>
          <w:p w14:paraId="159AA24C" w14:textId="1AFF001A" w:rsidR="003D0C99" w:rsidRPr="00E43BF8" w:rsidRDefault="003D0C99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pogorszenie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jakości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życia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istotnym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znaczeniu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według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oceny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lekarza</w:t>
            </w:r>
            <w:r w:rsidR="00E30D66" w:rsidRPr="00E43BF8">
              <w:rPr>
                <w:sz w:val="20"/>
                <w:szCs w:val="20"/>
              </w:rPr>
              <w:t>;</w:t>
            </w:r>
          </w:p>
          <w:p w14:paraId="5C9BB66F" w14:textId="31817868" w:rsidR="003D0C99" w:rsidRPr="00E43BF8" w:rsidRDefault="003D0C99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okres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ciąży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karmienia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piersią;</w:t>
            </w:r>
          </w:p>
          <w:p w14:paraId="45EBAC76" w14:textId="05C7A806" w:rsidR="00A45E05" w:rsidRPr="00E43BF8" w:rsidRDefault="00541CD0" w:rsidP="00E43BF8">
            <w:pPr>
              <w:pStyle w:val="Akapitzlist"/>
              <w:numPr>
                <w:ilvl w:val="3"/>
                <w:numId w:val="19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brak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współpracy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nieprzestrzeganie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zaleceń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lekarskich,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tym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zwłaszcza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dotyczących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okresowych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badań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kontrolnych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oceniających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skuteczność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bezpieczeństwo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strony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świadczeniobiorcy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="004C4344" w:rsidRPr="00E43BF8">
              <w:rPr>
                <w:sz w:val="20"/>
                <w:szCs w:val="20"/>
              </w:rPr>
              <w:t>jego</w:t>
            </w:r>
            <w:r w:rsidR="007D11EB">
              <w:rPr>
                <w:sz w:val="20"/>
                <w:szCs w:val="20"/>
              </w:rPr>
              <w:t xml:space="preserve"> </w:t>
            </w:r>
            <w:r w:rsidR="004C4344" w:rsidRPr="00E43BF8">
              <w:rPr>
                <w:sz w:val="20"/>
                <w:szCs w:val="20"/>
              </w:rPr>
              <w:t>opiekuna</w:t>
            </w:r>
            <w:r w:rsidR="007D11EB">
              <w:rPr>
                <w:sz w:val="20"/>
                <w:szCs w:val="20"/>
              </w:rPr>
              <w:t xml:space="preserve"> </w:t>
            </w:r>
            <w:r w:rsidR="004C4344" w:rsidRPr="00E43BF8">
              <w:rPr>
                <w:sz w:val="20"/>
                <w:szCs w:val="20"/>
              </w:rPr>
              <w:t>prawnego.</w:t>
            </w:r>
          </w:p>
          <w:p w14:paraId="59B411EE" w14:textId="71B4F36E" w:rsidR="00E43BF8" w:rsidRPr="00E43BF8" w:rsidRDefault="00E43BF8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3D69" w14:textId="63EC577C" w:rsidR="00CE11C5" w:rsidRPr="00E43BF8" w:rsidRDefault="00C47AD0" w:rsidP="00E43BF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before="120" w:after="60" w:line="276" w:lineRule="auto"/>
              <w:ind w:right="23"/>
              <w:contextualSpacing w:val="0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lastRenderedPageBreak/>
              <w:t>Dawkowanie</w:t>
            </w:r>
          </w:p>
          <w:p w14:paraId="392CBA5D" w14:textId="3CF65770" w:rsidR="00E2602A" w:rsidRPr="00E43BF8" w:rsidRDefault="00E2602A" w:rsidP="00E43BF8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right="23"/>
              <w:contextualSpacing w:val="0"/>
              <w:jc w:val="both"/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  <w:t>Leczenie</w:t>
            </w:r>
            <w:r w:rsidR="007D11EB"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  <w:t>początkowe</w:t>
            </w:r>
          </w:p>
          <w:p w14:paraId="6808BBA7" w14:textId="2DE31DBE" w:rsidR="00EF0A8C" w:rsidRPr="00E43BF8" w:rsidRDefault="00DD0433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Zalecana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początkowa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  <w:t>lonafarnibu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to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115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mg/m</w:t>
            </w:r>
            <w:r w:rsidRPr="00E43BF8">
              <w:rPr>
                <w:rFonts w:eastAsia="SimSun"/>
                <w:kern w:val="1"/>
                <w:sz w:val="20"/>
                <w:szCs w:val="20"/>
                <w:vertAlign w:val="superscript"/>
                <w:lang w:eastAsia="ar-SA"/>
              </w:rPr>
              <w:t>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E2602A"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E2602A"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przyjmowana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E2602A"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doustnie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dwa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razy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dob</w:t>
            </w:r>
            <w:r w:rsidR="00E2602A"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ę.</w:t>
            </w:r>
          </w:p>
          <w:p w14:paraId="3F69B351" w14:textId="44EC1A50" w:rsidR="00E2602A" w:rsidRPr="00E43BF8" w:rsidRDefault="00E2602A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należy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przyjmować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odstępie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około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godzin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(rano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wieczorem).</w:t>
            </w:r>
          </w:p>
          <w:p w14:paraId="42858668" w14:textId="46BB07C1" w:rsidR="00E2602A" w:rsidRDefault="00E2602A" w:rsidP="00E43BF8">
            <w:pPr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Zalecana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początkowa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schemat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podawania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dla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wynoszącej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115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mg/m</w:t>
            </w:r>
            <w:r w:rsidRPr="00E43BF8">
              <w:rPr>
                <w:rFonts w:eastAsia="SimSun"/>
                <w:kern w:val="1"/>
                <w:sz w:val="20"/>
                <w:szCs w:val="20"/>
                <w:vertAlign w:val="superscript"/>
                <w:lang w:eastAsia="ar-SA"/>
              </w:rPr>
              <w:t>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(w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zależności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od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pola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pc.),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zgodnie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aktualną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Charakterystyką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Produktu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Leczniczego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(ChPL).</w:t>
            </w:r>
          </w:p>
          <w:p w14:paraId="5027FAB4" w14:textId="77777777" w:rsidR="00E43BF8" w:rsidRPr="00E43BF8" w:rsidRDefault="00E43BF8" w:rsidP="00E43BF8">
            <w:pPr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</w:p>
          <w:p w14:paraId="4D2B1BC0" w14:textId="3903C678" w:rsidR="00E2602A" w:rsidRPr="00E43BF8" w:rsidRDefault="00E2602A" w:rsidP="00E43BF8">
            <w:pPr>
              <w:pStyle w:val="Akapitzlist"/>
              <w:numPr>
                <w:ilvl w:val="1"/>
                <w:numId w:val="20"/>
              </w:numPr>
              <w:spacing w:after="60" w:line="276" w:lineRule="auto"/>
              <w:ind w:right="23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Leczenie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podtrzymujące</w:t>
            </w:r>
          </w:p>
          <w:p w14:paraId="5C8A18A9" w14:textId="5B912932" w:rsidR="00E2602A" w:rsidRPr="00E43BF8" w:rsidRDefault="00E2602A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4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miesiącach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leczenia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zastosowaniem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początkowej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wynoszącej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115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mg/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</w:t>
            </w:r>
            <w:r w:rsidRPr="00E43BF8">
              <w:rPr>
                <w:rFonts w:eastAsia="SimSun"/>
                <w:kern w:val="1"/>
                <w:sz w:val="20"/>
                <w:szCs w:val="20"/>
                <w:vertAlign w:val="superscript"/>
                <w:lang w:eastAsia="ar-SA"/>
              </w:rPr>
              <w:t>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dwa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razy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dobę,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dawkę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="000D6737" w:rsidRPr="00E43BF8">
              <w:rPr>
                <w:rFonts w:eastAsia="SimSun"/>
                <w:b/>
                <w:bCs/>
                <w:kern w:val="1"/>
                <w:sz w:val="20"/>
                <w:szCs w:val="20"/>
                <w:lang w:eastAsia="ar-SA"/>
              </w:rPr>
              <w:t>lonafarnibu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należy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zwiększyć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podtrzymującej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wynoszącej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150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mg/m</w:t>
            </w:r>
            <w:r w:rsidRPr="00E43BF8">
              <w:rPr>
                <w:rFonts w:eastAsia="SimSun"/>
                <w:kern w:val="1"/>
                <w:sz w:val="20"/>
                <w:szCs w:val="20"/>
                <w:vertAlign w:val="superscript"/>
                <w:lang w:eastAsia="ar-SA"/>
              </w:rPr>
              <w:t>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dwa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razy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dobę.</w:t>
            </w:r>
          </w:p>
          <w:p w14:paraId="2EFD4BF3" w14:textId="696B66FE" w:rsidR="00E2602A" w:rsidRPr="00E43BF8" w:rsidRDefault="00E2602A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należy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przyjmować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odstępie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około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godzin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(rano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wieczorem).</w:t>
            </w:r>
          </w:p>
          <w:p w14:paraId="211569F5" w14:textId="0FA7F118" w:rsidR="00E2602A" w:rsidRPr="00E43BF8" w:rsidRDefault="00E2602A" w:rsidP="00E43BF8">
            <w:pPr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lastRenderedPageBreak/>
              <w:t>Zalecana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podtrzymująca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schemat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podawania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dla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wynoszącej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150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mg/m</w:t>
            </w:r>
            <w:r w:rsidRPr="00E43BF8">
              <w:rPr>
                <w:rFonts w:eastAsia="SimSun"/>
                <w:kern w:val="1"/>
                <w:sz w:val="20"/>
                <w:szCs w:val="20"/>
                <w:vertAlign w:val="superscript"/>
                <w:lang w:eastAsia="ar-SA"/>
              </w:rPr>
              <w:t>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(w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zależności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od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pola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pc.),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zgodnie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z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aktualną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ChPL.</w:t>
            </w:r>
          </w:p>
          <w:p w14:paraId="70257885" w14:textId="0BBC53B0" w:rsidR="00FE1334" w:rsidRPr="00E43BF8" w:rsidRDefault="00E2602A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Dawki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należy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przyjmować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odstępie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około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12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godzin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(rano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i</w:t>
            </w:r>
            <w:r w:rsidR="007D11EB">
              <w:rPr>
                <w:rFonts w:eastAsia="SimSun"/>
                <w:kern w:val="1"/>
                <w:sz w:val="20"/>
                <w:szCs w:val="20"/>
                <w:lang w:eastAsia="ar-SA"/>
              </w:rPr>
              <w:t xml:space="preserve"> </w:t>
            </w:r>
            <w:r w:rsidRPr="00E43BF8">
              <w:rPr>
                <w:rFonts w:eastAsia="SimSun"/>
                <w:kern w:val="1"/>
                <w:sz w:val="20"/>
                <w:szCs w:val="20"/>
                <w:lang w:eastAsia="ar-SA"/>
              </w:rPr>
              <w:t>wieczorem).</w:t>
            </w:r>
          </w:p>
          <w:p w14:paraId="51D68846" w14:textId="77777777" w:rsidR="00FE1334" w:rsidRPr="00E43BF8" w:rsidRDefault="00FE1334" w:rsidP="00E43BF8">
            <w:pPr>
              <w:spacing w:after="60" w:line="276" w:lineRule="auto"/>
              <w:ind w:right="23"/>
              <w:jc w:val="both"/>
              <w:rPr>
                <w:rFonts w:eastAsia="SimSun"/>
                <w:kern w:val="1"/>
                <w:sz w:val="20"/>
                <w:szCs w:val="20"/>
                <w:lang w:eastAsia="ar-SA"/>
              </w:rPr>
            </w:pPr>
          </w:p>
          <w:p w14:paraId="2E612804" w14:textId="75979FE5" w:rsidR="00414AC2" w:rsidRPr="00E43BF8" w:rsidRDefault="00E81011" w:rsidP="00E43BF8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76" w:lineRule="auto"/>
              <w:ind w:right="23"/>
              <w:contextualSpacing w:val="0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Modyfikacja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dawkowania</w:t>
            </w:r>
          </w:p>
          <w:p w14:paraId="578C040A" w14:textId="6298A377" w:rsidR="00C47AD0" w:rsidRPr="00E43BF8" w:rsidRDefault="002F77FD" w:rsidP="00E43BF8">
            <w:pPr>
              <w:spacing w:after="60" w:line="276" w:lineRule="auto"/>
              <w:ind w:right="23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Szczegóły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dotyczące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sposobu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podawania,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ewentualnego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czasowego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wstrzymania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oraz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ewentualnego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zmniejszania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dawki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zgodnie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aktualną</w:t>
            </w:r>
            <w:r w:rsidR="007D11EB">
              <w:rPr>
                <w:sz w:val="20"/>
                <w:szCs w:val="20"/>
              </w:rPr>
              <w:t xml:space="preserve"> </w:t>
            </w:r>
            <w:r w:rsidR="00E2602A" w:rsidRPr="00E43BF8">
              <w:rPr>
                <w:sz w:val="20"/>
                <w:szCs w:val="20"/>
              </w:rPr>
              <w:t>ChPL.</w:t>
            </w:r>
          </w:p>
        </w:tc>
        <w:tc>
          <w:tcPr>
            <w:tcW w:w="1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BAA4" w14:textId="7B206029" w:rsidR="00F418C4" w:rsidRPr="00E43BF8" w:rsidRDefault="00693A9C" w:rsidP="00E43B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before="120"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lastRenderedPageBreak/>
              <w:t>Badania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przy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kwalifikacji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63E81F27" w14:textId="789B26C2" w:rsidR="000944E5" w:rsidRPr="00E43BF8" w:rsidRDefault="000944E5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</w:t>
            </w:r>
            <w:r w:rsidR="00F737F0" w:rsidRPr="00E43BF8">
              <w:rPr>
                <w:sz w:val="20"/>
                <w:szCs w:val="20"/>
              </w:rPr>
              <w:t>adani</w:t>
            </w:r>
            <w:r w:rsidRPr="00E43BF8">
              <w:rPr>
                <w:sz w:val="20"/>
                <w:szCs w:val="20"/>
              </w:rPr>
              <w:t>e</w:t>
            </w:r>
            <w:r w:rsidR="007D11EB">
              <w:rPr>
                <w:sz w:val="20"/>
                <w:szCs w:val="20"/>
              </w:rPr>
              <w:t xml:space="preserve"> </w:t>
            </w:r>
            <w:r w:rsidR="00C13027" w:rsidRPr="00E43BF8">
              <w:rPr>
                <w:sz w:val="20"/>
                <w:szCs w:val="20"/>
              </w:rPr>
              <w:t>potwierdzające</w:t>
            </w:r>
            <w:r w:rsidRPr="00E43BF8">
              <w:rPr>
                <w:sz w:val="20"/>
                <w:szCs w:val="20"/>
              </w:rPr>
              <w:t>:</w:t>
            </w:r>
          </w:p>
          <w:p w14:paraId="43C49B83" w14:textId="1F154BA0" w:rsidR="000944E5" w:rsidRPr="00E43BF8" w:rsidRDefault="001F2D3D" w:rsidP="00E43BF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z</w:t>
            </w:r>
            <w:r w:rsidR="000944E5" w:rsidRPr="00E43BF8">
              <w:rPr>
                <w:sz w:val="20"/>
                <w:szCs w:val="20"/>
              </w:rPr>
              <w:t>espół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</w:t>
            </w:r>
            <w:r w:rsidR="000944E5" w:rsidRPr="00E43BF8">
              <w:rPr>
                <w:sz w:val="20"/>
                <w:szCs w:val="20"/>
              </w:rPr>
              <w:t>rogerii</w:t>
            </w:r>
            <w:r w:rsidR="007D11EB">
              <w:rPr>
                <w:sz w:val="20"/>
                <w:szCs w:val="20"/>
              </w:rPr>
              <w:t xml:space="preserve"> </w:t>
            </w:r>
            <w:r w:rsidR="000944E5" w:rsidRPr="00E43BF8">
              <w:rPr>
                <w:sz w:val="20"/>
                <w:szCs w:val="20"/>
              </w:rPr>
              <w:t>Hutchinsona-Gilforda,</w:t>
            </w:r>
            <w:r w:rsidR="007D11EB">
              <w:rPr>
                <w:sz w:val="20"/>
                <w:szCs w:val="20"/>
              </w:rPr>
              <w:t xml:space="preserve"> </w:t>
            </w:r>
          </w:p>
          <w:p w14:paraId="7DBDA792" w14:textId="77777777" w:rsidR="000944E5" w:rsidRPr="00E43BF8" w:rsidRDefault="000944E5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albo</w:t>
            </w:r>
          </w:p>
          <w:p w14:paraId="04414C9D" w14:textId="14A6B9AB" w:rsidR="000944E5" w:rsidRPr="00E43BF8" w:rsidRDefault="000944E5" w:rsidP="00E43BF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progeroidową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laminopatię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wadliwą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obróbką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prelamin;</w:t>
            </w:r>
          </w:p>
          <w:p w14:paraId="18D5403F" w14:textId="7B5CB6B7" w:rsidR="000944E5" w:rsidRPr="00E43BF8" w:rsidRDefault="000944E5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potwierdzające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obecność:</w:t>
            </w:r>
          </w:p>
          <w:p w14:paraId="53CD4941" w14:textId="1F68C403" w:rsidR="00E43BF8" w:rsidRPr="00E43BF8" w:rsidRDefault="000944E5" w:rsidP="00E43BF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heterozygotycznej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LMNA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gromadzeniem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białka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podobnego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progeryny</w:t>
            </w:r>
          </w:p>
          <w:p w14:paraId="0B9DA09F" w14:textId="093F131F" w:rsidR="000944E5" w:rsidRPr="00E43BF8" w:rsidRDefault="000944E5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lub</w:t>
            </w:r>
          </w:p>
          <w:p w14:paraId="675FF418" w14:textId="76D2F48C" w:rsidR="00E43BF8" w:rsidRPr="00E43BF8" w:rsidRDefault="000944E5" w:rsidP="00E43BF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homozygotycznej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ZMPSTE24</w:t>
            </w:r>
          </w:p>
          <w:p w14:paraId="0F0E9F23" w14:textId="77753ADC" w:rsidR="000944E5" w:rsidRPr="00E43BF8" w:rsidRDefault="000944E5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lub</w:t>
            </w:r>
          </w:p>
          <w:p w14:paraId="40DA1D86" w14:textId="258F1D19" w:rsidR="000944E5" w:rsidRPr="00E43BF8" w:rsidRDefault="000944E5" w:rsidP="00E43BF8">
            <w:pPr>
              <w:pStyle w:val="Akapitzlist"/>
              <w:numPr>
                <w:ilvl w:val="4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złożonej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heterozygotycznej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ZMPSTE24;</w:t>
            </w:r>
          </w:p>
          <w:p w14:paraId="05AF9BCC" w14:textId="4B102599" w:rsidR="00284EF3" w:rsidRPr="00E43BF8" w:rsidRDefault="000944E5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potwierdzające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obecność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G608G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laminatu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A;</w:t>
            </w:r>
          </w:p>
          <w:p w14:paraId="4798F540" w14:textId="155BE9A0" w:rsidR="00841286" w:rsidRPr="00E43BF8" w:rsidRDefault="00841286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="00E23955" w:rsidRPr="00E43BF8">
              <w:rPr>
                <w:sz w:val="20"/>
                <w:szCs w:val="20"/>
              </w:rPr>
              <w:t>m</w:t>
            </w:r>
            <w:r w:rsidRPr="00E43BF8">
              <w:rPr>
                <w:sz w:val="20"/>
                <w:szCs w:val="20"/>
              </w:rPr>
              <w:t>utacji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genu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APC;</w:t>
            </w:r>
          </w:p>
          <w:p w14:paraId="12C59905" w14:textId="5FFD737F" w:rsidR="00841286" w:rsidRPr="00E43BF8" w:rsidRDefault="00841286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morfologia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krwi;</w:t>
            </w:r>
          </w:p>
          <w:p w14:paraId="32AB0DDE" w14:textId="7FF67CA0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APTT/czasu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protrombinowego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(PT);</w:t>
            </w:r>
          </w:p>
          <w:p w14:paraId="3781D220" w14:textId="3E4338A2" w:rsidR="005B6D0B" w:rsidRPr="00E43BF8" w:rsidRDefault="005B6D0B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aktywności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aminotransferazy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alaninowej;</w:t>
            </w:r>
          </w:p>
          <w:p w14:paraId="0A66F576" w14:textId="32D366B9" w:rsidR="005B6D0B" w:rsidRPr="00E43BF8" w:rsidRDefault="005B6D0B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aktywności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aminotransferazy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asparaginianowej;</w:t>
            </w:r>
          </w:p>
          <w:p w14:paraId="2294F233" w14:textId="3357B084" w:rsidR="00841286" w:rsidRPr="00E43BF8" w:rsidRDefault="00841286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lastRenderedPageBreak/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bilirubiny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całkowitej;</w:t>
            </w:r>
          </w:p>
          <w:p w14:paraId="5CBC1ADA" w14:textId="67C1B4A3" w:rsidR="00F66245" w:rsidRPr="00E43BF8" w:rsidRDefault="002D6D4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="00FF6024" w:rsidRPr="00E43BF8">
              <w:rPr>
                <w:sz w:val="20"/>
                <w:szCs w:val="20"/>
              </w:rPr>
              <w:t>wskaźnik</w:t>
            </w:r>
            <w:r w:rsidRPr="00E43BF8">
              <w:rPr>
                <w:sz w:val="20"/>
                <w:szCs w:val="20"/>
              </w:rPr>
              <w:t>a</w:t>
            </w:r>
            <w:r w:rsidR="007D11EB">
              <w:rPr>
                <w:sz w:val="20"/>
                <w:szCs w:val="20"/>
              </w:rPr>
              <w:t xml:space="preserve"> </w:t>
            </w:r>
            <w:r w:rsidR="00FF6024" w:rsidRPr="00E43BF8">
              <w:rPr>
                <w:sz w:val="20"/>
                <w:szCs w:val="20"/>
              </w:rPr>
              <w:t>GFR,</w:t>
            </w:r>
          </w:p>
          <w:p w14:paraId="2EADB95A" w14:textId="5577B524" w:rsidR="003C156D" w:rsidRPr="00E43BF8" w:rsidRDefault="005B6D0B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kreatyniny</w:t>
            </w:r>
            <w:r w:rsidR="007D11EB">
              <w:rPr>
                <w:sz w:val="20"/>
                <w:szCs w:val="20"/>
              </w:rPr>
              <w:t xml:space="preserve"> </w:t>
            </w:r>
            <w:r w:rsidR="003C156D" w:rsidRPr="00E43BF8">
              <w:rPr>
                <w:sz w:val="20"/>
                <w:szCs w:val="20"/>
              </w:rPr>
              <w:t>we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</w:t>
            </w:r>
            <w:r w:rsidR="003C156D" w:rsidRPr="00E43BF8">
              <w:rPr>
                <w:sz w:val="20"/>
                <w:szCs w:val="20"/>
              </w:rPr>
              <w:t>;</w:t>
            </w:r>
          </w:p>
          <w:p w14:paraId="7032F125" w14:textId="01BC0EE6" w:rsidR="005B6D0B" w:rsidRPr="00E43BF8" w:rsidRDefault="003C156D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kwasu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moczowego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</w:t>
            </w:r>
            <w:r w:rsidR="005B6D0B" w:rsidRPr="00E43BF8">
              <w:rPr>
                <w:sz w:val="20"/>
                <w:szCs w:val="20"/>
              </w:rPr>
              <w:t>;</w:t>
            </w:r>
          </w:p>
          <w:p w14:paraId="7335F29A" w14:textId="1BD2660C" w:rsidR="00892F05" w:rsidRPr="00E43BF8" w:rsidRDefault="00892F05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test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ciążowy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kobiet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wieku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rozrodczym)</w:t>
            </w:r>
            <w:r w:rsidR="00EF33FF" w:rsidRPr="00E43BF8">
              <w:rPr>
                <w:sz w:val="20"/>
                <w:szCs w:val="20"/>
              </w:rPr>
              <w:t>.</w:t>
            </w:r>
          </w:p>
          <w:p w14:paraId="0076DB67" w14:textId="77777777" w:rsidR="001E481F" w:rsidRPr="00E43BF8" w:rsidRDefault="001E481F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0F6DDC04" w14:textId="407701C7" w:rsidR="00647AA3" w:rsidRPr="00E43BF8" w:rsidRDefault="00693A9C" w:rsidP="00E43B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Monitorowanie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D31E61" w:rsidRPr="00E43BF8">
              <w:rPr>
                <w:b/>
                <w:bCs/>
                <w:sz w:val="20"/>
                <w:szCs w:val="20"/>
              </w:rPr>
              <w:t>bezpieczeństwa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leczenia</w:t>
            </w:r>
          </w:p>
          <w:p w14:paraId="426BD5FF" w14:textId="03FFD4CA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morfologia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krwi;</w:t>
            </w:r>
          </w:p>
          <w:p w14:paraId="197DD303" w14:textId="7162ED63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APTT/czasu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protrombinowego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(PT);</w:t>
            </w:r>
          </w:p>
          <w:p w14:paraId="3DFD5EBE" w14:textId="02802E34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aktywności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aminotransferazy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alaninowej;</w:t>
            </w:r>
          </w:p>
          <w:p w14:paraId="3C288753" w14:textId="70AE2BF4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aktywności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aminotransferazy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asparaginianowej;</w:t>
            </w:r>
          </w:p>
          <w:p w14:paraId="79DC4EFE" w14:textId="34EEC829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bilirubiny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całkowitej;</w:t>
            </w:r>
          </w:p>
          <w:p w14:paraId="13CF704B" w14:textId="45237653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wskaźnika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GFR</w:t>
            </w:r>
            <w:r w:rsidR="00E43BF8" w:rsidRPr="00E43BF8">
              <w:rPr>
                <w:sz w:val="20"/>
                <w:szCs w:val="20"/>
              </w:rPr>
              <w:t>;</w:t>
            </w:r>
          </w:p>
          <w:p w14:paraId="1813B734" w14:textId="2ABD8E73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kreatyniny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krwi;</w:t>
            </w:r>
          </w:p>
          <w:p w14:paraId="47680415" w14:textId="379EBBAD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kwasu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moczowego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krwi;</w:t>
            </w:r>
          </w:p>
          <w:p w14:paraId="14181CBD" w14:textId="1BA9E318" w:rsidR="00EF33FF" w:rsidRPr="00E43BF8" w:rsidRDefault="00EF33F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kontrola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okulistyczna;</w:t>
            </w:r>
          </w:p>
          <w:p w14:paraId="43AD82E7" w14:textId="3494D37D" w:rsidR="001E481F" w:rsidRPr="00E43BF8" w:rsidRDefault="001E481F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elektrokardiografia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(EKG)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–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przypadku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jednoczesnego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stosowania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umiarkowanie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silnego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słabego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inhibitora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CYP3A</w:t>
            </w:r>
            <w:r w:rsidR="00E43BF8" w:rsidRPr="00E43BF8">
              <w:rPr>
                <w:sz w:val="20"/>
                <w:szCs w:val="20"/>
              </w:rPr>
              <w:t>;</w:t>
            </w:r>
          </w:p>
          <w:p w14:paraId="408DB76E" w14:textId="78826350" w:rsidR="005A4877" w:rsidRPr="00E43BF8" w:rsidRDefault="005A4877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ścisłe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monitorowanie</w:t>
            </w:r>
            <w:r w:rsidR="007D11EB">
              <w:rPr>
                <w:sz w:val="20"/>
                <w:szCs w:val="20"/>
              </w:rPr>
              <w:t xml:space="preserve"> </w:t>
            </w:r>
            <w:r w:rsidR="00EF33FF" w:rsidRPr="00E43BF8">
              <w:rPr>
                <w:sz w:val="20"/>
                <w:szCs w:val="20"/>
              </w:rPr>
              <w:t>ewentualnego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nasileni</w:t>
            </w:r>
            <w:r w:rsidR="00EF33FF" w:rsidRPr="00E43BF8">
              <w:rPr>
                <w:sz w:val="20"/>
                <w:szCs w:val="20"/>
              </w:rPr>
              <w:t>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działań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niepożądanych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strony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przewodu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pokarmowego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zgodnie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aktualną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Charakterystyką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Produktu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Leczniczego</w:t>
            </w:r>
            <w:r w:rsidR="00E43BF8" w:rsidRPr="00E43BF8">
              <w:rPr>
                <w:sz w:val="20"/>
                <w:szCs w:val="20"/>
              </w:rPr>
              <w:t>.</w:t>
            </w:r>
          </w:p>
          <w:p w14:paraId="1496F3F7" w14:textId="543731B2" w:rsidR="001E481F" w:rsidRPr="00E43BF8" w:rsidRDefault="00EF33FF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</w:t>
            </w:r>
            <w:r w:rsidR="0038412D" w:rsidRPr="00E43BF8">
              <w:rPr>
                <w:sz w:val="20"/>
                <w:szCs w:val="20"/>
              </w:rPr>
              <w:t>adania</w:t>
            </w:r>
            <w:r w:rsidR="007D11EB">
              <w:rPr>
                <w:sz w:val="20"/>
                <w:szCs w:val="20"/>
              </w:rPr>
              <w:t xml:space="preserve"> </w:t>
            </w:r>
            <w:r w:rsidR="0038412D" w:rsidRPr="00E43BF8">
              <w:rPr>
                <w:sz w:val="20"/>
                <w:szCs w:val="20"/>
              </w:rPr>
              <w:t>wskazane</w:t>
            </w:r>
            <w:r w:rsidR="007D11EB">
              <w:rPr>
                <w:sz w:val="20"/>
                <w:szCs w:val="20"/>
              </w:rPr>
              <w:t xml:space="preserve"> </w:t>
            </w:r>
            <w:r w:rsidR="0038412D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38412D" w:rsidRPr="00E43BF8">
              <w:rPr>
                <w:sz w:val="20"/>
                <w:szCs w:val="20"/>
              </w:rPr>
              <w:t>pkt</w:t>
            </w:r>
            <w:r w:rsidR="007D11EB">
              <w:rPr>
                <w:sz w:val="20"/>
                <w:szCs w:val="20"/>
              </w:rPr>
              <w:t xml:space="preserve"> </w:t>
            </w:r>
            <w:r w:rsidR="00E23955" w:rsidRPr="00E43BF8">
              <w:rPr>
                <w:sz w:val="20"/>
                <w:szCs w:val="20"/>
              </w:rPr>
              <w:t>1</w:t>
            </w:r>
            <w:r w:rsidRPr="00E43BF8">
              <w:rPr>
                <w:sz w:val="20"/>
                <w:szCs w:val="20"/>
              </w:rPr>
              <w:t>-</w:t>
            </w:r>
            <w:r w:rsidR="00642BBD" w:rsidRPr="00E43BF8">
              <w:rPr>
                <w:sz w:val="20"/>
                <w:szCs w:val="20"/>
              </w:rPr>
              <w:t>10</w:t>
            </w:r>
            <w:r w:rsidR="007D11EB">
              <w:rPr>
                <w:sz w:val="20"/>
                <w:szCs w:val="20"/>
              </w:rPr>
              <w:t xml:space="preserve"> </w:t>
            </w:r>
            <w:r w:rsidR="0038412D" w:rsidRPr="00E43BF8">
              <w:rPr>
                <w:sz w:val="20"/>
                <w:szCs w:val="20"/>
              </w:rPr>
              <w:t>wykonuje</w:t>
            </w:r>
            <w:r w:rsidR="007D11EB">
              <w:rPr>
                <w:sz w:val="20"/>
                <w:szCs w:val="20"/>
              </w:rPr>
              <w:t xml:space="preserve"> </w:t>
            </w:r>
            <w:r w:rsidR="0038412D"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raz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roku.</w:t>
            </w:r>
          </w:p>
          <w:p w14:paraId="0E705335" w14:textId="77777777" w:rsidR="00642BBD" w:rsidRPr="00E43BF8" w:rsidRDefault="00642BBD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E8AC3F1" w14:textId="10D4EA02" w:rsidR="00D31E61" w:rsidRPr="00E43BF8" w:rsidRDefault="00D31E61" w:rsidP="00E43B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Monitorowanie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CD40F0" w:rsidRPr="00E43BF8">
              <w:rPr>
                <w:b/>
                <w:bCs/>
                <w:sz w:val="20"/>
                <w:szCs w:val="20"/>
              </w:rPr>
              <w:t>skuteczności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BE6398" w:rsidRPr="00E43BF8">
              <w:rPr>
                <w:b/>
                <w:bCs/>
                <w:sz w:val="20"/>
                <w:szCs w:val="20"/>
              </w:rPr>
              <w:t>leczenia</w:t>
            </w:r>
          </w:p>
          <w:p w14:paraId="08829B5C" w14:textId="3D27F7C8" w:rsidR="00D31E61" w:rsidRPr="00E43BF8" w:rsidRDefault="00C5169E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przyrostu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masy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ciała;</w:t>
            </w:r>
          </w:p>
          <w:p w14:paraId="3CAAAA22" w14:textId="3B4B6744" w:rsidR="00C5169E" w:rsidRPr="00E43BF8" w:rsidRDefault="00C5169E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EKG;</w:t>
            </w:r>
          </w:p>
          <w:p w14:paraId="7A03FEB0" w14:textId="227FE90C" w:rsidR="00010E54" w:rsidRPr="00E43BF8" w:rsidRDefault="00010E54" w:rsidP="00E43BF8">
            <w:pPr>
              <w:pStyle w:val="Akapitzlist"/>
              <w:numPr>
                <w:ilvl w:val="3"/>
                <w:numId w:val="21"/>
              </w:numPr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gęstości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mineralnej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kości;</w:t>
            </w:r>
          </w:p>
          <w:p w14:paraId="3E9B5A0E" w14:textId="7252D3B5" w:rsidR="00010E54" w:rsidRPr="00E43BF8" w:rsidRDefault="00010E54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lastRenderedPageBreak/>
              <w:t>oznaczenie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stężeni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wapnia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surowicy.</w:t>
            </w:r>
          </w:p>
          <w:p w14:paraId="2486FB63" w14:textId="571079AB" w:rsidR="004B76AF" w:rsidRPr="00E43BF8" w:rsidRDefault="004B76AF" w:rsidP="00E43BF8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Badania</w:t>
            </w:r>
            <w:r w:rsidR="007D11EB">
              <w:rPr>
                <w:sz w:val="20"/>
                <w:szCs w:val="20"/>
              </w:rPr>
              <w:t xml:space="preserve"> </w:t>
            </w:r>
            <w:r w:rsidR="00010E54" w:rsidRPr="00E43BF8">
              <w:rPr>
                <w:sz w:val="20"/>
                <w:szCs w:val="20"/>
              </w:rPr>
              <w:t>1</w:t>
            </w:r>
            <w:r w:rsidR="007D11EB">
              <w:rPr>
                <w:sz w:val="20"/>
                <w:szCs w:val="20"/>
              </w:rPr>
              <w:t xml:space="preserve"> </w:t>
            </w:r>
            <w:r w:rsidR="00010E54" w:rsidRPr="00E43BF8">
              <w:rPr>
                <w:sz w:val="20"/>
                <w:szCs w:val="20"/>
              </w:rPr>
              <w:t>–</w:t>
            </w:r>
            <w:r w:rsidR="007D11EB">
              <w:rPr>
                <w:sz w:val="20"/>
                <w:szCs w:val="20"/>
              </w:rPr>
              <w:t xml:space="preserve"> </w:t>
            </w:r>
            <w:r w:rsidR="00010E54" w:rsidRPr="00E43BF8">
              <w:rPr>
                <w:sz w:val="20"/>
                <w:szCs w:val="20"/>
              </w:rPr>
              <w:t>3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wykonuje</w:t>
            </w:r>
            <w:r w:rsidR="007D11EB">
              <w:rPr>
                <w:sz w:val="20"/>
                <w:szCs w:val="20"/>
              </w:rPr>
              <w:t xml:space="preserve"> </w:t>
            </w:r>
            <w:r w:rsidR="00642BBD"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="00642BBD" w:rsidRPr="00E43BF8">
              <w:rPr>
                <w:sz w:val="20"/>
                <w:szCs w:val="20"/>
              </w:rPr>
              <w:t>raz</w:t>
            </w:r>
            <w:r w:rsidR="007D11EB">
              <w:rPr>
                <w:sz w:val="20"/>
                <w:szCs w:val="20"/>
              </w:rPr>
              <w:t xml:space="preserve"> </w:t>
            </w:r>
            <w:r w:rsidR="00642BBD"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="00642BBD" w:rsidRPr="00E43BF8">
              <w:rPr>
                <w:sz w:val="20"/>
                <w:szCs w:val="20"/>
              </w:rPr>
              <w:t>roku</w:t>
            </w:r>
            <w:r w:rsidR="00C77B03" w:rsidRPr="00E43BF8">
              <w:rPr>
                <w:sz w:val="20"/>
                <w:szCs w:val="20"/>
              </w:rPr>
              <w:t>.</w:t>
            </w:r>
          </w:p>
          <w:p w14:paraId="74E50BFD" w14:textId="390E1684" w:rsidR="00010E54" w:rsidRPr="00E43BF8" w:rsidRDefault="00010E54" w:rsidP="00E43BF8">
            <w:pPr>
              <w:autoSpaceDE w:val="0"/>
              <w:autoSpaceDN w:val="0"/>
              <w:adjustRightInd w:val="0"/>
              <w:spacing w:after="60" w:line="276" w:lineRule="auto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Badanie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4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wykonuje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bezpośrednio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infuzji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1–2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dni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infuzji.</w:t>
            </w:r>
          </w:p>
          <w:p w14:paraId="72AB6FEE" w14:textId="3F5549FC" w:rsidR="00D31E61" w:rsidRPr="00E43BF8" w:rsidRDefault="00D31E61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podstawie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ww.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badań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celu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monitorowania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skuteczności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Zespół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Koordynacyjny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określa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dla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indywidualnego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pacjenta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wskaźniki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odpowiedzi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leczenie</w:t>
            </w:r>
            <w:r w:rsidR="000D26C2" w:rsidRPr="00E43BF8">
              <w:rPr>
                <w:sz w:val="20"/>
                <w:szCs w:val="20"/>
              </w:rPr>
              <w:t>.</w:t>
            </w:r>
          </w:p>
          <w:p w14:paraId="79DC2FE7" w14:textId="77777777" w:rsidR="00E43BF8" w:rsidRPr="00E43BF8" w:rsidRDefault="00E43BF8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0971A692" w14:textId="0450C46A" w:rsidR="00D31E61" w:rsidRPr="00E43BF8" w:rsidRDefault="00D31E61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O</w:t>
            </w:r>
            <w:r w:rsidR="00CD40F0" w:rsidRPr="00E43BF8">
              <w:rPr>
                <w:b/>
                <w:bCs/>
                <w:sz w:val="20"/>
                <w:szCs w:val="20"/>
              </w:rPr>
              <w:t>czekiwane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CD40F0" w:rsidRPr="00E43BF8">
              <w:rPr>
                <w:b/>
                <w:bCs/>
                <w:sz w:val="20"/>
                <w:szCs w:val="20"/>
              </w:rPr>
              <w:t>korzyści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="00CD40F0" w:rsidRPr="00E43BF8">
              <w:rPr>
                <w:b/>
                <w:bCs/>
                <w:sz w:val="20"/>
                <w:szCs w:val="20"/>
              </w:rPr>
              <w:t>zdrowotne</w:t>
            </w:r>
            <w:r w:rsidRPr="00E43BF8">
              <w:rPr>
                <w:b/>
                <w:bCs/>
                <w:sz w:val="20"/>
                <w:szCs w:val="20"/>
              </w:rPr>
              <w:t>: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BBC5248" w14:textId="400135EA" w:rsidR="00B43E24" w:rsidRPr="00E43BF8" w:rsidRDefault="00B43E24" w:rsidP="00E43BF8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poprawa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przyrostu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masy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ciała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&gt;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50%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porównaniu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wyjściowego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tempa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przyrostu</w:t>
            </w:r>
            <w:r w:rsidR="00642BBD" w:rsidRPr="00E43BF8">
              <w:rPr>
                <w:sz w:val="20"/>
                <w:szCs w:val="20"/>
              </w:rPr>
              <w:t>;</w:t>
            </w:r>
          </w:p>
          <w:p w14:paraId="42AD5545" w14:textId="0FCD278B" w:rsidR="00B43E24" w:rsidRPr="00E43BF8" w:rsidRDefault="00B43E24" w:rsidP="00E43BF8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≥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3%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procentowy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wzrost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gęstości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mineralnej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od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stanu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wyjściowego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zakończenia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najmniej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1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miejscu</w:t>
            </w:r>
            <w:r w:rsidR="00642BBD" w:rsidRPr="00E43BF8">
              <w:rPr>
                <w:sz w:val="20"/>
                <w:szCs w:val="20"/>
              </w:rPr>
              <w:t>;</w:t>
            </w:r>
          </w:p>
          <w:p w14:paraId="0EAD0BFD" w14:textId="3EB046B2" w:rsidR="00B43E24" w:rsidRPr="00E43BF8" w:rsidRDefault="00B43E24" w:rsidP="00E43BF8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poprawa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wskaźników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stanu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sercowo-naczyniowego</w:t>
            </w:r>
            <w:r w:rsidR="00642BBD" w:rsidRPr="00E43BF8">
              <w:rPr>
                <w:sz w:val="20"/>
                <w:szCs w:val="20"/>
              </w:rPr>
              <w:t>;</w:t>
            </w:r>
          </w:p>
          <w:p w14:paraId="7E505131" w14:textId="26557456" w:rsidR="00F14E47" w:rsidRPr="00E43BF8" w:rsidRDefault="00B43E24" w:rsidP="00E43BF8">
            <w:pPr>
              <w:pStyle w:val="Akapitzlist"/>
              <w:numPr>
                <w:ilvl w:val="3"/>
                <w:numId w:val="22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przeżycie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całkowite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(OS)</w:t>
            </w:r>
            <w:r w:rsidR="00642BBD" w:rsidRPr="00E43BF8">
              <w:rPr>
                <w:sz w:val="20"/>
                <w:szCs w:val="20"/>
              </w:rPr>
              <w:t>.</w:t>
            </w:r>
          </w:p>
          <w:p w14:paraId="77905A42" w14:textId="77777777" w:rsidR="00F14E47" w:rsidRPr="00E43BF8" w:rsidRDefault="00F14E47" w:rsidP="00E43BF8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sz w:val="20"/>
                <w:szCs w:val="20"/>
              </w:rPr>
            </w:pPr>
          </w:p>
          <w:p w14:paraId="62B18D6B" w14:textId="5C712F61" w:rsidR="00DF29AF" w:rsidRPr="00E43BF8" w:rsidRDefault="00DF29AF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Weryfikacja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skuteczności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odbywa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oparciu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w/w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kryteria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oraz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ocenę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stanu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klinicznego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pacjenta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dokonywaną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Zespół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Koordynacyjny.</w:t>
            </w:r>
          </w:p>
          <w:p w14:paraId="7D5630D6" w14:textId="72A46E72" w:rsidR="00DF29AF" w:rsidRPr="00E43BF8" w:rsidRDefault="00DF29AF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Dane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gromadzone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elektronicznym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systemie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monitorowania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programów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lekowych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analizowane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Zespół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Koordynacyjny,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który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podsumowuje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wyniki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programie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lekowym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koniec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każdego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roku.</w:t>
            </w:r>
            <w:r w:rsidR="007D11EB">
              <w:rPr>
                <w:sz w:val="20"/>
                <w:szCs w:val="20"/>
              </w:rPr>
              <w:t xml:space="preserve"> </w:t>
            </w:r>
          </w:p>
          <w:p w14:paraId="03D34452" w14:textId="77777777" w:rsidR="006E0B6F" w:rsidRPr="00E43BF8" w:rsidRDefault="006E0B6F" w:rsidP="00E43BF8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sz w:val="20"/>
                <w:szCs w:val="20"/>
              </w:rPr>
            </w:pPr>
          </w:p>
          <w:p w14:paraId="5E929AE5" w14:textId="6424E4D7" w:rsidR="00DF29AF" w:rsidRPr="00E43BF8" w:rsidRDefault="00DF29AF" w:rsidP="00E43BF8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sz w:val="20"/>
                <w:szCs w:val="20"/>
              </w:rPr>
            </w:pPr>
            <w:r w:rsidRPr="00E43BF8">
              <w:rPr>
                <w:b/>
                <w:bCs/>
                <w:sz w:val="20"/>
                <w:szCs w:val="20"/>
              </w:rPr>
              <w:t>Monitorowanie</w:t>
            </w:r>
            <w:r w:rsidR="007D11EB">
              <w:rPr>
                <w:b/>
                <w:bCs/>
                <w:sz w:val="20"/>
                <w:szCs w:val="20"/>
              </w:rPr>
              <w:t xml:space="preserve"> </w:t>
            </w:r>
            <w:r w:rsidRPr="00E43BF8">
              <w:rPr>
                <w:b/>
                <w:bCs/>
                <w:sz w:val="20"/>
                <w:szCs w:val="20"/>
              </w:rPr>
              <w:t>programu</w:t>
            </w:r>
          </w:p>
          <w:p w14:paraId="2137372A" w14:textId="188F7311" w:rsidR="00766318" w:rsidRPr="00E43BF8" w:rsidRDefault="00766318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gromadzenie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dokumentacji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medycznej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pacjenta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danych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dotyczących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monitorowania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każdorazowe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przedst</w:t>
            </w:r>
            <w:r w:rsidR="00240BE1" w:rsidRPr="00E43BF8">
              <w:rPr>
                <w:sz w:val="20"/>
                <w:szCs w:val="20"/>
              </w:rPr>
              <w:t>awianie</w:t>
            </w:r>
            <w:r w:rsidR="007D11EB">
              <w:rPr>
                <w:sz w:val="20"/>
                <w:szCs w:val="20"/>
              </w:rPr>
              <w:t xml:space="preserve"> </w:t>
            </w:r>
            <w:r w:rsidR="00240BE1"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="00240BE1" w:rsidRPr="00E43BF8">
              <w:rPr>
                <w:sz w:val="20"/>
                <w:szCs w:val="20"/>
              </w:rPr>
              <w:t>żądanie</w:t>
            </w:r>
            <w:r w:rsidR="007D11EB">
              <w:rPr>
                <w:sz w:val="20"/>
                <w:szCs w:val="20"/>
              </w:rPr>
              <w:t xml:space="preserve"> </w:t>
            </w:r>
            <w:r w:rsidR="00240BE1" w:rsidRPr="00E43BF8">
              <w:rPr>
                <w:sz w:val="20"/>
                <w:szCs w:val="20"/>
              </w:rPr>
              <w:t>kontrolerów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Narodowego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Funduszu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Zdrowia;</w:t>
            </w:r>
          </w:p>
          <w:p w14:paraId="5E4BF875" w14:textId="54DD5C95" w:rsidR="00766318" w:rsidRPr="00E43BF8" w:rsidRDefault="00766318" w:rsidP="00E43BF8">
            <w:pPr>
              <w:pStyle w:val="Akapitzlist"/>
              <w:numPr>
                <w:ilvl w:val="3"/>
                <w:numId w:val="21"/>
              </w:numPr>
              <w:tabs>
                <w:tab w:val="left" w:pos="-4253"/>
              </w:tabs>
              <w:suppressAutoHyphens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lastRenderedPageBreak/>
              <w:t>uzupełnienie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danych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zawartych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elektronicznym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systemie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monitorowania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programów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lekowych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dostępnym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pomocą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aplikacji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internetowej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udostępnionej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NFZ,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częstotliwością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zgodną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opisem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programu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oraz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zakończenie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leczenia</w:t>
            </w:r>
            <w:r w:rsidR="00AE7D0A" w:rsidRPr="00E43BF8">
              <w:rPr>
                <w:sz w:val="20"/>
                <w:szCs w:val="20"/>
              </w:rPr>
              <w:t>,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tym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przekazywanie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danych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dotyczących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wskaźników</w:t>
            </w:r>
            <w:r w:rsidR="007D11EB">
              <w:rPr>
                <w:sz w:val="20"/>
                <w:szCs w:val="20"/>
              </w:rPr>
              <w:t xml:space="preserve"> </w:t>
            </w:r>
            <w:r w:rsidR="00AE7D0A" w:rsidRPr="00E43BF8">
              <w:rPr>
                <w:sz w:val="20"/>
                <w:szCs w:val="20"/>
              </w:rPr>
              <w:t>efektywności</w:t>
            </w:r>
            <w:r w:rsidR="007D11EB">
              <w:rPr>
                <w:sz w:val="20"/>
                <w:szCs w:val="20"/>
              </w:rPr>
              <w:t xml:space="preserve"> </w:t>
            </w:r>
            <w:r w:rsidR="00E43BF8" w:rsidRPr="00E43BF8">
              <w:rPr>
                <w:sz w:val="20"/>
                <w:szCs w:val="20"/>
              </w:rPr>
              <w:t>określonych</w:t>
            </w:r>
            <w:r w:rsidR="007D11EB">
              <w:rPr>
                <w:sz w:val="20"/>
                <w:szCs w:val="20"/>
              </w:rPr>
              <w:t xml:space="preserve"> </w:t>
            </w:r>
            <w:r w:rsidR="00E43BF8"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="00E43BF8" w:rsidRPr="00E43BF8">
              <w:rPr>
                <w:sz w:val="20"/>
                <w:szCs w:val="20"/>
              </w:rPr>
              <w:t>pkt.</w:t>
            </w:r>
            <w:r w:rsidR="007D11EB">
              <w:rPr>
                <w:sz w:val="20"/>
                <w:szCs w:val="20"/>
              </w:rPr>
              <w:t xml:space="preserve"> </w:t>
            </w:r>
            <w:r w:rsidR="00E43BF8" w:rsidRPr="00E43BF8">
              <w:rPr>
                <w:sz w:val="20"/>
                <w:szCs w:val="20"/>
              </w:rPr>
              <w:t>3.</w:t>
            </w:r>
            <w:r w:rsidR="00F22035" w:rsidRPr="00E43BF8">
              <w:rPr>
                <w:sz w:val="20"/>
                <w:szCs w:val="20"/>
              </w:rPr>
              <w:t>;</w:t>
            </w:r>
          </w:p>
          <w:p w14:paraId="2387952B" w14:textId="4B9B6ACA" w:rsidR="00CD40F0" w:rsidRPr="00E43BF8" w:rsidRDefault="00766318" w:rsidP="00E43BF8">
            <w:pPr>
              <w:pStyle w:val="Akapitzlist"/>
              <w:numPr>
                <w:ilvl w:val="3"/>
                <w:numId w:val="21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sz w:val="20"/>
                <w:szCs w:val="20"/>
              </w:rPr>
            </w:pPr>
            <w:r w:rsidRPr="00E43BF8">
              <w:rPr>
                <w:sz w:val="20"/>
                <w:szCs w:val="20"/>
              </w:rPr>
              <w:t>przekazywanie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informacji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sprawozdawczo-rozliczeniowych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NFZ: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informacje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przekazuje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się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do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NFZ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formie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papierowej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lub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formie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elektronicznej,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zgodnie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wymaganiami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opublikowanymi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przez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Narodowy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Fundusz</w:t>
            </w:r>
            <w:r w:rsidR="007D11EB">
              <w:rPr>
                <w:sz w:val="20"/>
                <w:szCs w:val="20"/>
              </w:rPr>
              <w:t xml:space="preserve"> </w:t>
            </w:r>
            <w:r w:rsidRPr="00E43BF8">
              <w:rPr>
                <w:sz w:val="20"/>
                <w:szCs w:val="20"/>
              </w:rPr>
              <w:t>Zdrowia</w:t>
            </w:r>
            <w:r w:rsidRPr="00E43BF8">
              <w:rPr>
                <w:color w:val="FF0000"/>
                <w:sz w:val="20"/>
                <w:szCs w:val="20"/>
              </w:rPr>
              <w:t>.</w:t>
            </w:r>
          </w:p>
        </w:tc>
      </w:tr>
    </w:tbl>
    <w:p w14:paraId="76A6A8D2" w14:textId="287E201B" w:rsidR="00743C43" w:rsidRDefault="00743C43" w:rsidP="00486F50">
      <w:pPr>
        <w:rPr>
          <w:sz w:val="10"/>
        </w:rPr>
      </w:pPr>
    </w:p>
    <w:p w14:paraId="09A26D86" w14:textId="37506C9F" w:rsidR="003866D1" w:rsidRDefault="003866D1" w:rsidP="00486F50">
      <w:pPr>
        <w:rPr>
          <w:sz w:val="10"/>
        </w:rPr>
      </w:pPr>
    </w:p>
    <w:sectPr w:rsidR="003866D1" w:rsidSect="002803BD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B80AE" w14:textId="77777777" w:rsidR="00EB504F" w:rsidRDefault="00EB504F" w:rsidP="00BF49D7">
      <w:r>
        <w:separator/>
      </w:r>
    </w:p>
  </w:endnote>
  <w:endnote w:type="continuationSeparator" w:id="0">
    <w:p w14:paraId="1D07F5D3" w14:textId="77777777" w:rsidR="00EB504F" w:rsidRDefault="00EB504F" w:rsidP="00BF49D7">
      <w:r>
        <w:continuationSeparator/>
      </w:r>
    </w:p>
  </w:endnote>
  <w:endnote w:type="continuationNotice" w:id="1">
    <w:p w14:paraId="052462E8" w14:textId="77777777" w:rsidR="00EB504F" w:rsidRDefault="00EB50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1D4B5" w14:textId="77777777" w:rsidR="00EB504F" w:rsidRDefault="00EB504F" w:rsidP="00BF49D7">
      <w:r>
        <w:separator/>
      </w:r>
    </w:p>
  </w:footnote>
  <w:footnote w:type="continuationSeparator" w:id="0">
    <w:p w14:paraId="2EFA28BF" w14:textId="77777777" w:rsidR="00EB504F" w:rsidRDefault="00EB504F" w:rsidP="00BF49D7">
      <w:r>
        <w:continuationSeparator/>
      </w:r>
    </w:p>
  </w:footnote>
  <w:footnote w:type="continuationNotice" w:id="1">
    <w:p w14:paraId="093954D3" w14:textId="77777777" w:rsidR="00EB504F" w:rsidRDefault="00EB50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57AC5"/>
    <w:multiLevelType w:val="multilevel"/>
    <w:tmpl w:val="1F5082C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30215FF"/>
    <w:multiLevelType w:val="hybridMultilevel"/>
    <w:tmpl w:val="87C27E92"/>
    <w:lvl w:ilvl="0" w:tplc="496AE9C8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1536"/>
    <w:multiLevelType w:val="hybridMultilevel"/>
    <w:tmpl w:val="AC84C55C"/>
    <w:lvl w:ilvl="0" w:tplc="E64C7CE2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500BD"/>
    <w:multiLevelType w:val="multilevel"/>
    <w:tmpl w:val="EE968D0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 w:val="0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13D59C7"/>
    <w:multiLevelType w:val="multilevel"/>
    <w:tmpl w:val="6216716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hAnsi="Times New Roman" w:cs="Times New Roman"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6BB0A7D"/>
    <w:multiLevelType w:val="hybridMultilevel"/>
    <w:tmpl w:val="3982B5B0"/>
    <w:lvl w:ilvl="0" w:tplc="FFFFFFFF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7418F"/>
    <w:multiLevelType w:val="hybridMultilevel"/>
    <w:tmpl w:val="16B0C7E8"/>
    <w:lvl w:ilvl="0" w:tplc="B7886E00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23F46F3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34B958E7"/>
    <w:multiLevelType w:val="hybridMultilevel"/>
    <w:tmpl w:val="E32EF680"/>
    <w:lvl w:ilvl="0" w:tplc="3BFCA28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626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9BF446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458DF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4044D2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40694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E4121E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A12223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8CB2FB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9" w15:restartNumberingAfterBreak="0">
    <w:nsid w:val="35147047"/>
    <w:multiLevelType w:val="hybridMultilevel"/>
    <w:tmpl w:val="4490AD08"/>
    <w:lvl w:ilvl="0" w:tplc="A476BCC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84C679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F4C290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FBAB1E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CA251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C052830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C1B6E0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735AC01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BDCF44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0" w15:restartNumberingAfterBreak="0">
    <w:nsid w:val="3E4C18EA"/>
    <w:multiLevelType w:val="hybridMultilevel"/>
    <w:tmpl w:val="4D52B722"/>
    <w:lvl w:ilvl="0" w:tplc="30EC3FB8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8FEB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46060915"/>
    <w:multiLevelType w:val="multilevel"/>
    <w:tmpl w:val="2364032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49EA52A9"/>
    <w:multiLevelType w:val="hybridMultilevel"/>
    <w:tmpl w:val="3982B5B0"/>
    <w:lvl w:ilvl="0" w:tplc="D5E696B6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85290"/>
    <w:multiLevelType w:val="hybridMultilevel"/>
    <w:tmpl w:val="493E4EE2"/>
    <w:lvl w:ilvl="0" w:tplc="A704B1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6FEC7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033EA71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0D62AD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6464D96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0F8F83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16529C9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56BE518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3E0481D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5" w15:restartNumberingAfterBreak="0">
    <w:nsid w:val="5322112B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8E47C0E"/>
    <w:multiLevelType w:val="hybridMultilevel"/>
    <w:tmpl w:val="E3246FDE"/>
    <w:lvl w:ilvl="0" w:tplc="26C0EE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64A13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AD10D98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B944EC7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75969DF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AF6AE67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46327D7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9D9AA29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4208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17" w15:restartNumberingAfterBreak="0">
    <w:nsid w:val="597103ED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5C59094D"/>
    <w:multiLevelType w:val="multilevel"/>
    <w:tmpl w:val="22E07154"/>
    <w:lvl w:ilvl="0">
      <w:start w:val="1"/>
      <w:numFmt w:val="decimal"/>
      <w:lvlText w:val="%1)"/>
      <w:lvlJc w:val="left"/>
      <w:pPr>
        <w:ind w:left="454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733B6826"/>
    <w:multiLevelType w:val="hybridMultilevel"/>
    <w:tmpl w:val="34286E0C"/>
    <w:lvl w:ilvl="0" w:tplc="57D2998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69A4A1B"/>
    <w:multiLevelType w:val="multilevel"/>
    <w:tmpl w:val="45C04A5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7F5F30FD"/>
    <w:multiLevelType w:val="multilevel"/>
    <w:tmpl w:val="F8A683F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/>
        <w:iCs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 w16cid:durableId="2147308984">
    <w:abstractNumId w:val="3"/>
  </w:num>
  <w:num w:numId="2" w16cid:durableId="1147429827">
    <w:abstractNumId w:val="18"/>
  </w:num>
  <w:num w:numId="3" w16cid:durableId="295373985">
    <w:abstractNumId w:val="0"/>
  </w:num>
  <w:num w:numId="4" w16cid:durableId="1763724342">
    <w:abstractNumId w:val="12"/>
  </w:num>
  <w:num w:numId="5" w16cid:durableId="1088232704">
    <w:abstractNumId w:val="6"/>
  </w:num>
  <w:num w:numId="6" w16cid:durableId="1767768369">
    <w:abstractNumId w:val="19"/>
  </w:num>
  <w:num w:numId="7" w16cid:durableId="1823889768">
    <w:abstractNumId w:val="4"/>
  </w:num>
  <w:num w:numId="8" w16cid:durableId="1286473282">
    <w:abstractNumId w:val="13"/>
  </w:num>
  <w:num w:numId="9" w16cid:durableId="1364744022">
    <w:abstractNumId w:val="2"/>
  </w:num>
  <w:num w:numId="10" w16cid:durableId="1824003842">
    <w:abstractNumId w:val="21"/>
  </w:num>
  <w:num w:numId="11" w16cid:durableId="1403261890">
    <w:abstractNumId w:val="10"/>
  </w:num>
  <w:num w:numId="12" w16cid:durableId="752121977">
    <w:abstractNumId w:val="1"/>
  </w:num>
  <w:num w:numId="13" w16cid:durableId="1039428002">
    <w:abstractNumId w:val="16"/>
  </w:num>
  <w:num w:numId="14" w16cid:durableId="1502504855">
    <w:abstractNumId w:val="8"/>
  </w:num>
  <w:num w:numId="15" w16cid:durableId="105347978">
    <w:abstractNumId w:val="5"/>
  </w:num>
  <w:num w:numId="16" w16cid:durableId="1131560687">
    <w:abstractNumId w:val="9"/>
  </w:num>
  <w:num w:numId="17" w16cid:durableId="1557618363">
    <w:abstractNumId w:val="14"/>
  </w:num>
  <w:num w:numId="18" w16cid:durableId="230166605">
    <w:abstractNumId w:val="11"/>
  </w:num>
  <w:num w:numId="19" w16cid:durableId="94441504">
    <w:abstractNumId w:val="17"/>
  </w:num>
  <w:num w:numId="20" w16cid:durableId="630019160">
    <w:abstractNumId w:val="7"/>
  </w:num>
  <w:num w:numId="21" w16cid:durableId="1328947629">
    <w:abstractNumId w:val="15"/>
  </w:num>
  <w:num w:numId="22" w16cid:durableId="705445250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3CD4"/>
    <w:rsid w:val="00006E10"/>
    <w:rsid w:val="0001098D"/>
    <w:rsid w:val="00010E54"/>
    <w:rsid w:val="000174B6"/>
    <w:rsid w:val="00023C74"/>
    <w:rsid w:val="000365F4"/>
    <w:rsid w:val="000545F7"/>
    <w:rsid w:val="000548BC"/>
    <w:rsid w:val="00060ECD"/>
    <w:rsid w:val="00062151"/>
    <w:rsid w:val="00070AA4"/>
    <w:rsid w:val="000814F5"/>
    <w:rsid w:val="00084FB8"/>
    <w:rsid w:val="00093997"/>
    <w:rsid w:val="000944E5"/>
    <w:rsid w:val="000971A2"/>
    <w:rsid w:val="000A0B15"/>
    <w:rsid w:val="000A79AC"/>
    <w:rsid w:val="000B7F22"/>
    <w:rsid w:val="000C026E"/>
    <w:rsid w:val="000C36D5"/>
    <w:rsid w:val="000C4794"/>
    <w:rsid w:val="000D26C2"/>
    <w:rsid w:val="000D3E2E"/>
    <w:rsid w:val="000D5B38"/>
    <w:rsid w:val="000D6737"/>
    <w:rsid w:val="000E2B19"/>
    <w:rsid w:val="000E48FF"/>
    <w:rsid w:val="000E7B19"/>
    <w:rsid w:val="000F410F"/>
    <w:rsid w:val="000F473D"/>
    <w:rsid w:val="0010197E"/>
    <w:rsid w:val="00110934"/>
    <w:rsid w:val="00114473"/>
    <w:rsid w:val="00123385"/>
    <w:rsid w:val="00133821"/>
    <w:rsid w:val="001361F1"/>
    <w:rsid w:val="00137B20"/>
    <w:rsid w:val="0014162F"/>
    <w:rsid w:val="001431D0"/>
    <w:rsid w:val="00144C47"/>
    <w:rsid w:val="001501A2"/>
    <w:rsid w:val="001508E7"/>
    <w:rsid w:val="00155825"/>
    <w:rsid w:val="00161905"/>
    <w:rsid w:val="00163ED3"/>
    <w:rsid w:val="00172E46"/>
    <w:rsid w:val="001742CA"/>
    <w:rsid w:val="001779C1"/>
    <w:rsid w:val="0018089F"/>
    <w:rsid w:val="001824BF"/>
    <w:rsid w:val="001836F1"/>
    <w:rsid w:val="001843F9"/>
    <w:rsid w:val="00191D59"/>
    <w:rsid w:val="00196B54"/>
    <w:rsid w:val="001A3614"/>
    <w:rsid w:val="001B2D29"/>
    <w:rsid w:val="001B67B4"/>
    <w:rsid w:val="001B6D80"/>
    <w:rsid w:val="001C6C74"/>
    <w:rsid w:val="001E2B0A"/>
    <w:rsid w:val="001E3E14"/>
    <w:rsid w:val="001E481F"/>
    <w:rsid w:val="001F2D3D"/>
    <w:rsid w:val="001F2F10"/>
    <w:rsid w:val="001F481A"/>
    <w:rsid w:val="00203AC4"/>
    <w:rsid w:val="002044A7"/>
    <w:rsid w:val="0022004A"/>
    <w:rsid w:val="00221D34"/>
    <w:rsid w:val="00233AF3"/>
    <w:rsid w:val="00240BE1"/>
    <w:rsid w:val="002413DF"/>
    <w:rsid w:val="00245585"/>
    <w:rsid w:val="00251E73"/>
    <w:rsid w:val="00254C39"/>
    <w:rsid w:val="00265363"/>
    <w:rsid w:val="002803BD"/>
    <w:rsid w:val="00281E15"/>
    <w:rsid w:val="0028213B"/>
    <w:rsid w:val="00284EF3"/>
    <w:rsid w:val="002A3FE8"/>
    <w:rsid w:val="002B3B8C"/>
    <w:rsid w:val="002B44DE"/>
    <w:rsid w:val="002B7F13"/>
    <w:rsid w:val="002D3E92"/>
    <w:rsid w:val="002D6D4F"/>
    <w:rsid w:val="002D780A"/>
    <w:rsid w:val="002F19C8"/>
    <w:rsid w:val="002F77FD"/>
    <w:rsid w:val="002F7E27"/>
    <w:rsid w:val="003037E3"/>
    <w:rsid w:val="00316BD2"/>
    <w:rsid w:val="0032399D"/>
    <w:rsid w:val="00330EF9"/>
    <w:rsid w:val="00343341"/>
    <w:rsid w:val="0034684E"/>
    <w:rsid w:val="00347030"/>
    <w:rsid w:val="00364A14"/>
    <w:rsid w:val="003665B3"/>
    <w:rsid w:val="003758E8"/>
    <w:rsid w:val="00380752"/>
    <w:rsid w:val="0038412D"/>
    <w:rsid w:val="00385391"/>
    <w:rsid w:val="003866D1"/>
    <w:rsid w:val="003965E1"/>
    <w:rsid w:val="003A0A6B"/>
    <w:rsid w:val="003B7CF8"/>
    <w:rsid w:val="003C156D"/>
    <w:rsid w:val="003D03C4"/>
    <w:rsid w:val="003D0C99"/>
    <w:rsid w:val="003D1C59"/>
    <w:rsid w:val="003F4A58"/>
    <w:rsid w:val="003F5E06"/>
    <w:rsid w:val="00406654"/>
    <w:rsid w:val="00410D0D"/>
    <w:rsid w:val="00414AC2"/>
    <w:rsid w:val="004165BF"/>
    <w:rsid w:val="004311BB"/>
    <w:rsid w:val="0043706D"/>
    <w:rsid w:val="004561F9"/>
    <w:rsid w:val="00464739"/>
    <w:rsid w:val="00472B65"/>
    <w:rsid w:val="00475B7C"/>
    <w:rsid w:val="00486F50"/>
    <w:rsid w:val="00497A25"/>
    <w:rsid w:val="004A0817"/>
    <w:rsid w:val="004A5DAD"/>
    <w:rsid w:val="004A797A"/>
    <w:rsid w:val="004A79EF"/>
    <w:rsid w:val="004B05BA"/>
    <w:rsid w:val="004B0757"/>
    <w:rsid w:val="004B6C25"/>
    <w:rsid w:val="004B76AF"/>
    <w:rsid w:val="004C2572"/>
    <w:rsid w:val="004C4344"/>
    <w:rsid w:val="004D2694"/>
    <w:rsid w:val="004F0FBD"/>
    <w:rsid w:val="005000B4"/>
    <w:rsid w:val="00512373"/>
    <w:rsid w:val="00516934"/>
    <w:rsid w:val="005224EE"/>
    <w:rsid w:val="00523C92"/>
    <w:rsid w:val="005257EA"/>
    <w:rsid w:val="0052737C"/>
    <w:rsid w:val="00533461"/>
    <w:rsid w:val="00535D21"/>
    <w:rsid w:val="00540243"/>
    <w:rsid w:val="00541CD0"/>
    <w:rsid w:val="00547315"/>
    <w:rsid w:val="00565830"/>
    <w:rsid w:val="00577F49"/>
    <w:rsid w:val="00590AEC"/>
    <w:rsid w:val="005954A8"/>
    <w:rsid w:val="005A37EF"/>
    <w:rsid w:val="005A4877"/>
    <w:rsid w:val="005B6D0B"/>
    <w:rsid w:val="005E7E45"/>
    <w:rsid w:val="005F1F2C"/>
    <w:rsid w:val="0060385A"/>
    <w:rsid w:val="00604B8D"/>
    <w:rsid w:val="00612B8F"/>
    <w:rsid w:val="00627BDE"/>
    <w:rsid w:val="00630F5C"/>
    <w:rsid w:val="00642045"/>
    <w:rsid w:val="00642BBD"/>
    <w:rsid w:val="00642C07"/>
    <w:rsid w:val="00647AA3"/>
    <w:rsid w:val="006522B9"/>
    <w:rsid w:val="00660EF0"/>
    <w:rsid w:val="006636BD"/>
    <w:rsid w:val="00690FA9"/>
    <w:rsid w:val="00693A9C"/>
    <w:rsid w:val="006B5357"/>
    <w:rsid w:val="006C220F"/>
    <w:rsid w:val="006C2747"/>
    <w:rsid w:val="006C410B"/>
    <w:rsid w:val="006D2623"/>
    <w:rsid w:val="006D487A"/>
    <w:rsid w:val="006E0B6F"/>
    <w:rsid w:val="006E5F71"/>
    <w:rsid w:val="006E6610"/>
    <w:rsid w:val="006E6EEB"/>
    <w:rsid w:val="00707A53"/>
    <w:rsid w:val="00714D39"/>
    <w:rsid w:val="00735B6F"/>
    <w:rsid w:val="00740FCE"/>
    <w:rsid w:val="00743C43"/>
    <w:rsid w:val="00747A46"/>
    <w:rsid w:val="00747EB0"/>
    <w:rsid w:val="00766318"/>
    <w:rsid w:val="00774B8A"/>
    <w:rsid w:val="00777117"/>
    <w:rsid w:val="00777E5E"/>
    <w:rsid w:val="007848C7"/>
    <w:rsid w:val="00786E34"/>
    <w:rsid w:val="0078703D"/>
    <w:rsid w:val="007B34F4"/>
    <w:rsid w:val="007B5025"/>
    <w:rsid w:val="007C1ED5"/>
    <w:rsid w:val="007C4786"/>
    <w:rsid w:val="007C53ED"/>
    <w:rsid w:val="007D06FD"/>
    <w:rsid w:val="007D11EB"/>
    <w:rsid w:val="007D188D"/>
    <w:rsid w:val="007D2521"/>
    <w:rsid w:val="007D297F"/>
    <w:rsid w:val="007D3B38"/>
    <w:rsid w:val="007E022C"/>
    <w:rsid w:val="007F34FE"/>
    <w:rsid w:val="007F4507"/>
    <w:rsid w:val="007F66F8"/>
    <w:rsid w:val="008017A7"/>
    <w:rsid w:val="008026DC"/>
    <w:rsid w:val="008038EF"/>
    <w:rsid w:val="008118B8"/>
    <w:rsid w:val="00815A3E"/>
    <w:rsid w:val="00816178"/>
    <w:rsid w:val="00823367"/>
    <w:rsid w:val="0083097B"/>
    <w:rsid w:val="00840EA7"/>
    <w:rsid w:val="00841286"/>
    <w:rsid w:val="00855B5D"/>
    <w:rsid w:val="008606E9"/>
    <w:rsid w:val="00863370"/>
    <w:rsid w:val="00863634"/>
    <w:rsid w:val="00881775"/>
    <w:rsid w:val="008850AA"/>
    <w:rsid w:val="00885F71"/>
    <w:rsid w:val="00890E52"/>
    <w:rsid w:val="00892F05"/>
    <w:rsid w:val="00897C0B"/>
    <w:rsid w:val="008B110A"/>
    <w:rsid w:val="008B3EC3"/>
    <w:rsid w:val="008B6EA7"/>
    <w:rsid w:val="008D7A25"/>
    <w:rsid w:val="008E5505"/>
    <w:rsid w:val="008F26E6"/>
    <w:rsid w:val="008F5F86"/>
    <w:rsid w:val="00906A2B"/>
    <w:rsid w:val="009116A6"/>
    <w:rsid w:val="00913196"/>
    <w:rsid w:val="00922555"/>
    <w:rsid w:val="009249DA"/>
    <w:rsid w:val="00931560"/>
    <w:rsid w:val="00932C5A"/>
    <w:rsid w:val="00935247"/>
    <w:rsid w:val="00936C94"/>
    <w:rsid w:val="009530A8"/>
    <w:rsid w:val="00953C98"/>
    <w:rsid w:val="009565FC"/>
    <w:rsid w:val="00963F9B"/>
    <w:rsid w:val="00964659"/>
    <w:rsid w:val="00966F29"/>
    <w:rsid w:val="00970C01"/>
    <w:rsid w:val="00975356"/>
    <w:rsid w:val="00977709"/>
    <w:rsid w:val="009878D2"/>
    <w:rsid w:val="0099145D"/>
    <w:rsid w:val="00996B5A"/>
    <w:rsid w:val="009A0663"/>
    <w:rsid w:val="009A09DC"/>
    <w:rsid w:val="009A31F3"/>
    <w:rsid w:val="009B0AA3"/>
    <w:rsid w:val="009B3886"/>
    <w:rsid w:val="009B4469"/>
    <w:rsid w:val="009B538D"/>
    <w:rsid w:val="009B77D8"/>
    <w:rsid w:val="009C5C16"/>
    <w:rsid w:val="009D05BD"/>
    <w:rsid w:val="009D40F7"/>
    <w:rsid w:val="009E2C7E"/>
    <w:rsid w:val="009E3412"/>
    <w:rsid w:val="009F5E32"/>
    <w:rsid w:val="00A076D0"/>
    <w:rsid w:val="00A228FC"/>
    <w:rsid w:val="00A23F3F"/>
    <w:rsid w:val="00A44BD5"/>
    <w:rsid w:val="00A45E05"/>
    <w:rsid w:val="00A46F81"/>
    <w:rsid w:val="00A6241F"/>
    <w:rsid w:val="00A66D02"/>
    <w:rsid w:val="00A70DFE"/>
    <w:rsid w:val="00A70E8D"/>
    <w:rsid w:val="00A800F4"/>
    <w:rsid w:val="00A8178C"/>
    <w:rsid w:val="00A84FD7"/>
    <w:rsid w:val="00A9340F"/>
    <w:rsid w:val="00AA647F"/>
    <w:rsid w:val="00AB20AA"/>
    <w:rsid w:val="00AB44EC"/>
    <w:rsid w:val="00AB4B72"/>
    <w:rsid w:val="00AC3A93"/>
    <w:rsid w:val="00AC597A"/>
    <w:rsid w:val="00AE4477"/>
    <w:rsid w:val="00AE7D0A"/>
    <w:rsid w:val="00AF0963"/>
    <w:rsid w:val="00AF4E75"/>
    <w:rsid w:val="00AF4EA2"/>
    <w:rsid w:val="00AF5180"/>
    <w:rsid w:val="00B11596"/>
    <w:rsid w:val="00B1376C"/>
    <w:rsid w:val="00B152A6"/>
    <w:rsid w:val="00B15A7F"/>
    <w:rsid w:val="00B160D1"/>
    <w:rsid w:val="00B20EAC"/>
    <w:rsid w:val="00B31F89"/>
    <w:rsid w:val="00B32200"/>
    <w:rsid w:val="00B42D08"/>
    <w:rsid w:val="00B43DF5"/>
    <w:rsid w:val="00B43E24"/>
    <w:rsid w:val="00B47004"/>
    <w:rsid w:val="00B526ED"/>
    <w:rsid w:val="00B577BF"/>
    <w:rsid w:val="00B61084"/>
    <w:rsid w:val="00B66BAD"/>
    <w:rsid w:val="00B73C82"/>
    <w:rsid w:val="00B819C7"/>
    <w:rsid w:val="00B849C7"/>
    <w:rsid w:val="00B850EC"/>
    <w:rsid w:val="00B85E60"/>
    <w:rsid w:val="00B900A4"/>
    <w:rsid w:val="00B90EB7"/>
    <w:rsid w:val="00B97D38"/>
    <w:rsid w:val="00BB08D1"/>
    <w:rsid w:val="00BC397A"/>
    <w:rsid w:val="00BC6CF9"/>
    <w:rsid w:val="00BC7E78"/>
    <w:rsid w:val="00BD22AD"/>
    <w:rsid w:val="00BD51B5"/>
    <w:rsid w:val="00BD5949"/>
    <w:rsid w:val="00BE6398"/>
    <w:rsid w:val="00BF0CA8"/>
    <w:rsid w:val="00BF49D7"/>
    <w:rsid w:val="00BF6269"/>
    <w:rsid w:val="00C01F75"/>
    <w:rsid w:val="00C04BF8"/>
    <w:rsid w:val="00C0702C"/>
    <w:rsid w:val="00C0762F"/>
    <w:rsid w:val="00C07DA7"/>
    <w:rsid w:val="00C10950"/>
    <w:rsid w:val="00C13027"/>
    <w:rsid w:val="00C2457C"/>
    <w:rsid w:val="00C2602F"/>
    <w:rsid w:val="00C26F6B"/>
    <w:rsid w:val="00C4381F"/>
    <w:rsid w:val="00C43C2B"/>
    <w:rsid w:val="00C47AD0"/>
    <w:rsid w:val="00C504BA"/>
    <w:rsid w:val="00C5169E"/>
    <w:rsid w:val="00C57D1C"/>
    <w:rsid w:val="00C60F36"/>
    <w:rsid w:val="00C6518D"/>
    <w:rsid w:val="00C65410"/>
    <w:rsid w:val="00C71584"/>
    <w:rsid w:val="00C71B35"/>
    <w:rsid w:val="00C72D35"/>
    <w:rsid w:val="00C77B03"/>
    <w:rsid w:val="00C82603"/>
    <w:rsid w:val="00C86DEB"/>
    <w:rsid w:val="00C91234"/>
    <w:rsid w:val="00C96D74"/>
    <w:rsid w:val="00C97CB6"/>
    <w:rsid w:val="00CA3B21"/>
    <w:rsid w:val="00CA491B"/>
    <w:rsid w:val="00CB1579"/>
    <w:rsid w:val="00CB3D45"/>
    <w:rsid w:val="00CB5855"/>
    <w:rsid w:val="00CB62EB"/>
    <w:rsid w:val="00CC0A16"/>
    <w:rsid w:val="00CC26EC"/>
    <w:rsid w:val="00CD03AE"/>
    <w:rsid w:val="00CD40F0"/>
    <w:rsid w:val="00CE11C5"/>
    <w:rsid w:val="00CF4389"/>
    <w:rsid w:val="00D01CA6"/>
    <w:rsid w:val="00D03660"/>
    <w:rsid w:val="00D1140D"/>
    <w:rsid w:val="00D1157B"/>
    <w:rsid w:val="00D11CB8"/>
    <w:rsid w:val="00D24D72"/>
    <w:rsid w:val="00D31E61"/>
    <w:rsid w:val="00D54685"/>
    <w:rsid w:val="00D63E9E"/>
    <w:rsid w:val="00D743F6"/>
    <w:rsid w:val="00DA106D"/>
    <w:rsid w:val="00DA24DF"/>
    <w:rsid w:val="00DA6460"/>
    <w:rsid w:val="00DB60B0"/>
    <w:rsid w:val="00DC58CF"/>
    <w:rsid w:val="00DD03AB"/>
    <w:rsid w:val="00DD0433"/>
    <w:rsid w:val="00DD6958"/>
    <w:rsid w:val="00DF29AF"/>
    <w:rsid w:val="00DF39CD"/>
    <w:rsid w:val="00E1103A"/>
    <w:rsid w:val="00E1306C"/>
    <w:rsid w:val="00E13A9D"/>
    <w:rsid w:val="00E23955"/>
    <w:rsid w:val="00E23E9D"/>
    <w:rsid w:val="00E2602A"/>
    <w:rsid w:val="00E30D66"/>
    <w:rsid w:val="00E419BC"/>
    <w:rsid w:val="00E42B71"/>
    <w:rsid w:val="00E43BF8"/>
    <w:rsid w:val="00E45433"/>
    <w:rsid w:val="00E4743E"/>
    <w:rsid w:val="00E62A76"/>
    <w:rsid w:val="00E62BAE"/>
    <w:rsid w:val="00E67BD2"/>
    <w:rsid w:val="00E723D1"/>
    <w:rsid w:val="00E74F82"/>
    <w:rsid w:val="00E7549C"/>
    <w:rsid w:val="00E81011"/>
    <w:rsid w:val="00E81F07"/>
    <w:rsid w:val="00E857EF"/>
    <w:rsid w:val="00E9685E"/>
    <w:rsid w:val="00EA17E9"/>
    <w:rsid w:val="00EA55C4"/>
    <w:rsid w:val="00EA7FE1"/>
    <w:rsid w:val="00EB504F"/>
    <w:rsid w:val="00EC436E"/>
    <w:rsid w:val="00ED2459"/>
    <w:rsid w:val="00ED27B4"/>
    <w:rsid w:val="00ED5925"/>
    <w:rsid w:val="00EE1F61"/>
    <w:rsid w:val="00EE46A8"/>
    <w:rsid w:val="00EF0A8C"/>
    <w:rsid w:val="00EF33FF"/>
    <w:rsid w:val="00F0120C"/>
    <w:rsid w:val="00F11659"/>
    <w:rsid w:val="00F14E47"/>
    <w:rsid w:val="00F22035"/>
    <w:rsid w:val="00F418C4"/>
    <w:rsid w:val="00F47A57"/>
    <w:rsid w:val="00F66245"/>
    <w:rsid w:val="00F67349"/>
    <w:rsid w:val="00F70BC9"/>
    <w:rsid w:val="00F7224E"/>
    <w:rsid w:val="00F737F0"/>
    <w:rsid w:val="00F8215A"/>
    <w:rsid w:val="00F90707"/>
    <w:rsid w:val="00F90D66"/>
    <w:rsid w:val="00F96D10"/>
    <w:rsid w:val="00FA218B"/>
    <w:rsid w:val="00FA42BD"/>
    <w:rsid w:val="00FA4BF7"/>
    <w:rsid w:val="00FA6C8B"/>
    <w:rsid w:val="00FC520A"/>
    <w:rsid w:val="00FC6241"/>
    <w:rsid w:val="00FC69A4"/>
    <w:rsid w:val="00FD076E"/>
    <w:rsid w:val="00FD501D"/>
    <w:rsid w:val="00FE1334"/>
    <w:rsid w:val="00FF07D5"/>
    <w:rsid w:val="00FF1B4A"/>
    <w:rsid w:val="00FF6024"/>
    <w:rsid w:val="00FF6B53"/>
    <w:rsid w:val="019E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38032F"/>
  <w15:docId w15:val="{A8C320FD-D4EA-4103-841C-198A4C612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6190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aliases w:val="Styl moj,Akapit z listą11,podpunkt ankietyy"/>
    <w:basedOn w:val="Normalny"/>
    <w:link w:val="AkapitzlistZnak"/>
    <w:uiPriority w:val="99"/>
    <w:qFormat/>
    <w:rsid w:val="00766318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4A79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A79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A79E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47A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47AD0"/>
    <w:rPr>
      <w:b/>
      <w:bCs/>
    </w:rPr>
  </w:style>
  <w:style w:type="table" w:styleId="Tabela-Siatka">
    <w:name w:val="Table Grid"/>
    <w:basedOn w:val="Standardowy"/>
    <w:rsid w:val="00B322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6190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1F481A"/>
    <w:rPr>
      <w:sz w:val="24"/>
      <w:szCs w:val="24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99"/>
    <w:locked/>
    <w:rsid w:val="00FC69A4"/>
    <w:rPr>
      <w:sz w:val="24"/>
      <w:szCs w:val="24"/>
    </w:rPr>
  </w:style>
  <w:style w:type="paragraph" w:customStyle="1" w:styleId="Default">
    <w:name w:val="Default"/>
    <w:rsid w:val="00E67BD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95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C8D5FE13867BE48B1748CBDC34F3812" ma:contentTypeVersion="12" ma:contentTypeDescription="Utwórz nowy dokument." ma:contentTypeScope="" ma:versionID="67cbf9daf4c0e87ac9c89959cd3689db">
  <xsd:schema xmlns:xsd="http://www.w3.org/2001/XMLSchema" xmlns:xs="http://www.w3.org/2001/XMLSchema" xmlns:p="http://schemas.microsoft.com/office/2006/metadata/properties" xmlns:ns3="d6d640df-bcc7-458a-a72b-25baf974069e" xmlns:ns4="3985b88f-056b-48b7-ab2c-d668f89e4f8e" targetNamespace="http://schemas.microsoft.com/office/2006/metadata/properties" ma:root="true" ma:fieldsID="a1ab6ec1f87786b89bc75d1a027578c1" ns3:_="" ns4:_="">
    <xsd:import namespace="d6d640df-bcc7-458a-a72b-25baf974069e"/>
    <xsd:import namespace="3985b88f-056b-48b7-ab2c-d668f89e4f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d640df-bcc7-458a-a72b-25baf97406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85b88f-056b-48b7-ab2c-d668f89e4f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d640df-bcc7-458a-a72b-25baf974069e" xsi:nil="true"/>
  </documentManagement>
</p:properties>
</file>

<file path=customXml/itemProps1.xml><?xml version="1.0" encoding="utf-8"?>
<ds:datastoreItem xmlns:ds="http://schemas.openxmlformats.org/officeDocument/2006/customXml" ds:itemID="{B0F732C8-8FC5-42F8-8C89-C89CD415F8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d640df-bcc7-458a-a72b-25baf974069e"/>
    <ds:schemaRef ds:uri="3985b88f-056b-48b7-ab2c-d668f89e4f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A805B0-AA53-4C2B-8942-9A4BE369AD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1BD4FC-7C47-4A53-B9B7-75B78FA886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DB977F3-9791-4E68-AA90-D2548DCAEDCA}">
  <ds:schemaRefs>
    <ds:schemaRef ds:uri="http://schemas.microsoft.com/office/2006/metadata/properties"/>
    <ds:schemaRef ds:uri="http://schemas.microsoft.com/office/infopath/2007/PartnerControls"/>
    <ds:schemaRef ds:uri="d6d640df-bcc7-458a-a72b-25baf974069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1180</Words>
  <Characters>7789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Magdalena</dc:creator>
  <cp:keywords/>
  <cp:lastModifiedBy>Królak-Buzakowska Joanna</cp:lastModifiedBy>
  <cp:revision>4</cp:revision>
  <cp:lastPrinted>2016-10-20T19:11:00Z</cp:lastPrinted>
  <dcterms:created xsi:type="dcterms:W3CDTF">2023-06-30T09:09:00Z</dcterms:created>
  <dcterms:modified xsi:type="dcterms:W3CDTF">2023-06-30T09:30:00Z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0x0101006C8D5FE13867BE48B1748CBDC34F3812</vt:lpwstr>
  </property>
</Properties>
</file>