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DA52" w14:textId="789615E6" w:rsidR="00DD2FB0" w:rsidRPr="00D41EB8" w:rsidRDefault="00DD2FB0" w:rsidP="000F105A">
      <w:pPr>
        <w:pStyle w:val="Tytu"/>
        <w:spacing w:before="360" w:after="360"/>
        <w:jc w:val="center"/>
      </w:pPr>
      <w:r w:rsidRPr="00D41EB8">
        <w:t>Metodyka obliczania wskaźnika koncentracji</w:t>
      </w:r>
    </w:p>
    <w:p w14:paraId="5492DA97" w14:textId="0BA33DD4" w:rsidR="00DD2FB0" w:rsidRPr="00D41EB8" w:rsidRDefault="00DD2FB0" w:rsidP="00D41EB8">
      <w:pPr>
        <w:spacing w:after="120" w:line="276" w:lineRule="auto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Metodyka ma na celu wskazanie sposobu wyliczenia wskaźnika koncentracji niezbędnego dla przeprowadzenia oceny wniosku o dofinasowanie w ramach </w:t>
      </w:r>
      <w:r w:rsidR="00E1621C" w:rsidRPr="00D41EB8">
        <w:rPr>
          <w:rFonts w:ascii="Open Sans Light" w:hAnsi="Open Sans Light" w:cs="Open Sans Light"/>
        </w:rPr>
        <w:t xml:space="preserve">działania FENX.01.03 Gospodarka wodno-ściekowa programu </w:t>
      </w:r>
      <w:proofErr w:type="spellStart"/>
      <w:r w:rsidR="009C3F37" w:rsidRPr="00D41EB8">
        <w:rPr>
          <w:rFonts w:ascii="Open Sans Light" w:hAnsi="Open Sans Light" w:cs="Open Sans Light"/>
        </w:rPr>
        <w:t>FEnIKS</w:t>
      </w:r>
      <w:proofErr w:type="spellEnd"/>
      <w:r w:rsidRPr="00D41EB8">
        <w:rPr>
          <w:rFonts w:ascii="Open Sans Light" w:hAnsi="Open Sans Light" w:cs="Open Sans Light"/>
        </w:rPr>
        <w:t xml:space="preserve"> </w:t>
      </w:r>
      <w:r w:rsidR="003D0ADC" w:rsidRPr="00D41EB8">
        <w:rPr>
          <w:rFonts w:ascii="Open Sans Light" w:hAnsi="Open Sans Light" w:cs="Open Sans Light"/>
        </w:rPr>
        <w:t>dla projektów, w </w:t>
      </w:r>
      <w:r w:rsidRPr="00D41EB8">
        <w:rPr>
          <w:rFonts w:ascii="Open Sans Light" w:hAnsi="Open Sans Light" w:cs="Open Sans Light"/>
        </w:rPr>
        <w:t xml:space="preserve">ramach których budowana będzie sieć kanalizacji sanitarnej. </w:t>
      </w:r>
    </w:p>
    <w:p w14:paraId="11E118E2" w14:textId="10879C53" w:rsidR="00DA4BEC" w:rsidRPr="00D41EB8" w:rsidRDefault="00DA4BEC" w:rsidP="00D41EB8">
      <w:pPr>
        <w:spacing w:after="120" w:line="276" w:lineRule="auto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>Wartości przyjęte do wyliczenia wskaźnika koncentracji musz</w:t>
      </w:r>
      <w:r w:rsidR="007B41D9" w:rsidRPr="00D41EB8">
        <w:rPr>
          <w:rFonts w:ascii="Open Sans Light" w:hAnsi="Open Sans Light" w:cs="Open Sans Light"/>
        </w:rPr>
        <w:t>ą</w:t>
      </w:r>
      <w:r w:rsidRPr="00D41EB8">
        <w:rPr>
          <w:rFonts w:ascii="Open Sans Light" w:hAnsi="Open Sans Light" w:cs="Open Sans Light"/>
        </w:rPr>
        <w:t xml:space="preserve"> być powiązane z wartością wskaźnika produktu „Długość wybudowanej sieci kanalizacyjnej” oraz wskaźnika rezultatu „Ludność podłączona do wybudowanej lub zmodernizowanej zbiorczej kanalizacji sanitarnej</w:t>
      </w:r>
      <w:r w:rsidR="00180126">
        <w:rPr>
          <w:rFonts w:ascii="Open Sans Light" w:hAnsi="Open Sans Light" w:cs="Open Sans Light"/>
        </w:rPr>
        <w:t>”</w:t>
      </w:r>
      <w:r w:rsidRPr="00D41EB8">
        <w:rPr>
          <w:rFonts w:ascii="Open Sans Light" w:hAnsi="Open Sans Light" w:cs="Open Sans Light"/>
        </w:rPr>
        <w:t xml:space="preserve"> w sposób opisany w poniższych punktach. </w:t>
      </w:r>
    </w:p>
    <w:p w14:paraId="34183252" w14:textId="3D84D95F" w:rsidR="00DD2FB0" w:rsidRPr="00D41EB8" w:rsidRDefault="00462AEC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Specyficzne k</w:t>
      </w:r>
      <w:r w:rsidR="00DD2FB0" w:rsidRPr="00D41EB8">
        <w:rPr>
          <w:rFonts w:ascii="Open Sans Light" w:hAnsi="Open Sans Light" w:cs="Open Sans Light"/>
        </w:rPr>
        <w:t xml:space="preserve">ryterium </w:t>
      </w:r>
      <w:r w:rsidR="008E46AF" w:rsidRPr="00D41EB8">
        <w:rPr>
          <w:rFonts w:ascii="Open Sans Light" w:hAnsi="Open Sans Light" w:cs="Open Sans Light"/>
        </w:rPr>
        <w:t>obligatoryjne oceniane zerojedynkowo</w:t>
      </w:r>
      <w:r w:rsidR="00DD2FB0" w:rsidRPr="00D41EB8">
        <w:rPr>
          <w:rFonts w:ascii="Open Sans Light" w:hAnsi="Open Sans Light" w:cs="Open Sans Light"/>
        </w:rPr>
        <w:t xml:space="preserve"> nr </w:t>
      </w:r>
      <w:r w:rsidR="009C3F37" w:rsidRPr="00D41EB8">
        <w:rPr>
          <w:rFonts w:ascii="Open Sans Light" w:hAnsi="Open Sans Light" w:cs="Open Sans Light"/>
        </w:rPr>
        <w:t xml:space="preserve">6 </w:t>
      </w:r>
      <w:r w:rsidR="009C3F37" w:rsidRPr="00D41EB8">
        <w:rPr>
          <w:rFonts w:ascii="Open Sans Light" w:hAnsi="Open Sans Light" w:cs="Open Sans Light"/>
          <w:i/>
        </w:rPr>
        <w:t>Minimalny wskaźnik koncentracji</w:t>
      </w:r>
      <w:r w:rsidR="00DD2FB0" w:rsidRPr="00D41EB8">
        <w:rPr>
          <w:rFonts w:ascii="Open Sans Light" w:hAnsi="Open Sans Light" w:cs="Open Sans Light"/>
        </w:rPr>
        <w:t xml:space="preserve"> brzmi: </w:t>
      </w:r>
    </w:p>
    <w:p w14:paraId="1F4F33DB" w14:textId="77777777" w:rsidR="009C3F37" w:rsidRPr="00D41EB8" w:rsidRDefault="00DD2FB0" w:rsidP="00D41EB8">
      <w:pPr>
        <w:pStyle w:val="Default"/>
        <w:spacing w:after="120" w:line="276" w:lineRule="auto"/>
        <w:ind w:left="284"/>
        <w:rPr>
          <w:rFonts w:ascii="Open Sans Light" w:hAnsi="Open Sans Light" w:cs="Open Sans Light"/>
          <w:i/>
          <w:sz w:val="22"/>
          <w:szCs w:val="22"/>
        </w:rPr>
      </w:pPr>
      <w:r w:rsidRPr="00D41EB8">
        <w:rPr>
          <w:rFonts w:ascii="Open Sans Light" w:hAnsi="Open Sans Light" w:cs="Open Sans Light"/>
          <w:i/>
          <w:sz w:val="22"/>
          <w:szCs w:val="22"/>
        </w:rPr>
        <w:t>„</w:t>
      </w:r>
      <w:r w:rsidR="009C3F37" w:rsidRPr="00D41EB8">
        <w:rPr>
          <w:rFonts w:ascii="Open Sans Light" w:hAnsi="Open Sans Light" w:cs="Open Sans Light"/>
          <w:i/>
          <w:sz w:val="22"/>
          <w:szCs w:val="22"/>
        </w:rPr>
        <w:t xml:space="preserve">Planowana do budowy sieć kanalizacji sanitarnej w ramach projektu z doprowadzeniem do oczyszczalni ścieków powinna być uzasadniona ekonomicznie i technicznie, przy czym wyliczony dla projektu wskaźnik koncentracji nie może być mniejszy niż </w:t>
      </w:r>
      <w:r w:rsidR="009C3F37" w:rsidRPr="00D41EB8">
        <w:rPr>
          <w:rFonts w:ascii="Open Sans Light" w:hAnsi="Open Sans Light" w:cs="Open Sans Light"/>
          <w:b/>
          <w:bCs/>
          <w:i/>
          <w:sz w:val="22"/>
          <w:szCs w:val="22"/>
        </w:rPr>
        <w:t xml:space="preserve">120 </w:t>
      </w:r>
      <w:r w:rsidR="009C3F37" w:rsidRPr="00D41EB8">
        <w:rPr>
          <w:rFonts w:ascii="Open Sans Light" w:hAnsi="Open Sans Light" w:cs="Open Sans Light"/>
          <w:i/>
          <w:sz w:val="22"/>
          <w:szCs w:val="22"/>
        </w:rPr>
        <w:t xml:space="preserve">stałych mieszkańców aglomeracji i osób czasowo przebywających w aglomeracji na 1 km planowanej do budowy sieci kanalizacyjnej. </w:t>
      </w:r>
    </w:p>
    <w:p w14:paraId="3C8517A6" w14:textId="77777777" w:rsidR="009C3F37" w:rsidRPr="00D41EB8" w:rsidRDefault="009C3F37" w:rsidP="00D41EB8">
      <w:pPr>
        <w:autoSpaceDE w:val="0"/>
        <w:autoSpaceDN w:val="0"/>
        <w:adjustRightInd w:val="0"/>
        <w:spacing w:after="120" w:line="276" w:lineRule="auto"/>
        <w:ind w:left="284"/>
        <w:rPr>
          <w:rFonts w:ascii="Open Sans Light" w:hAnsi="Open Sans Light" w:cs="Open Sans Light"/>
          <w:i/>
          <w:color w:val="000000"/>
        </w:rPr>
      </w:pPr>
      <w:r w:rsidRPr="00D41EB8">
        <w:rPr>
          <w:rFonts w:ascii="Open Sans Light" w:hAnsi="Open Sans Light" w:cs="Open Sans Light"/>
          <w:i/>
          <w:color w:val="000000"/>
        </w:rPr>
        <w:t xml:space="preserve">W uzasadnionych przypadkach wyliczony dla projektu wskaźnik koncentracji nie może być mniejszy niż </w:t>
      </w:r>
      <w:r w:rsidRPr="00D41EB8">
        <w:rPr>
          <w:rFonts w:ascii="Open Sans Light" w:hAnsi="Open Sans Light" w:cs="Open Sans Light"/>
          <w:b/>
          <w:bCs/>
          <w:i/>
          <w:color w:val="000000"/>
        </w:rPr>
        <w:t xml:space="preserve">90 </w:t>
      </w:r>
      <w:r w:rsidRPr="00D41EB8">
        <w:rPr>
          <w:rFonts w:ascii="Open Sans Light" w:hAnsi="Open Sans Light" w:cs="Open Sans Light"/>
          <w:i/>
          <w:color w:val="000000"/>
        </w:rPr>
        <w:t xml:space="preserve">stałych mieszkańców aglomeracji i osób czasowo przebywających w aglomeracji na 1 km planowanej do budowy sieci kanalizacyjnej. </w:t>
      </w:r>
    </w:p>
    <w:p w14:paraId="58E912E5" w14:textId="77777777" w:rsidR="009C3F37" w:rsidRPr="00D41EB8" w:rsidRDefault="009C3F37" w:rsidP="00D41EB8">
      <w:pPr>
        <w:pStyle w:val="Default"/>
        <w:spacing w:after="120" w:line="276" w:lineRule="auto"/>
        <w:ind w:left="284"/>
        <w:rPr>
          <w:rFonts w:ascii="Open Sans Light" w:hAnsi="Open Sans Light" w:cs="Open Sans Light"/>
          <w:i/>
          <w:sz w:val="22"/>
          <w:szCs w:val="22"/>
        </w:rPr>
      </w:pPr>
      <w:r w:rsidRPr="00D41EB8">
        <w:rPr>
          <w:rFonts w:ascii="Open Sans Light" w:hAnsi="Open Sans Light" w:cs="Open Sans Light"/>
          <w:i/>
          <w:sz w:val="22"/>
          <w:szCs w:val="22"/>
        </w:rPr>
        <w:t xml:space="preserve">Minimalny wskaźnik koncentracji dotyczący </w:t>
      </w:r>
      <w:r w:rsidRPr="00D41EB8">
        <w:rPr>
          <w:rFonts w:ascii="Open Sans Light" w:hAnsi="Open Sans Light" w:cs="Open Sans Light"/>
          <w:b/>
          <w:bCs/>
          <w:i/>
          <w:sz w:val="22"/>
          <w:szCs w:val="22"/>
        </w:rPr>
        <w:t xml:space="preserve">planowanej do budowy </w:t>
      </w:r>
      <w:r w:rsidRPr="00D41EB8">
        <w:rPr>
          <w:rFonts w:ascii="Open Sans Light" w:hAnsi="Open Sans Light" w:cs="Open Sans Light"/>
          <w:i/>
          <w:sz w:val="22"/>
          <w:szCs w:val="22"/>
        </w:rPr>
        <w:t>w ramach projektu sieci kanalizacji sanitarnej wynika bezpośrednio z zapisów rozporządzenia Ministra Gospodarki Morskiej i Żeglugi Śródlądowej z dnia 27 lipca 2018 r</w:t>
      </w:r>
      <w:r w:rsidRPr="00D41EB8">
        <w:rPr>
          <w:rFonts w:ascii="Open Sans Light" w:hAnsi="Open Sans Light" w:cs="Open Sans Light"/>
          <w:i/>
          <w:iCs/>
          <w:sz w:val="22"/>
          <w:szCs w:val="22"/>
        </w:rPr>
        <w:t xml:space="preserve">. w sprawie sposobu wyznaczania obszarów i granic aglomeracji </w:t>
      </w:r>
      <w:r w:rsidRPr="00D41EB8">
        <w:rPr>
          <w:rFonts w:ascii="Open Sans Light" w:hAnsi="Open Sans Light" w:cs="Open Sans Light"/>
          <w:i/>
          <w:sz w:val="22"/>
          <w:szCs w:val="22"/>
        </w:rPr>
        <w:t xml:space="preserve">(§3 ust.4 i 5 rozporządzenia). </w:t>
      </w:r>
    </w:p>
    <w:p w14:paraId="0086C1FF" w14:textId="77777777" w:rsidR="009C3F37" w:rsidRPr="00D41EB8" w:rsidRDefault="009C3F37" w:rsidP="00D41EB8">
      <w:pPr>
        <w:pStyle w:val="Default"/>
        <w:spacing w:after="120" w:line="276" w:lineRule="auto"/>
        <w:ind w:left="284"/>
        <w:rPr>
          <w:rFonts w:ascii="Open Sans Light" w:hAnsi="Open Sans Light" w:cs="Open Sans Light"/>
          <w:i/>
          <w:sz w:val="22"/>
          <w:szCs w:val="22"/>
        </w:rPr>
      </w:pPr>
      <w:r w:rsidRPr="00D41EB8">
        <w:rPr>
          <w:rFonts w:ascii="Open Sans Light" w:hAnsi="Open Sans Light" w:cs="Open Sans Light"/>
          <w:i/>
          <w:sz w:val="22"/>
          <w:szCs w:val="22"/>
        </w:rPr>
        <w:t xml:space="preserve">Szczegółowe zasady dotyczące weryfikacji ww. wskaźnika określone zostaną w regulaminie wyboru projektów. </w:t>
      </w:r>
    </w:p>
    <w:p w14:paraId="4CCD0F34" w14:textId="77777777" w:rsidR="00DD2FB0" w:rsidRPr="00D41EB8" w:rsidRDefault="009C3F37" w:rsidP="00D41EB8">
      <w:pPr>
        <w:spacing w:after="120" w:line="276" w:lineRule="auto"/>
        <w:ind w:left="284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  <w:i/>
          <w:color w:val="000000"/>
        </w:rPr>
        <w:t>Kryterium stosowane jest wyłącznie w przypadku projektów, których zakres przewiduje budowę nowej sieci kanalizacyjnej</w:t>
      </w:r>
      <w:r w:rsidR="008E46AF" w:rsidRPr="00D41EB8">
        <w:rPr>
          <w:rFonts w:ascii="Open Sans Light" w:hAnsi="Open Sans Light" w:cs="Open Sans Light"/>
          <w:color w:val="000000"/>
        </w:rPr>
        <w:t>”.</w:t>
      </w:r>
    </w:p>
    <w:p w14:paraId="587FA039" w14:textId="576E8E58" w:rsidR="007D3D60" w:rsidRPr="00D41EB8" w:rsidRDefault="006C5E31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Style w:val="markedcontent"/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Sposób wyliczenia </w:t>
      </w:r>
      <w:r w:rsidR="000D529D" w:rsidRPr="00D41EB8">
        <w:rPr>
          <w:rFonts w:ascii="Open Sans Light" w:hAnsi="Open Sans Light" w:cs="Open Sans Light"/>
        </w:rPr>
        <w:t>wskaźnika wynika</w:t>
      </w:r>
      <w:r w:rsidR="000D529D" w:rsidRPr="00D41EB8">
        <w:rPr>
          <w:rFonts w:ascii="Open Sans Light" w:hAnsi="Open Sans Light" w:cs="Open Sans Light"/>
          <w:i/>
          <w:color w:val="000000"/>
        </w:rPr>
        <w:t xml:space="preserve"> </w:t>
      </w:r>
      <w:r w:rsidR="000D529D" w:rsidRPr="00D41EB8">
        <w:rPr>
          <w:rFonts w:ascii="Open Sans Light" w:hAnsi="Open Sans Light" w:cs="Open Sans Light"/>
        </w:rPr>
        <w:t xml:space="preserve">bezpośrednio z zapisów rozporządzenia Ministra Gospodarki Morskiej i Żeglugi Śródlądowej z dnia 27 lipca 2018 r. </w:t>
      </w:r>
      <w:r w:rsidR="000D529D" w:rsidRPr="00D41EB8">
        <w:rPr>
          <w:rFonts w:ascii="Open Sans Light" w:hAnsi="Open Sans Light" w:cs="Open Sans Light"/>
          <w:i/>
        </w:rPr>
        <w:t xml:space="preserve">w sprawie sposobu wyznaczania obszarów i granic aglomeracji </w:t>
      </w:r>
      <w:r w:rsidR="000D529D" w:rsidRPr="00D41EB8">
        <w:rPr>
          <w:rFonts w:ascii="Open Sans Light" w:hAnsi="Open Sans Light" w:cs="Open Sans Light"/>
        </w:rPr>
        <w:t>(§3 ust.</w:t>
      </w:r>
      <w:r w:rsidRPr="00D41EB8">
        <w:rPr>
          <w:rFonts w:ascii="Open Sans Light" w:hAnsi="Open Sans Light" w:cs="Open Sans Light"/>
        </w:rPr>
        <w:t xml:space="preserve"> </w:t>
      </w:r>
      <w:r w:rsidR="000D529D" w:rsidRPr="00D41EB8">
        <w:rPr>
          <w:rFonts w:ascii="Open Sans Light" w:hAnsi="Open Sans Light" w:cs="Open Sans Light"/>
        </w:rPr>
        <w:t xml:space="preserve">4 i 5 rozporządzenia). Zgodnie z </w:t>
      </w:r>
      <w:r w:rsidRPr="00D41EB8">
        <w:rPr>
          <w:rFonts w:ascii="Open Sans Light" w:hAnsi="Open Sans Light" w:cs="Open Sans Light"/>
        </w:rPr>
        <w:t>tym,</w:t>
      </w:r>
      <w:r w:rsidR="000D529D" w:rsidRPr="00D41EB8">
        <w:rPr>
          <w:rFonts w:ascii="Open Sans Light" w:hAnsi="Open Sans Light" w:cs="Open Sans Light"/>
        </w:rPr>
        <w:t xml:space="preserve"> przez </w:t>
      </w:r>
      <w:r w:rsidR="000D529D" w:rsidRPr="00D41EB8">
        <w:rPr>
          <w:rStyle w:val="markedcontent"/>
          <w:rFonts w:ascii="Open Sans Light" w:hAnsi="Open Sans Light" w:cs="Open Sans Light"/>
        </w:rPr>
        <w:t>wskaźnik koncentracji rozumie się stos</w:t>
      </w:r>
      <w:r w:rsidR="008E46AF" w:rsidRPr="00D41EB8">
        <w:rPr>
          <w:rStyle w:val="markedcontent"/>
          <w:rFonts w:ascii="Open Sans Light" w:hAnsi="Open Sans Light" w:cs="Open Sans Light"/>
        </w:rPr>
        <w:t xml:space="preserve">unek liczby stałych mieszkańców </w:t>
      </w:r>
      <w:r w:rsidR="000D529D" w:rsidRPr="00D41EB8">
        <w:rPr>
          <w:rStyle w:val="markedcontent"/>
          <w:rFonts w:ascii="Open Sans Light" w:hAnsi="Open Sans Light" w:cs="Open Sans Light"/>
        </w:rPr>
        <w:t xml:space="preserve">aglomeracji </w:t>
      </w:r>
      <w:r w:rsidR="000D529D" w:rsidRPr="00D41EB8">
        <w:rPr>
          <w:rStyle w:val="markedcontent"/>
          <w:rFonts w:ascii="Open Sans Light" w:hAnsi="Open Sans Light" w:cs="Open Sans Light"/>
        </w:rPr>
        <w:lastRenderedPageBreak/>
        <w:t>i osób czasowo</w:t>
      </w:r>
      <w:r w:rsidR="008E46AF" w:rsidRPr="00D41EB8">
        <w:rPr>
          <w:rStyle w:val="markedcontent"/>
          <w:rFonts w:ascii="Open Sans Light" w:hAnsi="Open Sans Light" w:cs="Open Sans Light"/>
        </w:rPr>
        <w:t xml:space="preserve"> </w:t>
      </w:r>
      <w:r w:rsidR="000D529D" w:rsidRPr="00D41EB8">
        <w:rPr>
          <w:rStyle w:val="markedcontent"/>
          <w:rFonts w:ascii="Open Sans Light" w:hAnsi="Open Sans Light" w:cs="Open Sans Light"/>
        </w:rPr>
        <w:t>przebywających w aglomeracji</w:t>
      </w:r>
      <w:r w:rsidRPr="00D41EB8">
        <w:rPr>
          <w:rStyle w:val="markedcontent"/>
          <w:rFonts w:ascii="Open Sans Light" w:hAnsi="Open Sans Light" w:cs="Open Sans Light"/>
        </w:rPr>
        <w:t>,</w:t>
      </w:r>
      <w:r w:rsidR="000D529D" w:rsidRPr="00D41EB8">
        <w:rPr>
          <w:rStyle w:val="markedcontent"/>
          <w:rFonts w:ascii="Open Sans Light" w:hAnsi="Open Sans Light" w:cs="Open Sans Light"/>
        </w:rPr>
        <w:t xml:space="preserve"> przewidywan</w:t>
      </w:r>
      <w:r w:rsidRPr="00D41EB8">
        <w:rPr>
          <w:rStyle w:val="markedcontent"/>
          <w:rFonts w:ascii="Open Sans Light" w:hAnsi="Open Sans Light" w:cs="Open Sans Light"/>
        </w:rPr>
        <w:t>ych</w:t>
      </w:r>
      <w:r w:rsidR="000D529D" w:rsidRPr="00D41EB8">
        <w:rPr>
          <w:rStyle w:val="markedcontent"/>
          <w:rFonts w:ascii="Open Sans Light" w:hAnsi="Open Sans Light" w:cs="Open Sans Light"/>
        </w:rPr>
        <w:t xml:space="preserve"> do obsługi przez planowaną do budowy sieć kanalizacyjną</w:t>
      </w:r>
      <w:r w:rsidRPr="00D41EB8">
        <w:rPr>
          <w:rStyle w:val="markedcontent"/>
          <w:rFonts w:ascii="Open Sans Light" w:hAnsi="Open Sans Light" w:cs="Open Sans Light"/>
        </w:rPr>
        <w:t>,</w:t>
      </w:r>
      <w:r w:rsidR="000D529D" w:rsidRPr="00D41EB8">
        <w:rPr>
          <w:rStyle w:val="markedcontent"/>
          <w:rFonts w:ascii="Open Sans Light" w:hAnsi="Open Sans Light" w:cs="Open Sans Light"/>
        </w:rPr>
        <w:t xml:space="preserve"> do długości</w:t>
      </w:r>
      <w:r w:rsidR="000D529D" w:rsidRPr="00D41EB8">
        <w:rPr>
          <w:rFonts w:ascii="Open Sans Light" w:hAnsi="Open Sans Light" w:cs="Open Sans Light"/>
        </w:rPr>
        <w:t xml:space="preserve"> </w:t>
      </w:r>
      <w:r w:rsidR="000D529D" w:rsidRPr="00D41EB8">
        <w:rPr>
          <w:rStyle w:val="markedcontent"/>
          <w:rFonts w:ascii="Open Sans Light" w:hAnsi="Open Sans Light" w:cs="Open Sans Light"/>
        </w:rPr>
        <w:t>tej sieci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. </w:t>
      </w:r>
    </w:p>
    <w:p w14:paraId="15A9B642" w14:textId="266ECC1B" w:rsidR="007D3D60" w:rsidRPr="00D41EB8" w:rsidRDefault="0059403C" w:rsidP="00D41EB8">
      <w:pPr>
        <w:spacing w:after="120" w:line="276" w:lineRule="auto"/>
        <w:ind w:left="284"/>
        <w:rPr>
          <w:rStyle w:val="markedcontent"/>
          <w:rFonts w:ascii="Open Sans Light" w:hAnsi="Open Sans Light" w:cs="Open Sans Light"/>
        </w:rPr>
      </w:pPr>
      <w:r w:rsidRPr="00D41EB8">
        <w:rPr>
          <w:rStyle w:val="markedcontent"/>
          <w:rFonts w:ascii="Open Sans Light" w:hAnsi="Open Sans Light" w:cs="Open Sans Light"/>
        </w:rPr>
        <w:t>Reasumując,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 do wyliczenia wskaźnika </w:t>
      </w:r>
      <w:r w:rsidR="008E46AF" w:rsidRPr="00D41EB8">
        <w:rPr>
          <w:rStyle w:val="markedcontent"/>
          <w:rFonts w:ascii="Open Sans Light" w:hAnsi="Open Sans Light" w:cs="Open Sans Light"/>
        </w:rPr>
        <w:t>należy wziąć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 tylko</w:t>
      </w:r>
      <w:r w:rsidR="008E46AF" w:rsidRPr="00D41EB8">
        <w:rPr>
          <w:rStyle w:val="markedcontent"/>
          <w:rFonts w:ascii="Open Sans Light" w:hAnsi="Open Sans Light" w:cs="Open Sans Light"/>
        </w:rPr>
        <w:t xml:space="preserve"> liczbę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 stałych mieszkańców i</w:t>
      </w:r>
      <w:r w:rsidR="00EE39A7">
        <w:rPr>
          <w:rStyle w:val="markedcontent"/>
          <w:rFonts w:ascii="Open Sans Light" w:hAnsi="Open Sans Light" w:cs="Open Sans Light"/>
        </w:rPr>
        <w:t> </w:t>
      </w:r>
      <w:r w:rsidR="008E46AF" w:rsidRPr="00D41EB8">
        <w:rPr>
          <w:rStyle w:val="markedcontent"/>
          <w:rFonts w:ascii="Open Sans Light" w:hAnsi="Open Sans Light" w:cs="Open Sans Light"/>
        </w:rPr>
        <w:t xml:space="preserve">liczbę </w:t>
      </w:r>
      <w:r w:rsidR="008774CE" w:rsidRPr="00D41EB8">
        <w:rPr>
          <w:rStyle w:val="markedcontent"/>
          <w:rFonts w:ascii="Open Sans Light" w:hAnsi="Open Sans Light" w:cs="Open Sans Light"/>
        </w:rPr>
        <w:t>osób czasowo przebywających, którzy zostaną użytkownikami sieci budowanej w</w:t>
      </w:r>
      <w:r w:rsidR="00EE39A7">
        <w:rPr>
          <w:rStyle w:val="markedcontent"/>
          <w:rFonts w:ascii="Open Sans Light" w:hAnsi="Open Sans Light" w:cs="Open Sans Light"/>
        </w:rPr>
        <w:t> 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ramach projektu. Wartość tę </w:t>
      </w:r>
      <w:r w:rsidR="008E46AF" w:rsidRPr="00D41EB8">
        <w:rPr>
          <w:rStyle w:val="markedcontent"/>
          <w:rFonts w:ascii="Open Sans Light" w:hAnsi="Open Sans Light" w:cs="Open Sans Light"/>
        </w:rPr>
        <w:t>należy odnieść</w:t>
      </w:r>
      <w:r w:rsidR="008774CE" w:rsidRPr="00D41EB8">
        <w:rPr>
          <w:rStyle w:val="markedcontent"/>
          <w:rFonts w:ascii="Open Sans Light" w:hAnsi="Open Sans Light" w:cs="Open Sans Light"/>
        </w:rPr>
        <w:t xml:space="preserve"> do długości sieci budowanej w ramach projektu</w:t>
      </w:r>
      <w:r w:rsidR="007D3D60" w:rsidRPr="00D41EB8">
        <w:rPr>
          <w:rStyle w:val="markedcontent"/>
          <w:rFonts w:ascii="Open Sans Light" w:hAnsi="Open Sans Light" w:cs="Open Sans Light"/>
        </w:rPr>
        <w:t>.</w:t>
      </w:r>
      <w:r w:rsidR="00194CFC" w:rsidRPr="00D41EB8">
        <w:rPr>
          <w:rStyle w:val="markedcontent"/>
          <w:rFonts w:ascii="Open Sans Light" w:hAnsi="Open Sans Light" w:cs="Open Sans Light"/>
        </w:rPr>
        <w:t xml:space="preserve"> </w:t>
      </w:r>
    </w:p>
    <w:p w14:paraId="6667434C" w14:textId="195DB49E" w:rsidR="000D529D" w:rsidRPr="00D41EB8" w:rsidRDefault="00194CFC" w:rsidP="00D41EB8">
      <w:pPr>
        <w:spacing w:after="120" w:line="276" w:lineRule="auto"/>
        <w:ind w:left="284"/>
        <w:rPr>
          <w:rStyle w:val="markedcontent"/>
          <w:rFonts w:ascii="Open Sans Light" w:hAnsi="Open Sans Light" w:cs="Open Sans Light"/>
        </w:rPr>
      </w:pPr>
      <w:r w:rsidRPr="00D41EB8">
        <w:rPr>
          <w:rStyle w:val="markedcontent"/>
          <w:rFonts w:ascii="Open Sans Light" w:hAnsi="Open Sans Light" w:cs="Open Sans Light"/>
        </w:rPr>
        <w:t>Liczba osób uwzględniona do wyliczenia wartości wskaźnika koncentracji powinna stanowić wartoś</w:t>
      </w:r>
      <w:r w:rsidR="007D3D60" w:rsidRPr="00D41EB8">
        <w:rPr>
          <w:rStyle w:val="markedcontent"/>
          <w:rFonts w:ascii="Open Sans Light" w:hAnsi="Open Sans Light" w:cs="Open Sans Light"/>
        </w:rPr>
        <w:t>ć</w:t>
      </w:r>
      <w:r w:rsidRPr="00D41EB8">
        <w:rPr>
          <w:rStyle w:val="markedcontent"/>
          <w:rFonts w:ascii="Open Sans Light" w:hAnsi="Open Sans Light" w:cs="Open Sans Light"/>
        </w:rPr>
        <w:t xml:space="preserve"> wskaźnika rezultatu</w:t>
      </w:r>
      <w:r w:rsidR="002459D4" w:rsidRPr="00D41EB8">
        <w:rPr>
          <w:rStyle w:val="markedcontent"/>
          <w:rFonts w:ascii="Open Sans Light" w:hAnsi="Open Sans Light" w:cs="Open Sans Light"/>
        </w:rPr>
        <w:t xml:space="preserve"> „</w:t>
      </w:r>
      <w:r w:rsidR="002459D4" w:rsidRPr="00D41EB8">
        <w:rPr>
          <w:rFonts w:ascii="Open Sans Light" w:hAnsi="Open Sans Light" w:cs="Open Sans Light"/>
        </w:rPr>
        <w:t>Ludność podłączona do wybudowanej lub zmodernizowanej zbiorczej kanalizacji sanitarnej”</w:t>
      </w:r>
      <w:r w:rsidR="00447203">
        <w:rPr>
          <w:rFonts w:ascii="Open Sans Light" w:hAnsi="Open Sans Light" w:cs="Open Sans Light"/>
        </w:rPr>
        <w:t>.</w:t>
      </w:r>
      <w:r w:rsidR="002459D4" w:rsidRPr="00D41EB8">
        <w:rPr>
          <w:rFonts w:ascii="Open Sans Light" w:hAnsi="Open Sans Light" w:cs="Open Sans Light"/>
        </w:rPr>
        <w:t>.</w:t>
      </w:r>
    </w:p>
    <w:p w14:paraId="228DA96E" w14:textId="77777777" w:rsidR="008774CE" w:rsidRPr="00D41EB8" w:rsidRDefault="008774CE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Wartość wskaźnika </w:t>
      </w:r>
      <w:r w:rsidR="008E46AF" w:rsidRPr="00D41EB8">
        <w:rPr>
          <w:rFonts w:ascii="Open Sans Light" w:hAnsi="Open Sans Light" w:cs="Open Sans Light"/>
        </w:rPr>
        <w:t xml:space="preserve">należy wyliczyć </w:t>
      </w:r>
      <w:r w:rsidRPr="00D41EB8">
        <w:rPr>
          <w:rFonts w:ascii="Open Sans Light" w:hAnsi="Open Sans Light" w:cs="Open Sans Light"/>
        </w:rPr>
        <w:t xml:space="preserve">dla całego wnioskowanego zakresu projektu łącznie. </w:t>
      </w:r>
    </w:p>
    <w:p w14:paraId="2FA9AD3D" w14:textId="6FDD79AB" w:rsidR="008E46AF" w:rsidRPr="00D41EB8" w:rsidRDefault="008774CE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Wyjątkiem od zapisu pkt </w:t>
      </w:r>
      <w:r w:rsidR="00C20C71" w:rsidRPr="00D41EB8">
        <w:rPr>
          <w:rFonts w:ascii="Open Sans Light" w:hAnsi="Open Sans Light" w:cs="Open Sans Light"/>
        </w:rPr>
        <w:t xml:space="preserve">3 </w:t>
      </w:r>
      <w:r w:rsidR="007D3D60" w:rsidRPr="00D41EB8">
        <w:rPr>
          <w:rFonts w:ascii="Open Sans Light" w:hAnsi="Open Sans Light" w:cs="Open Sans Light"/>
        </w:rPr>
        <w:t xml:space="preserve">może być </w:t>
      </w:r>
      <w:r w:rsidRPr="00D41EB8">
        <w:rPr>
          <w:rFonts w:ascii="Open Sans Light" w:hAnsi="Open Sans Light" w:cs="Open Sans Light"/>
        </w:rPr>
        <w:t xml:space="preserve">sytuacja, gdy </w:t>
      </w:r>
      <w:r w:rsidR="008E46AF" w:rsidRPr="00D41EB8">
        <w:rPr>
          <w:rFonts w:ascii="Open Sans Light" w:hAnsi="Open Sans Light" w:cs="Open Sans Light"/>
        </w:rPr>
        <w:t xml:space="preserve">zakres projektu lub jego część realizowany jest na obszarze aglomeracji, która została wyznaczona na podstawie § 3 ust. 5 rozporządzenia Ministra Środowiska </w:t>
      </w:r>
      <w:r w:rsidR="008E46AF" w:rsidRPr="00D41EB8">
        <w:rPr>
          <w:rFonts w:ascii="Open Sans Light" w:hAnsi="Open Sans Light" w:cs="Open Sans Light"/>
          <w:i/>
        </w:rPr>
        <w:t>w sprawie sposobu wyznaczania obszaru i granic aglomeracji</w:t>
      </w:r>
      <w:r w:rsidR="008E46AF" w:rsidRPr="00D41EB8">
        <w:rPr>
          <w:rFonts w:ascii="Open Sans Light" w:hAnsi="Open Sans Light" w:cs="Open Sans Light"/>
        </w:rPr>
        <w:t xml:space="preserve">. </w:t>
      </w:r>
      <w:r w:rsidRPr="00D41EB8">
        <w:rPr>
          <w:rFonts w:ascii="Open Sans Light" w:hAnsi="Open Sans Light" w:cs="Open Sans Light"/>
        </w:rPr>
        <w:t xml:space="preserve">Wówczas wskaźnik </w:t>
      </w:r>
      <w:r w:rsidR="008E46AF" w:rsidRPr="00D41EB8">
        <w:rPr>
          <w:rFonts w:ascii="Open Sans Light" w:hAnsi="Open Sans Light" w:cs="Open Sans Light"/>
        </w:rPr>
        <w:t>należy wyliczyć</w:t>
      </w:r>
      <w:r w:rsidRPr="00D41EB8">
        <w:rPr>
          <w:rFonts w:ascii="Open Sans Light" w:hAnsi="Open Sans Light" w:cs="Open Sans Light"/>
        </w:rPr>
        <w:t xml:space="preserve"> oddzielne dla obszaru</w:t>
      </w:r>
      <w:r w:rsidR="008E46AF" w:rsidRPr="00D41EB8">
        <w:rPr>
          <w:rFonts w:ascii="Open Sans Light" w:hAnsi="Open Sans Light" w:cs="Open Sans Light"/>
        </w:rPr>
        <w:t xml:space="preserve"> aglomeracji wyznaczonego na podstawie § 3 ust. 5 ww. rozporządzenia </w:t>
      </w:r>
      <w:r w:rsidR="007D3D60" w:rsidRPr="00D41EB8">
        <w:rPr>
          <w:rFonts w:ascii="Open Sans Light" w:hAnsi="Open Sans Light" w:cs="Open Sans Light"/>
        </w:rPr>
        <w:t>-</w:t>
      </w:r>
      <w:r w:rsidR="008E46AF" w:rsidRPr="00D41EB8">
        <w:rPr>
          <w:rFonts w:ascii="Open Sans Light" w:hAnsi="Open Sans Light" w:cs="Open Sans Light"/>
        </w:rPr>
        <w:t xml:space="preserve"> wówczas jego minimalna wartość może wynieść 90 osób / 1 km budowanej sieci</w:t>
      </w:r>
      <w:r w:rsidR="007D3D60" w:rsidRPr="00D41EB8">
        <w:rPr>
          <w:rFonts w:ascii="Open Sans Light" w:hAnsi="Open Sans Light" w:cs="Open Sans Light"/>
        </w:rPr>
        <w:t xml:space="preserve"> -</w:t>
      </w:r>
      <w:r w:rsidR="008E46AF" w:rsidRPr="00D41EB8">
        <w:rPr>
          <w:rFonts w:ascii="Open Sans Light" w:hAnsi="Open Sans Light" w:cs="Open Sans Light"/>
        </w:rPr>
        <w:t xml:space="preserve"> i odrębnie dla </w:t>
      </w:r>
      <w:r w:rsidR="008B52F2" w:rsidRPr="00D41EB8">
        <w:rPr>
          <w:rFonts w:ascii="Open Sans Light" w:hAnsi="Open Sans Light" w:cs="Open Sans Light"/>
        </w:rPr>
        <w:t>pozostałego</w:t>
      </w:r>
      <w:r w:rsidR="008E46AF" w:rsidRPr="00D41EB8">
        <w:rPr>
          <w:rFonts w:ascii="Open Sans Light" w:hAnsi="Open Sans Light" w:cs="Open Sans Light"/>
        </w:rPr>
        <w:t xml:space="preserve"> </w:t>
      </w:r>
      <w:r w:rsidR="008B52F2" w:rsidRPr="00D41EB8">
        <w:rPr>
          <w:rFonts w:ascii="Open Sans Light" w:hAnsi="Open Sans Light" w:cs="Open Sans Light"/>
        </w:rPr>
        <w:t>obszaru</w:t>
      </w:r>
      <w:r w:rsidR="008E46AF" w:rsidRPr="00D41EB8">
        <w:rPr>
          <w:rFonts w:ascii="Open Sans Light" w:hAnsi="Open Sans Light" w:cs="Open Sans Light"/>
        </w:rPr>
        <w:t xml:space="preserve"> </w:t>
      </w:r>
      <w:r w:rsidR="008B52F2" w:rsidRPr="00D41EB8">
        <w:rPr>
          <w:rFonts w:ascii="Open Sans Light" w:hAnsi="Open Sans Light" w:cs="Open Sans Light"/>
        </w:rPr>
        <w:t>aglomeracji</w:t>
      </w:r>
      <w:r w:rsidR="008E46AF" w:rsidRPr="00D41EB8">
        <w:rPr>
          <w:rFonts w:ascii="Open Sans Light" w:hAnsi="Open Sans Light" w:cs="Open Sans Light"/>
        </w:rPr>
        <w:t xml:space="preserve">, gdzie minimalna wartość </w:t>
      </w:r>
      <w:r w:rsidR="008B52F2" w:rsidRPr="00D41EB8">
        <w:rPr>
          <w:rFonts w:ascii="Open Sans Light" w:hAnsi="Open Sans Light" w:cs="Open Sans Light"/>
        </w:rPr>
        <w:t>wskaźnika musi wynieść</w:t>
      </w:r>
      <w:r w:rsidR="008E46AF" w:rsidRPr="00D41EB8">
        <w:rPr>
          <w:rFonts w:ascii="Open Sans Light" w:hAnsi="Open Sans Light" w:cs="Open Sans Light"/>
        </w:rPr>
        <w:t xml:space="preserve"> 120 osób / 1 km budowanej sieci. </w:t>
      </w:r>
    </w:p>
    <w:p w14:paraId="1B67D38E" w14:textId="1E9183DE" w:rsidR="008E46AF" w:rsidRPr="00D41EB8" w:rsidRDefault="008B52F2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W odniesieniu do zapisów pkt </w:t>
      </w:r>
      <w:r w:rsidR="00C20C71" w:rsidRPr="00D41EB8">
        <w:rPr>
          <w:rFonts w:ascii="Open Sans Light" w:hAnsi="Open Sans Light" w:cs="Open Sans Light"/>
        </w:rPr>
        <w:t xml:space="preserve">4 </w:t>
      </w:r>
      <w:r w:rsidRPr="00D41EB8">
        <w:rPr>
          <w:rFonts w:ascii="Open Sans Light" w:hAnsi="Open Sans Light" w:cs="Open Sans Light"/>
        </w:rPr>
        <w:t>dopuszczalne jest wyliczenie wartości wskaźnika koncentracji dla całego zakresu projektu (tj. bez odrębnego szacowania wartości wskaźnika dla obszarów wyznaczonych na podstawie § 3 ust. 5 rozporządzenia Ministra Środowiska w sprawie sposobu wyznaczania obszaru i granic aglomeracji), gdy przyjmuje on wartość nie mniejszą niż 120 osób/km.</w:t>
      </w:r>
    </w:p>
    <w:p w14:paraId="792BB29E" w14:textId="425837F7" w:rsidR="00847E06" w:rsidRPr="00D41EB8" w:rsidRDefault="008774CE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 xml:space="preserve">Do długości sieci należy wliczyć </w:t>
      </w:r>
      <w:r w:rsidR="00847E06" w:rsidRPr="00D41EB8">
        <w:rPr>
          <w:rFonts w:ascii="Open Sans Light" w:hAnsi="Open Sans Light" w:cs="Open Sans Light"/>
        </w:rPr>
        <w:t xml:space="preserve">długość wszystkich odcinków </w:t>
      </w:r>
      <w:r w:rsidR="00A44EB0" w:rsidRPr="00D41EB8">
        <w:rPr>
          <w:rFonts w:ascii="Open Sans Light" w:hAnsi="Open Sans Light" w:cs="Open Sans Light"/>
        </w:rPr>
        <w:t xml:space="preserve">sieci kanalizacyjnej </w:t>
      </w:r>
      <w:r w:rsidR="00847E06" w:rsidRPr="00D41EB8">
        <w:rPr>
          <w:rFonts w:ascii="Open Sans Light" w:hAnsi="Open Sans Light" w:cs="Open Sans Light"/>
        </w:rPr>
        <w:t>budowanych w ramach projektu</w:t>
      </w:r>
      <w:r w:rsidR="00A44EB0" w:rsidRPr="00D41EB8">
        <w:rPr>
          <w:rFonts w:ascii="Open Sans Light" w:hAnsi="Open Sans Light" w:cs="Open Sans Light"/>
        </w:rPr>
        <w:t>.</w:t>
      </w:r>
      <w:r w:rsidR="00DA4BEC" w:rsidRPr="00D41EB8">
        <w:rPr>
          <w:rFonts w:ascii="Open Sans Light" w:hAnsi="Open Sans Light" w:cs="Open Sans Light"/>
        </w:rPr>
        <w:t xml:space="preserve"> Długość ta powinna być spójna z wartością wskaźnika produktu „Długość wybudowanej sieci kanalizacyjnej”</w:t>
      </w:r>
      <w:r w:rsidR="007D3D60" w:rsidRPr="00D41EB8">
        <w:rPr>
          <w:rFonts w:ascii="Open Sans Light" w:hAnsi="Open Sans Light" w:cs="Open Sans Light"/>
        </w:rPr>
        <w:t>,</w:t>
      </w:r>
      <w:r w:rsidR="00DA4BEC" w:rsidRPr="00D41EB8">
        <w:rPr>
          <w:rFonts w:ascii="Open Sans Light" w:hAnsi="Open Sans Light" w:cs="Open Sans Light"/>
        </w:rPr>
        <w:t xml:space="preserve"> z wyjątkiem sytuacji opisanych w</w:t>
      </w:r>
      <w:r w:rsidR="00EE39A7">
        <w:rPr>
          <w:rFonts w:ascii="Open Sans Light" w:hAnsi="Open Sans Light" w:cs="Open Sans Light"/>
        </w:rPr>
        <w:t> </w:t>
      </w:r>
      <w:r w:rsidR="00462AEC" w:rsidRPr="00D41EB8">
        <w:rPr>
          <w:rFonts w:ascii="Open Sans Light" w:hAnsi="Open Sans Light" w:cs="Open Sans Light"/>
        </w:rPr>
        <w:t>p</w:t>
      </w:r>
      <w:r w:rsidR="00462AEC">
        <w:rPr>
          <w:rFonts w:ascii="Open Sans Light" w:hAnsi="Open Sans Light" w:cs="Open Sans Light"/>
        </w:rPr>
        <w:t>kt</w:t>
      </w:r>
      <w:r w:rsidR="00DA4BEC" w:rsidRPr="00D41EB8">
        <w:rPr>
          <w:rFonts w:ascii="Open Sans Light" w:hAnsi="Open Sans Light" w:cs="Open Sans Light"/>
        </w:rPr>
        <w:t xml:space="preserve"> 7.</w:t>
      </w:r>
    </w:p>
    <w:p w14:paraId="76006BD5" w14:textId="126BFCDF" w:rsidR="007D26BA" w:rsidRPr="00D41EB8" w:rsidRDefault="00847E06" w:rsidP="00D41EB8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Open Sans Light" w:hAnsi="Open Sans Light" w:cs="Open Sans Light"/>
        </w:rPr>
      </w:pPr>
      <w:r w:rsidRPr="00D41EB8">
        <w:rPr>
          <w:rFonts w:ascii="Open Sans Light" w:hAnsi="Open Sans Light" w:cs="Open Sans Light"/>
        </w:rPr>
        <w:t>Jeżeli ze względów technicznych dla fragmentów sieci konieczne jest/było równoległe położenie dwóch przewodów (tłocznego i grawitacyjnego), wówczas do wyliczenia wskaźnika koncentracji dopuszcza się uwzględnienie długości tylko jednego przewodu.</w:t>
      </w:r>
    </w:p>
    <w:p w14:paraId="5F066F68" w14:textId="4D67D054" w:rsidR="00405867" w:rsidRPr="00D41EB8" w:rsidRDefault="007D26BA" w:rsidP="00D41EB8">
      <w:pPr>
        <w:pStyle w:val="Akapitzlist"/>
        <w:spacing w:after="120" w:line="276" w:lineRule="auto"/>
        <w:ind w:left="284"/>
        <w:contextualSpacing w:val="0"/>
        <w:rPr>
          <w:rFonts w:ascii="Open Sans Light" w:hAnsi="Open Sans Light" w:cs="Open Sans Light"/>
          <w:highlight w:val="yellow"/>
        </w:rPr>
      </w:pPr>
      <w:r w:rsidRPr="00D41EB8">
        <w:rPr>
          <w:rFonts w:ascii="Open Sans Light" w:hAnsi="Open Sans Light" w:cs="Open Sans Light"/>
        </w:rPr>
        <w:t>W przypadku, gdy w wyniku realizacji projektu nastąpi likwidacja oczyszczalni ścieków oraz wybudowanie odcinka przerzutowego celem doprowadzenia ścieków do innej oczyszczalni spełniającej wymogi prawa lub do końcowego punktu zrzutu (</w:t>
      </w:r>
      <w:r w:rsidR="007D3D60" w:rsidRPr="00D41EB8">
        <w:rPr>
          <w:rFonts w:ascii="Open Sans Light" w:hAnsi="Open Sans Light" w:cs="Open Sans Light"/>
        </w:rPr>
        <w:t xml:space="preserve">przy czym </w:t>
      </w:r>
      <w:r w:rsidRPr="00D41EB8">
        <w:rPr>
          <w:rFonts w:ascii="Open Sans Light" w:hAnsi="Open Sans Light" w:cs="Open Sans Light"/>
        </w:rPr>
        <w:t>zasadność tego rozwiązania została potwierdzona w przeprowadzonej analizie opcji</w:t>
      </w:r>
      <w:r w:rsidR="007D3D60" w:rsidRPr="00D41EB8">
        <w:rPr>
          <w:rFonts w:ascii="Open Sans Light" w:hAnsi="Open Sans Light" w:cs="Open Sans Light"/>
        </w:rPr>
        <w:t>,</w:t>
      </w:r>
      <w:r w:rsidRPr="00D41EB8">
        <w:rPr>
          <w:rFonts w:ascii="Open Sans Light" w:hAnsi="Open Sans Light" w:cs="Open Sans Light"/>
        </w:rPr>
        <w:t xml:space="preserve"> polegającej na porównaniu wariantu przerzutu ścieków i na przykład modernizacji istniejącej, nie spełniającej wymogów prawa</w:t>
      </w:r>
      <w:r w:rsidR="007D3D60" w:rsidRPr="00D41EB8">
        <w:rPr>
          <w:rFonts w:ascii="Open Sans Light" w:hAnsi="Open Sans Light" w:cs="Open Sans Light"/>
        </w:rPr>
        <w:t>,</w:t>
      </w:r>
      <w:r w:rsidRPr="00D41EB8">
        <w:rPr>
          <w:rFonts w:ascii="Open Sans Light" w:hAnsi="Open Sans Light" w:cs="Open Sans Light"/>
        </w:rPr>
        <w:t xml:space="preserve"> oczyszczalni) – długości wybudowanego </w:t>
      </w:r>
      <w:r w:rsidRPr="00D41EB8">
        <w:rPr>
          <w:rFonts w:ascii="Open Sans Light" w:hAnsi="Open Sans Light" w:cs="Open Sans Light"/>
        </w:rPr>
        <w:lastRenderedPageBreak/>
        <w:t>odcinka przerzutowego nie należy wliczać do długości budowanej sieci</w:t>
      </w:r>
      <w:r w:rsidR="007D3D60" w:rsidRPr="00D41EB8">
        <w:rPr>
          <w:rFonts w:ascii="Open Sans Light" w:hAnsi="Open Sans Light" w:cs="Open Sans Light"/>
        </w:rPr>
        <w:t>,</w:t>
      </w:r>
      <w:r w:rsidRPr="00D41EB8">
        <w:rPr>
          <w:rFonts w:ascii="Open Sans Light" w:hAnsi="Open Sans Light" w:cs="Open Sans Light"/>
        </w:rPr>
        <w:t xml:space="preserve"> uwzględnianej przy wyliczaniu wskaźnika koncentracji.</w:t>
      </w:r>
    </w:p>
    <w:sectPr w:rsidR="00405867" w:rsidRPr="00D41EB8" w:rsidSect="00D41EB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0B30" w14:textId="77777777" w:rsidR="00C34996" w:rsidRDefault="00C34996" w:rsidP="00397110">
      <w:pPr>
        <w:spacing w:after="0" w:line="240" w:lineRule="auto"/>
      </w:pPr>
      <w:r>
        <w:separator/>
      </w:r>
    </w:p>
  </w:endnote>
  <w:endnote w:type="continuationSeparator" w:id="0">
    <w:p w14:paraId="3A876126" w14:textId="77777777" w:rsidR="00C34996" w:rsidRDefault="00C34996" w:rsidP="0039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0C5D" w14:textId="77777777" w:rsidR="00C34996" w:rsidRDefault="00C34996" w:rsidP="00397110">
      <w:pPr>
        <w:spacing w:after="0" w:line="240" w:lineRule="auto"/>
      </w:pPr>
      <w:r>
        <w:separator/>
      </w:r>
    </w:p>
  </w:footnote>
  <w:footnote w:type="continuationSeparator" w:id="0">
    <w:p w14:paraId="46B23062" w14:textId="77777777" w:rsidR="00C34996" w:rsidRDefault="00C34996" w:rsidP="0039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C2C2" w14:textId="64122A87" w:rsidR="00EE39A7" w:rsidRDefault="00766B69" w:rsidP="00EE39A7">
    <w:pPr>
      <w:pStyle w:val="Nagwek"/>
      <w:spacing w:after="120" w:line="276" w:lineRule="auto"/>
      <w:rPr>
        <w:rFonts w:ascii="Open Sans Light" w:hAnsi="Open Sans Light" w:cs="Open Sans Light"/>
      </w:rPr>
    </w:pPr>
    <w:r>
      <w:rPr>
        <w:noProof/>
        <w:lang w:eastAsia="pl-PL"/>
      </w:rPr>
      <w:drawing>
        <wp:inline distT="0" distB="0" distL="0" distR="0" wp14:anchorId="27F665DF" wp14:editId="112012C7">
          <wp:extent cx="5759450" cy="572770"/>
          <wp:effectExtent l="0" t="0" r="0" b="0"/>
          <wp:docPr id="3" name="Obraz 3" descr="Znak Fundusze Europejskie na Infrastrukturę, Klimat, Środowisko, znak barw Rzeczypospolitej Polskiej, znak Dofinansowane przez Unię Europejską, znak Narodowego Funduszu Ochrony Środowiska i Gospodarki Wodnej" title="Logotypy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A7" w:rsidRPr="00565FDB">
      <w:rPr>
        <w:rFonts w:ascii="Open Sans Light" w:hAnsi="Open Sans Light" w:cs="Open Sans Light"/>
      </w:rPr>
      <w:t>Regulamin wyboru projektów w ramach</w:t>
    </w:r>
    <w:r w:rsidR="00EE39A7">
      <w:rPr>
        <w:rFonts w:ascii="Open Sans Light" w:hAnsi="Open Sans Light" w:cs="Open Sans Light"/>
      </w:rPr>
      <w:t xml:space="preserve"> </w:t>
    </w:r>
    <w:r w:rsidR="00EE39A7" w:rsidRPr="00565FDB">
      <w:rPr>
        <w:rFonts w:ascii="Open Sans Light" w:hAnsi="Open Sans Light" w:cs="Open Sans Light"/>
      </w:rPr>
      <w:t>programu Fundusz Europejskie Infrastruktura i</w:t>
    </w:r>
    <w:r w:rsidR="00EE39A7">
      <w:rPr>
        <w:rFonts w:ascii="Open Sans Light" w:hAnsi="Open Sans Light" w:cs="Open Sans Light"/>
      </w:rPr>
      <w:t> </w:t>
    </w:r>
    <w:r w:rsidR="00EE39A7" w:rsidRPr="00565FDB">
      <w:rPr>
        <w:rFonts w:ascii="Open Sans Light" w:hAnsi="Open Sans Light" w:cs="Open Sans Light"/>
      </w:rPr>
      <w:t>Środowisko 2021-2027</w:t>
    </w:r>
  </w:p>
  <w:p w14:paraId="20A85409" w14:textId="5C5DCD21" w:rsidR="00EE39A7" w:rsidRPr="00124CAE" w:rsidRDefault="00EE39A7" w:rsidP="00EE39A7">
    <w:pPr>
      <w:pStyle w:val="Nagwek"/>
      <w:spacing w:after="120" w:line="276" w:lineRule="auto"/>
      <w:rPr>
        <w:rFonts w:ascii="Open Sans Light" w:hAnsi="Open Sans Light" w:cs="Open Sans Light"/>
      </w:rPr>
    </w:pPr>
    <w:r w:rsidRPr="00124CAE">
      <w:rPr>
        <w:rFonts w:ascii="Open Sans Light" w:hAnsi="Open Sans Light" w:cs="Open Sans Light"/>
      </w:rPr>
      <w:t xml:space="preserve">Załącznik </w:t>
    </w:r>
    <w:r>
      <w:rPr>
        <w:rFonts w:ascii="Open Sans Light" w:hAnsi="Open Sans Light" w:cs="Open Sans Light"/>
      </w:rPr>
      <w:t>nr 9</w:t>
    </w:r>
    <w:r w:rsidRPr="00124CAE">
      <w:rPr>
        <w:rFonts w:ascii="Open Sans Light" w:hAnsi="Open Sans Light" w:cs="Open Sans Light"/>
      </w:rPr>
      <w:t xml:space="preserve"> </w:t>
    </w:r>
    <w:r>
      <w:rPr>
        <w:rFonts w:ascii="Open Sans Light" w:hAnsi="Open Sans Light" w:cs="Open Sans Light"/>
      </w:rPr>
      <w:t xml:space="preserve">- </w:t>
    </w:r>
    <w:r w:rsidRPr="00EE39A7">
      <w:rPr>
        <w:rFonts w:ascii="Open Sans Light" w:hAnsi="Open Sans Light" w:cs="Open Sans Light"/>
      </w:rPr>
      <w:t>Metodyka wyliczania wskaźnika koncentracji nowobudowanej sieci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5996E5D"/>
    <w:multiLevelType w:val="hybridMultilevel"/>
    <w:tmpl w:val="61B49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0668"/>
    <w:multiLevelType w:val="hybridMultilevel"/>
    <w:tmpl w:val="815C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1689"/>
    <w:multiLevelType w:val="hybridMultilevel"/>
    <w:tmpl w:val="1FA2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668E"/>
    <w:multiLevelType w:val="hybridMultilevel"/>
    <w:tmpl w:val="55F40314"/>
    <w:lvl w:ilvl="0" w:tplc="C8E237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164A"/>
    <w:multiLevelType w:val="hybridMultilevel"/>
    <w:tmpl w:val="A46E8808"/>
    <w:lvl w:ilvl="0" w:tplc="4FA6F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E97290"/>
    <w:multiLevelType w:val="hybridMultilevel"/>
    <w:tmpl w:val="5308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4E49"/>
    <w:multiLevelType w:val="hybridMultilevel"/>
    <w:tmpl w:val="3A1A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589"/>
    <w:multiLevelType w:val="hybridMultilevel"/>
    <w:tmpl w:val="250EFD70"/>
    <w:lvl w:ilvl="0" w:tplc="B13CB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5875"/>
    <w:multiLevelType w:val="hybridMultilevel"/>
    <w:tmpl w:val="6CA2F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E6FD8"/>
    <w:multiLevelType w:val="hybridMultilevel"/>
    <w:tmpl w:val="2534C5B8"/>
    <w:lvl w:ilvl="0" w:tplc="9E6E855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7F5A"/>
    <w:multiLevelType w:val="hybridMultilevel"/>
    <w:tmpl w:val="D4987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1A85"/>
    <w:multiLevelType w:val="hybridMultilevel"/>
    <w:tmpl w:val="2EE0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B2C"/>
    <w:multiLevelType w:val="hybridMultilevel"/>
    <w:tmpl w:val="3EE43F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03D4A"/>
    <w:multiLevelType w:val="hybridMultilevel"/>
    <w:tmpl w:val="139CB7A4"/>
    <w:lvl w:ilvl="0" w:tplc="E1D8BA1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D3625"/>
    <w:multiLevelType w:val="hybridMultilevel"/>
    <w:tmpl w:val="D5387E98"/>
    <w:lvl w:ilvl="0" w:tplc="681426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7C8C"/>
    <w:multiLevelType w:val="hybridMultilevel"/>
    <w:tmpl w:val="4D82EC92"/>
    <w:lvl w:ilvl="0" w:tplc="33B614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1476F"/>
    <w:multiLevelType w:val="hybridMultilevel"/>
    <w:tmpl w:val="F6E09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DA8F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534A0"/>
    <w:multiLevelType w:val="hybridMultilevel"/>
    <w:tmpl w:val="51F0C5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085CD4"/>
    <w:multiLevelType w:val="hybridMultilevel"/>
    <w:tmpl w:val="13DAF914"/>
    <w:lvl w:ilvl="0" w:tplc="8848BAE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D6ACD"/>
    <w:multiLevelType w:val="hybridMultilevel"/>
    <w:tmpl w:val="0BE0F8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74B04"/>
    <w:multiLevelType w:val="hybridMultilevel"/>
    <w:tmpl w:val="560A56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FA01C7"/>
    <w:multiLevelType w:val="hybridMultilevel"/>
    <w:tmpl w:val="DDC20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D0727"/>
    <w:multiLevelType w:val="hybridMultilevel"/>
    <w:tmpl w:val="2396B9FC"/>
    <w:lvl w:ilvl="0" w:tplc="681426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392F"/>
    <w:multiLevelType w:val="hybridMultilevel"/>
    <w:tmpl w:val="0FE2D734"/>
    <w:lvl w:ilvl="0" w:tplc="A9B86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117EE"/>
    <w:multiLevelType w:val="hybridMultilevel"/>
    <w:tmpl w:val="B11E6440"/>
    <w:lvl w:ilvl="0" w:tplc="681426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0360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72CA0"/>
    <w:multiLevelType w:val="hybridMultilevel"/>
    <w:tmpl w:val="84DA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23481"/>
    <w:multiLevelType w:val="hybridMultilevel"/>
    <w:tmpl w:val="3AE24C1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E0DEC"/>
    <w:multiLevelType w:val="hybridMultilevel"/>
    <w:tmpl w:val="6D56F908"/>
    <w:lvl w:ilvl="0" w:tplc="A50E934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B0EEF"/>
    <w:multiLevelType w:val="hybridMultilevel"/>
    <w:tmpl w:val="4C745F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F9600F"/>
    <w:multiLevelType w:val="hybridMultilevel"/>
    <w:tmpl w:val="D29AF6B6"/>
    <w:lvl w:ilvl="0" w:tplc="C8E237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0851">
    <w:abstractNumId w:val="0"/>
  </w:num>
  <w:num w:numId="2" w16cid:durableId="1491798081">
    <w:abstractNumId w:val="27"/>
  </w:num>
  <w:num w:numId="3" w16cid:durableId="64844572">
    <w:abstractNumId w:val="7"/>
  </w:num>
  <w:num w:numId="4" w16cid:durableId="112748465">
    <w:abstractNumId w:val="12"/>
  </w:num>
  <w:num w:numId="5" w16cid:durableId="2038236733">
    <w:abstractNumId w:val="17"/>
  </w:num>
  <w:num w:numId="6" w16cid:durableId="609705433">
    <w:abstractNumId w:val="1"/>
  </w:num>
  <w:num w:numId="7" w16cid:durableId="202138807">
    <w:abstractNumId w:val="13"/>
  </w:num>
  <w:num w:numId="8" w16cid:durableId="207109754">
    <w:abstractNumId w:val="21"/>
  </w:num>
  <w:num w:numId="9" w16cid:durableId="1890259729">
    <w:abstractNumId w:val="9"/>
  </w:num>
  <w:num w:numId="10" w16cid:durableId="1059209730">
    <w:abstractNumId w:val="2"/>
  </w:num>
  <w:num w:numId="11" w16cid:durableId="1829247009">
    <w:abstractNumId w:val="18"/>
  </w:num>
  <w:num w:numId="12" w16cid:durableId="71391306">
    <w:abstractNumId w:val="28"/>
  </w:num>
  <w:num w:numId="13" w16cid:durableId="1936864750">
    <w:abstractNumId w:val="3"/>
  </w:num>
  <w:num w:numId="14" w16cid:durableId="1413896698">
    <w:abstractNumId w:val="5"/>
  </w:num>
  <w:num w:numId="15" w16cid:durableId="1230120137">
    <w:abstractNumId w:val="16"/>
  </w:num>
  <w:num w:numId="16" w16cid:durableId="1387488692">
    <w:abstractNumId w:val="20"/>
  </w:num>
  <w:num w:numId="17" w16cid:durableId="50928592">
    <w:abstractNumId w:val="29"/>
  </w:num>
  <w:num w:numId="18" w16cid:durableId="1514568636">
    <w:abstractNumId w:val="19"/>
  </w:num>
  <w:num w:numId="19" w16cid:durableId="41055015">
    <w:abstractNumId w:val="10"/>
  </w:num>
  <w:num w:numId="20" w16cid:durableId="33116137">
    <w:abstractNumId w:val="25"/>
  </w:num>
  <w:num w:numId="21" w16cid:durableId="313484583">
    <w:abstractNumId w:val="23"/>
  </w:num>
  <w:num w:numId="22" w16cid:durableId="1855455335">
    <w:abstractNumId w:val="15"/>
  </w:num>
  <w:num w:numId="23" w16cid:durableId="1095050316">
    <w:abstractNumId w:val="8"/>
  </w:num>
  <w:num w:numId="24" w16cid:durableId="1276791235">
    <w:abstractNumId w:val="24"/>
  </w:num>
  <w:num w:numId="25" w16cid:durableId="2027362075">
    <w:abstractNumId w:val="26"/>
  </w:num>
  <w:num w:numId="26" w16cid:durableId="1527870054">
    <w:abstractNumId w:val="6"/>
  </w:num>
  <w:num w:numId="27" w16cid:durableId="74480455">
    <w:abstractNumId w:val="22"/>
  </w:num>
  <w:num w:numId="28" w16cid:durableId="2050304267">
    <w:abstractNumId w:val="14"/>
  </w:num>
  <w:num w:numId="29" w16cid:durableId="16808568">
    <w:abstractNumId w:val="4"/>
  </w:num>
  <w:num w:numId="30" w16cid:durableId="1623922589">
    <w:abstractNumId w:val="30"/>
  </w:num>
  <w:num w:numId="31" w16cid:durableId="1128158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5C"/>
    <w:rsid w:val="00002FA2"/>
    <w:rsid w:val="00014B6F"/>
    <w:rsid w:val="00020FFC"/>
    <w:rsid w:val="00021C65"/>
    <w:rsid w:val="0005253A"/>
    <w:rsid w:val="0006160C"/>
    <w:rsid w:val="0007004B"/>
    <w:rsid w:val="00081137"/>
    <w:rsid w:val="00085394"/>
    <w:rsid w:val="0009232D"/>
    <w:rsid w:val="000D529D"/>
    <w:rsid w:val="000F105A"/>
    <w:rsid w:val="000F2157"/>
    <w:rsid w:val="00110862"/>
    <w:rsid w:val="001128C1"/>
    <w:rsid w:val="00120492"/>
    <w:rsid w:val="001218B0"/>
    <w:rsid w:val="0013587C"/>
    <w:rsid w:val="00144AD1"/>
    <w:rsid w:val="00151FD2"/>
    <w:rsid w:val="00153BA4"/>
    <w:rsid w:val="00175222"/>
    <w:rsid w:val="00180126"/>
    <w:rsid w:val="001902B0"/>
    <w:rsid w:val="00194CFC"/>
    <w:rsid w:val="001C6355"/>
    <w:rsid w:val="001F28D0"/>
    <w:rsid w:val="002213BD"/>
    <w:rsid w:val="002459D4"/>
    <w:rsid w:val="00245BF8"/>
    <w:rsid w:val="00256299"/>
    <w:rsid w:val="002570C5"/>
    <w:rsid w:val="002703AC"/>
    <w:rsid w:val="0028246F"/>
    <w:rsid w:val="002B21E0"/>
    <w:rsid w:val="002C0822"/>
    <w:rsid w:val="002C2CE0"/>
    <w:rsid w:val="002D4CAA"/>
    <w:rsid w:val="002F1F98"/>
    <w:rsid w:val="003178CF"/>
    <w:rsid w:val="0032044D"/>
    <w:rsid w:val="0032729B"/>
    <w:rsid w:val="0033069E"/>
    <w:rsid w:val="00352F83"/>
    <w:rsid w:val="00363E55"/>
    <w:rsid w:val="0036510F"/>
    <w:rsid w:val="00366992"/>
    <w:rsid w:val="00367474"/>
    <w:rsid w:val="00367D32"/>
    <w:rsid w:val="00396C8A"/>
    <w:rsid w:val="00397110"/>
    <w:rsid w:val="003C0D8F"/>
    <w:rsid w:val="003C1BB0"/>
    <w:rsid w:val="003D0ADC"/>
    <w:rsid w:val="003E0BDF"/>
    <w:rsid w:val="003F0D23"/>
    <w:rsid w:val="003F7771"/>
    <w:rsid w:val="004004BD"/>
    <w:rsid w:val="00405867"/>
    <w:rsid w:val="00407695"/>
    <w:rsid w:val="004368B8"/>
    <w:rsid w:val="00447203"/>
    <w:rsid w:val="00454F3C"/>
    <w:rsid w:val="00462AEC"/>
    <w:rsid w:val="00470A3A"/>
    <w:rsid w:val="0048158D"/>
    <w:rsid w:val="00482092"/>
    <w:rsid w:val="004872CF"/>
    <w:rsid w:val="004A4EE5"/>
    <w:rsid w:val="004B7D81"/>
    <w:rsid w:val="004E7D3B"/>
    <w:rsid w:val="00514861"/>
    <w:rsid w:val="00522C93"/>
    <w:rsid w:val="00531B01"/>
    <w:rsid w:val="005635B2"/>
    <w:rsid w:val="0059403C"/>
    <w:rsid w:val="005B0591"/>
    <w:rsid w:val="005B0CA7"/>
    <w:rsid w:val="005B32B3"/>
    <w:rsid w:val="005D1D63"/>
    <w:rsid w:val="005F0E15"/>
    <w:rsid w:val="005F5CAA"/>
    <w:rsid w:val="005F6897"/>
    <w:rsid w:val="00613E15"/>
    <w:rsid w:val="00614F5D"/>
    <w:rsid w:val="00623447"/>
    <w:rsid w:val="006502BA"/>
    <w:rsid w:val="006857DF"/>
    <w:rsid w:val="006871DB"/>
    <w:rsid w:val="006B1CC2"/>
    <w:rsid w:val="006B52EF"/>
    <w:rsid w:val="006C5E31"/>
    <w:rsid w:val="006D17D4"/>
    <w:rsid w:val="006F2E69"/>
    <w:rsid w:val="00706FD0"/>
    <w:rsid w:val="007128F7"/>
    <w:rsid w:val="00735411"/>
    <w:rsid w:val="00742386"/>
    <w:rsid w:val="00760AEA"/>
    <w:rsid w:val="00766B69"/>
    <w:rsid w:val="00775D1E"/>
    <w:rsid w:val="00783E4F"/>
    <w:rsid w:val="007A7E00"/>
    <w:rsid w:val="007B2B90"/>
    <w:rsid w:val="007B41D9"/>
    <w:rsid w:val="007C595A"/>
    <w:rsid w:val="007D1681"/>
    <w:rsid w:val="007D26BA"/>
    <w:rsid w:val="007D3D60"/>
    <w:rsid w:val="007D47F6"/>
    <w:rsid w:val="007D6CF1"/>
    <w:rsid w:val="007F3DDD"/>
    <w:rsid w:val="007F682D"/>
    <w:rsid w:val="007F7E8D"/>
    <w:rsid w:val="008315B5"/>
    <w:rsid w:val="00835D76"/>
    <w:rsid w:val="00847E06"/>
    <w:rsid w:val="00862843"/>
    <w:rsid w:val="00863EC7"/>
    <w:rsid w:val="008665F9"/>
    <w:rsid w:val="008774CE"/>
    <w:rsid w:val="00880997"/>
    <w:rsid w:val="00882552"/>
    <w:rsid w:val="008B52F2"/>
    <w:rsid w:val="008D28F7"/>
    <w:rsid w:val="008D7ADE"/>
    <w:rsid w:val="008E46AF"/>
    <w:rsid w:val="00923778"/>
    <w:rsid w:val="0093177C"/>
    <w:rsid w:val="00937F54"/>
    <w:rsid w:val="00943F36"/>
    <w:rsid w:val="00946AFE"/>
    <w:rsid w:val="0095057B"/>
    <w:rsid w:val="009957D0"/>
    <w:rsid w:val="009A1BF8"/>
    <w:rsid w:val="009C3F37"/>
    <w:rsid w:val="009F4960"/>
    <w:rsid w:val="009F772F"/>
    <w:rsid w:val="00A04E6B"/>
    <w:rsid w:val="00A16442"/>
    <w:rsid w:val="00A44DAE"/>
    <w:rsid w:val="00A44EB0"/>
    <w:rsid w:val="00A53CDB"/>
    <w:rsid w:val="00A633DF"/>
    <w:rsid w:val="00A6589C"/>
    <w:rsid w:val="00A720A9"/>
    <w:rsid w:val="00A919A0"/>
    <w:rsid w:val="00A9306A"/>
    <w:rsid w:val="00AA65F8"/>
    <w:rsid w:val="00AE1136"/>
    <w:rsid w:val="00AE2754"/>
    <w:rsid w:val="00AE2AA9"/>
    <w:rsid w:val="00AE4E51"/>
    <w:rsid w:val="00B30C7A"/>
    <w:rsid w:val="00B4618F"/>
    <w:rsid w:val="00B54A54"/>
    <w:rsid w:val="00B61A78"/>
    <w:rsid w:val="00B7288D"/>
    <w:rsid w:val="00B77E8F"/>
    <w:rsid w:val="00BF2346"/>
    <w:rsid w:val="00BF7DB5"/>
    <w:rsid w:val="00C02FC4"/>
    <w:rsid w:val="00C15AF1"/>
    <w:rsid w:val="00C16908"/>
    <w:rsid w:val="00C20C71"/>
    <w:rsid w:val="00C2112A"/>
    <w:rsid w:val="00C23673"/>
    <w:rsid w:val="00C24F5C"/>
    <w:rsid w:val="00C30D1E"/>
    <w:rsid w:val="00C34996"/>
    <w:rsid w:val="00C36390"/>
    <w:rsid w:val="00C5192D"/>
    <w:rsid w:val="00C54D08"/>
    <w:rsid w:val="00C75035"/>
    <w:rsid w:val="00C802B0"/>
    <w:rsid w:val="00C80F44"/>
    <w:rsid w:val="00C87248"/>
    <w:rsid w:val="00CA18BB"/>
    <w:rsid w:val="00CB07A6"/>
    <w:rsid w:val="00CB70E8"/>
    <w:rsid w:val="00CC14A5"/>
    <w:rsid w:val="00CC21EA"/>
    <w:rsid w:val="00CD1991"/>
    <w:rsid w:val="00CD5622"/>
    <w:rsid w:val="00CE17DD"/>
    <w:rsid w:val="00CF2D48"/>
    <w:rsid w:val="00CF69EE"/>
    <w:rsid w:val="00D03347"/>
    <w:rsid w:val="00D317C1"/>
    <w:rsid w:val="00D33DC1"/>
    <w:rsid w:val="00D41EB8"/>
    <w:rsid w:val="00D6650B"/>
    <w:rsid w:val="00D71DA7"/>
    <w:rsid w:val="00D85804"/>
    <w:rsid w:val="00D920D7"/>
    <w:rsid w:val="00DA416D"/>
    <w:rsid w:val="00DA4BEC"/>
    <w:rsid w:val="00DA6B86"/>
    <w:rsid w:val="00DC12F0"/>
    <w:rsid w:val="00DC6607"/>
    <w:rsid w:val="00DC726A"/>
    <w:rsid w:val="00DD2FB0"/>
    <w:rsid w:val="00DD5F20"/>
    <w:rsid w:val="00DD7F1F"/>
    <w:rsid w:val="00DF08D0"/>
    <w:rsid w:val="00E07D31"/>
    <w:rsid w:val="00E1621C"/>
    <w:rsid w:val="00E31CCD"/>
    <w:rsid w:val="00E4307E"/>
    <w:rsid w:val="00E471E7"/>
    <w:rsid w:val="00E63C13"/>
    <w:rsid w:val="00E6442B"/>
    <w:rsid w:val="00E67A3F"/>
    <w:rsid w:val="00E7305B"/>
    <w:rsid w:val="00E914E1"/>
    <w:rsid w:val="00E9533F"/>
    <w:rsid w:val="00EA17E9"/>
    <w:rsid w:val="00EA3B7A"/>
    <w:rsid w:val="00EC49F6"/>
    <w:rsid w:val="00EC5D55"/>
    <w:rsid w:val="00EC70F4"/>
    <w:rsid w:val="00ED0281"/>
    <w:rsid w:val="00ED15D9"/>
    <w:rsid w:val="00ED4115"/>
    <w:rsid w:val="00EE39A7"/>
    <w:rsid w:val="00EE5713"/>
    <w:rsid w:val="00F02E15"/>
    <w:rsid w:val="00F313CB"/>
    <w:rsid w:val="00F33342"/>
    <w:rsid w:val="00F34978"/>
    <w:rsid w:val="00F41CBF"/>
    <w:rsid w:val="00F55ECE"/>
    <w:rsid w:val="00F97B8E"/>
    <w:rsid w:val="00FB0749"/>
    <w:rsid w:val="00FB4140"/>
    <w:rsid w:val="00FC382A"/>
    <w:rsid w:val="00FC6413"/>
    <w:rsid w:val="00FD571C"/>
    <w:rsid w:val="00FE028A"/>
    <w:rsid w:val="00FE16AE"/>
    <w:rsid w:val="00FF50B2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A867AD"/>
  <w15:docId w15:val="{5B4D4E40-1ED4-4175-8D66-6C078DE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semiHidden/>
    <w:rsid w:val="00397110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semiHidden/>
    <w:rsid w:val="0039711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rsid w:val="003971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4B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B7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B7D81"/>
    <w:pPr>
      <w:ind w:left="720"/>
      <w:contextualSpacing/>
    </w:pPr>
  </w:style>
  <w:style w:type="paragraph" w:customStyle="1" w:styleId="Default">
    <w:name w:val="Default"/>
    <w:rsid w:val="004B7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D3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872C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20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820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2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0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D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D63"/>
    <w:rPr>
      <w:vertAlign w:val="superscript"/>
    </w:rPr>
  </w:style>
  <w:style w:type="paragraph" w:styleId="Poprawka">
    <w:name w:val="Revision"/>
    <w:hidden/>
    <w:uiPriority w:val="99"/>
    <w:semiHidden/>
    <w:rsid w:val="0013587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D529D"/>
  </w:style>
  <w:style w:type="paragraph" w:styleId="Nagwek">
    <w:name w:val="header"/>
    <w:basedOn w:val="Normalny"/>
    <w:link w:val="NagwekZnak"/>
    <w:uiPriority w:val="99"/>
    <w:unhideWhenUsed/>
    <w:rsid w:val="00E6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2B"/>
  </w:style>
  <w:style w:type="paragraph" w:styleId="Stopka">
    <w:name w:val="footer"/>
    <w:basedOn w:val="Normalny"/>
    <w:link w:val="StopkaZnak"/>
    <w:uiPriority w:val="99"/>
    <w:unhideWhenUsed/>
    <w:rsid w:val="00E6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2B"/>
  </w:style>
  <w:style w:type="paragraph" w:styleId="Tytu">
    <w:name w:val="Title"/>
    <w:basedOn w:val="Normalny"/>
    <w:next w:val="Normalny"/>
    <w:link w:val="TytuZnak"/>
    <w:uiPriority w:val="10"/>
    <w:qFormat/>
    <w:rsid w:val="001128C1"/>
    <w:pPr>
      <w:spacing w:after="0" w:line="240" w:lineRule="auto"/>
      <w:contextualSpacing/>
    </w:pPr>
    <w:rPr>
      <w:rFonts w:ascii="Open Sans Light" w:eastAsiaTheme="majorEastAsia" w:hAnsi="Open Sans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8C1"/>
    <w:rPr>
      <w:rFonts w:ascii="Open Sans Light" w:eastAsiaTheme="majorEastAsia" w:hAnsi="Open Sans Light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0164-BA41-4BFA-9C9D-1BBC3CC2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Paprocka Katarzyna</dc:creator>
  <cp:lastModifiedBy>Młynarczyk Karolina</cp:lastModifiedBy>
  <cp:revision>4</cp:revision>
  <cp:lastPrinted>2023-08-18T12:44:00Z</cp:lastPrinted>
  <dcterms:created xsi:type="dcterms:W3CDTF">2023-08-18T12:45:00Z</dcterms:created>
  <dcterms:modified xsi:type="dcterms:W3CDTF">2023-08-28T08:35:00Z</dcterms:modified>
</cp:coreProperties>
</file>