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4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93242B" w:rsidRPr="0093242B" w14:paraId="05205B86" w14:textId="77777777" w:rsidTr="00BB07A2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A5FBF9C" w14:textId="77777777" w:rsidR="0093242B" w:rsidRPr="00BB07A2" w:rsidRDefault="0093242B" w:rsidP="00C217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t1"/>
            <w:r w:rsidRPr="00BB07A2">
              <w:rPr>
                <w:rFonts w:ascii="Times New Roman" w:eastAsia="Calibri" w:hAnsi="Times New Roman" w:cs="Times New Roman"/>
                <w:b/>
                <w:color w:val="000000"/>
              </w:rPr>
              <w:t>Nazwa projektu</w:t>
            </w:r>
          </w:p>
          <w:p w14:paraId="4646C466" w14:textId="02312781" w:rsidR="0093242B" w:rsidRPr="00BB07A2" w:rsidRDefault="0093242B" w:rsidP="005D5659">
            <w:pPr>
              <w:spacing w:after="0" w:line="240" w:lineRule="auto"/>
              <w:ind w:left="2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color w:val="000000"/>
              </w:rPr>
              <w:t>Rozporządzenie Ministra Cyfryzacji zmieniające rozporządzenie w</w:t>
            </w:r>
            <w:r w:rsidR="00BB07A2" w:rsidRPr="00BB07A2"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Pr="00BB07A2">
              <w:rPr>
                <w:rFonts w:ascii="Times New Roman" w:eastAsia="Calibri" w:hAnsi="Times New Roman" w:cs="Times New Roman"/>
                <w:color w:val="000000"/>
              </w:rPr>
              <w:t xml:space="preserve">sprawie udzielania pomocy publicznej i pomocy </w:t>
            </w:r>
            <w:r w:rsidRPr="00BB07A2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de </w:t>
            </w:r>
            <w:proofErr w:type="spellStart"/>
            <w:r w:rsidRPr="00BB07A2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minimis</w:t>
            </w:r>
            <w:proofErr w:type="spellEnd"/>
            <w:r w:rsidRPr="00BB07A2">
              <w:rPr>
                <w:rFonts w:ascii="Times New Roman" w:eastAsia="Calibri" w:hAnsi="Times New Roman" w:cs="Times New Roman"/>
                <w:color w:val="000000"/>
              </w:rPr>
              <w:t xml:space="preserve"> na cyfrową dostępność i ponowne wykorzystanie informacji w ramach programu Fundusze Europejskie na Rozwój Cyfrowy 2021‒2027</w:t>
            </w:r>
          </w:p>
          <w:p w14:paraId="23E9594B" w14:textId="77777777" w:rsidR="0093242B" w:rsidRPr="00BB07A2" w:rsidRDefault="0093242B" w:rsidP="005D5659">
            <w:pPr>
              <w:spacing w:before="120" w:after="0" w:line="240" w:lineRule="auto"/>
              <w:ind w:left="29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b/>
                <w:color w:val="000000"/>
              </w:rPr>
              <w:t>Ministerstwo wiodące i ministerstwa współpracujące</w:t>
            </w:r>
          </w:p>
          <w:p w14:paraId="4A135CB9" w14:textId="77777777" w:rsidR="0093242B" w:rsidRPr="00BB07A2" w:rsidRDefault="0093242B" w:rsidP="005D5659">
            <w:pPr>
              <w:spacing w:after="0" w:line="240" w:lineRule="auto"/>
              <w:ind w:left="29"/>
              <w:jc w:val="both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</w:rPr>
              <w:t>Ministerstwo Cyfryzacji – ministerstwo wiodące</w:t>
            </w:r>
          </w:p>
          <w:p w14:paraId="63D9142D" w14:textId="77777777" w:rsidR="0093242B" w:rsidRPr="00BB07A2" w:rsidRDefault="0093242B" w:rsidP="005D5659">
            <w:pPr>
              <w:spacing w:after="0" w:line="240" w:lineRule="auto"/>
              <w:ind w:left="29"/>
              <w:jc w:val="both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</w:rPr>
              <w:t>Ministerstwo Funduszy i Polityki Regionalnej – ministerstwo współpracujące</w:t>
            </w:r>
            <w:bookmarkEnd w:id="0"/>
          </w:p>
          <w:p w14:paraId="19E7DC90" w14:textId="5BCF7A3F" w:rsidR="0093242B" w:rsidRPr="00BB07A2" w:rsidRDefault="0093242B" w:rsidP="005D5659">
            <w:pPr>
              <w:spacing w:before="120" w:after="0" w:line="240" w:lineRule="auto"/>
              <w:ind w:left="28"/>
              <w:rPr>
                <w:rFonts w:ascii="Times New Roman" w:eastAsia="Calibri" w:hAnsi="Times New Roman" w:cs="Times New Roman"/>
                <w:b/>
              </w:rPr>
            </w:pPr>
            <w:r w:rsidRPr="00BB07A2">
              <w:rPr>
                <w:rFonts w:ascii="Times New Roman" w:eastAsia="Calibri" w:hAnsi="Times New Roman" w:cs="Times New Roman"/>
                <w:b/>
              </w:rPr>
              <w:t>Osoba odpowiedzialna za projekt w randze Ministra, Sekretarza Stanu lub Podsekretarza Stanu</w:t>
            </w:r>
          </w:p>
          <w:p w14:paraId="6F054E76" w14:textId="3CFAE5F2" w:rsidR="0093242B" w:rsidRPr="00BB07A2" w:rsidRDefault="0082401F" w:rsidP="005D5659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</w:rPr>
              <w:t>Dariusz</w:t>
            </w:r>
            <w:r w:rsidR="0093242B" w:rsidRPr="00BB07A2">
              <w:rPr>
                <w:rFonts w:ascii="Times New Roman" w:eastAsia="Calibri" w:hAnsi="Times New Roman" w:cs="Times New Roman"/>
              </w:rPr>
              <w:t xml:space="preserve"> Standerski</w:t>
            </w:r>
            <w:r w:rsidR="00105B5C">
              <w:rPr>
                <w:rFonts w:ascii="Times New Roman" w:eastAsia="Calibri" w:hAnsi="Times New Roman" w:cs="Times New Roman"/>
              </w:rPr>
              <w:t xml:space="preserve"> - </w:t>
            </w:r>
            <w:r w:rsidR="00105B5C" w:rsidRPr="00105B5C">
              <w:rPr>
                <w:rFonts w:ascii="Times New Roman" w:eastAsia="Calibri" w:hAnsi="Times New Roman" w:cs="Times New Roman"/>
              </w:rPr>
              <w:t>Sekretarz Stanu</w:t>
            </w:r>
          </w:p>
          <w:p w14:paraId="399FF004" w14:textId="77777777" w:rsidR="0093242B" w:rsidRPr="00BB07A2" w:rsidRDefault="0093242B" w:rsidP="005D5659">
            <w:pPr>
              <w:spacing w:before="120" w:after="0" w:line="240" w:lineRule="auto"/>
              <w:ind w:left="28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b/>
                <w:color w:val="000000"/>
              </w:rPr>
              <w:t>Kontakt do opiekuna merytorycznego projektu</w:t>
            </w:r>
          </w:p>
          <w:p w14:paraId="47C799B4" w14:textId="77777777" w:rsidR="0093242B" w:rsidRPr="00BB07A2" w:rsidRDefault="0093242B" w:rsidP="005D5659">
            <w:pPr>
              <w:spacing w:after="0" w:line="240" w:lineRule="auto"/>
              <w:ind w:left="2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color w:val="000000"/>
              </w:rPr>
              <w:t>Anna Gos, Dyrektor Departamentu Zarządzania Danymi, MC,</w:t>
            </w:r>
            <w:r w:rsidRPr="00BB07A2">
              <w:rPr>
                <w:rFonts w:ascii="Times New Roman" w:eastAsia="Times New Roman" w:hAnsi="Times New Roman" w:cs="Arial"/>
                <w:lang w:eastAsia="pl-PL"/>
              </w:rPr>
              <w:t xml:space="preserve"> </w:t>
            </w:r>
            <w:hyperlink r:id="rId9" w:history="1">
              <w:r w:rsidRPr="00BB0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anna.gos@cyfra.gov.pl</w:t>
              </w:r>
            </w:hyperlink>
          </w:p>
          <w:p w14:paraId="4F605679" w14:textId="77777777" w:rsidR="0093242B" w:rsidRPr="00BB07A2" w:rsidRDefault="0093242B" w:rsidP="005D5659">
            <w:pPr>
              <w:spacing w:after="0" w:line="240" w:lineRule="auto"/>
              <w:ind w:left="2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color w:val="000000"/>
              </w:rPr>
              <w:t xml:space="preserve">Dominik Sybilski, Naczelnik Wydziału Regulacji Wykorzystywania i Wymiany Danych w Departamencie Zarządzania Danymi, MC, </w:t>
            </w:r>
            <w:hyperlink r:id="rId10" w:history="1">
              <w:r w:rsidRPr="00BB0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dominik.sybilski@cyfra.gov.pl</w:t>
              </w:r>
            </w:hyperlink>
          </w:p>
          <w:p w14:paraId="3DE22FC2" w14:textId="77777777" w:rsidR="0093242B" w:rsidRPr="0093242B" w:rsidRDefault="0093242B" w:rsidP="005D5659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color w:val="000000"/>
              </w:rPr>
              <w:t xml:space="preserve">Mikołaj Garstka, Radca w Wydziale Regulacji Wykorzystywania i Wymiany Danych w Departamencie Zarządzania Danymi, MC, </w:t>
            </w:r>
            <w:hyperlink r:id="rId11" w:history="1">
              <w:r w:rsidRPr="00BB0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mikolaj.garstka@cyfra.gov.pl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294EEA1D" w14:textId="72DECAFE" w:rsidR="0093242B" w:rsidRPr="00BB07A2" w:rsidRDefault="0093242B" w:rsidP="005D56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  <w:b/>
              </w:rPr>
              <w:t>Data sporządzenia</w:t>
            </w:r>
            <w:r w:rsidRPr="00BB07A2">
              <w:rPr>
                <w:rFonts w:ascii="Times New Roman" w:eastAsia="Calibri" w:hAnsi="Times New Roman" w:cs="Times New Roman"/>
                <w:b/>
              </w:rPr>
              <w:br/>
            </w:r>
            <w:r w:rsidRPr="00BB07A2">
              <w:rPr>
                <w:rFonts w:ascii="Times New Roman" w:eastAsia="Calibri" w:hAnsi="Times New Roman" w:cs="Times New Roman"/>
              </w:rPr>
              <w:t>2024-</w:t>
            </w:r>
            <w:r w:rsidR="00D656F4">
              <w:rPr>
                <w:rFonts w:ascii="Times New Roman" w:eastAsia="Calibri" w:hAnsi="Times New Roman" w:cs="Times New Roman"/>
              </w:rPr>
              <w:t>0</w:t>
            </w:r>
            <w:r w:rsidR="002E235F">
              <w:rPr>
                <w:rFonts w:ascii="Times New Roman" w:eastAsia="Calibri" w:hAnsi="Times New Roman" w:cs="Times New Roman"/>
              </w:rPr>
              <w:t>5</w:t>
            </w:r>
            <w:r w:rsidR="00CC3415">
              <w:rPr>
                <w:rFonts w:ascii="Times New Roman" w:eastAsia="Calibri" w:hAnsi="Times New Roman" w:cs="Times New Roman"/>
              </w:rPr>
              <w:t>-</w:t>
            </w:r>
            <w:r w:rsidR="00D32AAE">
              <w:rPr>
                <w:rFonts w:ascii="Times New Roman" w:eastAsia="Calibri" w:hAnsi="Times New Roman" w:cs="Times New Roman"/>
              </w:rPr>
              <w:t>20</w:t>
            </w:r>
          </w:p>
          <w:p w14:paraId="53781CB2" w14:textId="03645976" w:rsidR="0093242B" w:rsidRPr="00BB07A2" w:rsidRDefault="0093242B" w:rsidP="005D5659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B07A2">
              <w:rPr>
                <w:rFonts w:ascii="Times New Roman" w:eastAsia="Calibri" w:hAnsi="Times New Roman" w:cs="Times New Roman"/>
                <w:b/>
              </w:rPr>
              <w:t>Źródło:</w:t>
            </w:r>
          </w:p>
          <w:p w14:paraId="41F1C16A" w14:textId="536075FE" w:rsidR="0093242B" w:rsidRPr="00BB07A2" w:rsidRDefault="0093242B" w:rsidP="005D56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</w:rPr>
              <w:t>Art. 30 ust. 4 ustawy z dnia 28 kwietnia 2022</w:t>
            </w:r>
            <w:r w:rsidR="00BB07A2">
              <w:rPr>
                <w:rFonts w:ascii="Times New Roman" w:eastAsia="Calibri" w:hAnsi="Times New Roman" w:cs="Times New Roman"/>
              </w:rPr>
              <w:t> </w:t>
            </w:r>
            <w:r w:rsidRPr="00BB07A2">
              <w:rPr>
                <w:rFonts w:ascii="Times New Roman" w:eastAsia="Calibri" w:hAnsi="Times New Roman" w:cs="Times New Roman"/>
              </w:rPr>
              <w:t>r. o zasadach realizacji zadań finansowanych ze środków europejskich w perspektywie finansowej 2021–2027 (Dz. U. poz. 1079)</w:t>
            </w:r>
          </w:p>
          <w:p w14:paraId="2FFFD879" w14:textId="1E259E1C" w:rsidR="0093242B" w:rsidRPr="00E425C0" w:rsidRDefault="0093242B" w:rsidP="00E425C0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B07A2">
              <w:rPr>
                <w:rFonts w:ascii="Times New Roman" w:eastAsia="Calibri" w:hAnsi="Times New Roman" w:cs="Times New Roman"/>
                <w:b/>
                <w:color w:val="000000"/>
              </w:rPr>
              <w:t>Nr w wykazie pra</w:t>
            </w:r>
            <w:r w:rsidR="00CC3415">
              <w:rPr>
                <w:rFonts w:ascii="Times New Roman" w:eastAsia="Calibri" w:hAnsi="Times New Roman" w:cs="Times New Roman"/>
                <w:b/>
                <w:color w:val="000000"/>
              </w:rPr>
              <w:t>c legislacyjnych Ministra Cyfryzacji:</w:t>
            </w:r>
            <w:r w:rsidR="00B00643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="00105B5C">
              <w:rPr>
                <w:rFonts w:ascii="Times New Roman" w:eastAsia="Calibri" w:hAnsi="Times New Roman" w:cs="Times New Roman"/>
                <w:b/>
                <w:color w:val="000000"/>
              </w:rPr>
              <w:t>W</w:t>
            </w:r>
            <w:r w:rsidR="00B00643">
              <w:rPr>
                <w:rFonts w:ascii="Times New Roman" w:eastAsia="Calibri" w:hAnsi="Times New Roman" w:cs="Times New Roman"/>
                <w:b/>
                <w:color w:val="000000"/>
              </w:rPr>
              <w:t>PL MC</w:t>
            </w:r>
            <w:r w:rsidR="00CC3415">
              <w:rPr>
                <w:rFonts w:ascii="Times New Roman" w:eastAsia="Calibri" w:hAnsi="Times New Roman" w:cs="Times New Roman"/>
                <w:b/>
                <w:color w:val="000000"/>
              </w:rPr>
              <w:t xml:space="preserve"> 5</w:t>
            </w:r>
          </w:p>
        </w:tc>
      </w:tr>
      <w:tr w:rsidR="0093242B" w:rsidRPr="0093242B" w14:paraId="21E30F79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563D4AF" w14:textId="77777777" w:rsidR="0093242B" w:rsidRPr="0093242B" w:rsidRDefault="0093242B" w:rsidP="0093242B">
            <w:pPr>
              <w:spacing w:after="0" w:line="240" w:lineRule="auto"/>
              <w:ind w:left="57" w:firstLine="29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93242B" w:rsidRPr="0093242B" w14:paraId="7A5958B0" w14:textId="77777777" w:rsidTr="00BB07A2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ED55CE4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</w:rPr>
              <w:t>Jaki problem jest rozwiązywany?</w:t>
            </w:r>
            <w:bookmarkStart w:id="1" w:name="Wybór1"/>
            <w:bookmarkEnd w:id="1"/>
          </w:p>
        </w:tc>
      </w:tr>
      <w:tr w:rsidR="0093242B" w:rsidRPr="0093242B" w14:paraId="7CCCE545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B70AE2B" w14:textId="2933C534" w:rsidR="0093242B" w:rsidRDefault="0093242B" w:rsidP="003317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Celem projektowanego rozporządzenia </w:t>
            </w:r>
            <w:r w:rsidR="0033175D">
              <w:rPr>
                <w:rFonts w:ascii="Times New Roman" w:eastAsia="Times New Roman" w:hAnsi="Times New Roman" w:cs="Times New Roman"/>
                <w:lang w:eastAsia="pl-PL"/>
              </w:rPr>
              <w:t xml:space="preserve">jest dostosowanie </w:t>
            </w: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rozporządzeni</w:t>
            </w:r>
            <w:r w:rsidR="0033175D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Ministra Cyfryzacji z dnia 31 października 2023</w:t>
            </w:r>
            <w:r w:rsidR="0033175D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r. w sprawie udzielania pomocy publicznej i pomocy </w:t>
            </w:r>
            <w:r w:rsidRPr="00BB07A2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de </w:t>
            </w:r>
            <w:proofErr w:type="spellStart"/>
            <w:r w:rsidRPr="00BB07A2">
              <w:rPr>
                <w:rFonts w:ascii="Times New Roman" w:eastAsia="Times New Roman" w:hAnsi="Times New Roman" w:cs="Times New Roman"/>
                <w:i/>
                <w:lang w:eastAsia="pl-PL"/>
              </w:rPr>
              <w:t>minimis</w:t>
            </w:r>
            <w:proofErr w:type="spellEnd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 na cyfrową dostępność i ponowne wykorzystanie informacji w ramach programu Fundusze Europejskie na Rozwój Cyfrowy 2021‒2027 (Dz. U. poz. 2434) do zmian wynikających z </w:t>
            </w:r>
            <w:r w:rsidR="00966363">
              <w:rPr>
                <w:rFonts w:ascii="Times New Roman" w:eastAsia="Times New Roman" w:hAnsi="Times New Roman" w:cs="Times New Roman"/>
                <w:lang w:eastAsia="pl-PL"/>
              </w:rPr>
              <w:t>przepisów prawa U</w:t>
            </w:r>
            <w:r w:rsidR="00105B5C">
              <w:rPr>
                <w:rFonts w:ascii="Times New Roman" w:eastAsia="Times New Roman" w:hAnsi="Times New Roman" w:cs="Times New Roman"/>
                <w:lang w:eastAsia="pl-PL"/>
              </w:rPr>
              <w:t>nii Europejskiej (UE).</w:t>
            </w:r>
          </w:p>
          <w:p w14:paraId="3B9A59A9" w14:textId="68E55B38" w:rsidR="00966363" w:rsidRDefault="00966363" w:rsidP="003317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Rozporządzenie Ministra Cyfryzacji z dnia 31 października 2023 r. oparte zostało na ramach prawnych UE dotyczących pomocy publicznej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 tj.:</w:t>
            </w:r>
          </w:p>
          <w:p w14:paraId="2B6E6B75" w14:textId="77777777" w:rsidR="00966363" w:rsidRDefault="00966363" w:rsidP="00AA249C">
            <w:pPr>
              <w:pStyle w:val="Akapitzlist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rozporządzeniu Komisji (UE) nr 1407/2013 z dnia 18 grudnia 2013 r. w sprawie stosowania art. 107 i 108 Traktatu 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funkcjonowaniu Unii Europejskiej do pomocy </w:t>
            </w:r>
            <w:r w:rsidRPr="00BB07A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de </w:t>
            </w:r>
            <w:proofErr w:type="spellStart"/>
            <w:r w:rsidRPr="00BB07A2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minimis</w:t>
            </w:r>
            <w:proofErr w:type="spellEnd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 (Dz. Urz. UE L 352 z 24.12.2013, str. 1, z </w:t>
            </w:r>
            <w:proofErr w:type="spellStart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późn</w:t>
            </w:r>
            <w:proofErr w:type="spellEnd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. zm.);</w:t>
            </w:r>
          </w:p>
          <w:p w14:paraId="461D30C9" w14:textId="77777777" w:rsidR="00966363" w:rsidRPr="00BB07A2" w:rsidRDefault="00966363" w:rsidP="00AA249C">
            <w:pPr>
              <w:pStyle w:val="Akapitzlist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 xml:space="preserve">rozporządzeniu Komisji (UE) nr 651/2014 z dnia 17 czerwca 2014 r. uznającym niektóre rodzaje pomocy za zgodne z rynkiem wewnętrznym w zastosowaniu art. 107 i 108 Traktatu (Dz. Urz. UE L 187 z 26.06.2014, str. 1, z </w:t>
            </w:r>
            <w:proofErr w:type="spellStart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późn</w:t>
            </w:r>
            <w:proofErr w:type="spellEnd"/>
            <w:r w:rsidRPr="00BB07A2">
              <w:rPr>
                <w:rFonts w:ascii="Times New Roman" w:eastAsia="Times New Roman" w:hAnsi="Times New Roman" w:cs="Times New Roman"/>
                <w:lang w:eastAsia="pl-PL"/>
              </w:rPr>
              <w:t>. zm.).</w:t>
            </w:r>
          </w:p>
          <w:p w14:paraId="50AC4B2D" w14:textId="3ED54E63" w:rsidR="00966363" w:rsidRPr="00966363" w:rsidRDefault="00966363" w:rsidP="0033175D">
            <w:pPr>
              <w:suppressAutoHyphens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B07A2">
              <w:rPr>
                <w:rFonts w:ascii="Times New Roman" w:eastAsia="Calibri" w:hAnsi="Times New Roman" w:cs="Times New Roman"/>
              </w:rPr>
              <w:t xml:space="preserve">W grudniu 2023 r. opublikowane zostało </w:t>
            </w:r>
            <w:r w:rsidRPr="00966363">
              <w:rPr>
                <w:rFonts w:ascii="Times New Roman" w:eastAsia="Calibri" w:hAnsi="Times New Roman" w:cs="Times New Roman"/>
              </w:rPr>
              <w:t>rozporządzeni</w:t>
            </w:r>
            <w:r>
              <w:rPr>
                <w:rFonts w:ascii="Times New Roman" w:eastAsia="Calibri" w:hAnsi="Times New Roman" w:cs="Times New Roman"/>
              </w:rPr>
              <w:t>e</w:t>
            </w:r>
            <w:r w:rsidRPr="00966363">
              <w:rPr>
                <w:rFonts w:ascii="Times New Roman" w:eastAsia="Calibri" w:hAnsi="Times New Roman" w:cs="Times New Roman"/>
              </w:rPr>
              <w:t xml:space="preserve"> Komisji (UE) 2023/2831 z dnia 13 grudnia 2023 r. w sprawie stosowania art. 107 i 108 Traktatu o funkcjonowaniu Unii Europejskiej do pomocy </w:t>
            </w:r>
            <w:r w:rsidRPr="00966363">
              <w:rPr>
                <w:rFonts w:ascii="Times New Roman" w:eastAsia="Calibri" w:hAnsi="Times New Roman" w:cs="Times New Roman"/>
                <w:i/>
                <w:iCs/>
              </w:rPr>
              <w:t xml:space="preserve">de </w:t>
            </w:r>
            <w:proofErr w:type="spellStart"/>
            <w:r w:rsidRPr="00966363">
              <w:rPr>
                <w:rFonts w:ascii="Times New Roman" w:eastAsia="Calibri" w:hAnsi="Times New Roman" w:cs="Times New Roman"/>
                <w:i/>
                <w:iCs/>
              </w:rPr>
              <w:t>minimis</w:t>
            </w:r>
            <w:proofErr w:type="spellEnd"/>
            <w:r w:rsidRPr="00966363">
              <w:rPr>
                <w:rFonts w:ascii="Times New Roman" w:eastAsia="Calibri" w:hAnsi="Times New Roman" w:cs="Times New Roman"/>
              </w:rPr>
              <w:t xml:space="preserve"> (Dz. Urz. UE L</w:t>
            </w:r>
            <w:r w:rsidR="00D77BF2">
              <w:rPr>
                <w:rFonts w:ascii="Times New Roman" w:eastAsia="Calibri" w:hAnsi="Times New Roman" w:cs="Times New Roman"/>
              </w:rPr>
              <w:t xml:space="preserve"> </w:t>
            </w:r>
            <w:r w:rsidR="00D77BF2" w:rsidRPr="00D77BF2">
              <w:rPr>
                <w:rFonts w:ascii="Times New Roman" w:eastAsia="Calibri" w:hAnsi="Times New Roman" w:cs="Times New Roman"/>
              </w:rPr>
              <w:t xml:space="preserve"> </w:t>
            </w:r>
            <w:r w:rsidRPr="00966363">
              <w:rPr>
                <w:rFonts w:ascii="Times New Roman" w:eastAsia="Calibri" w:hAnsi="Times New Roman" w:cs="Times New Roman"/>
              </w:rPr>
              <w:t xml:space="preserve"> z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966363">
              <w:rPr>
                <w:rFonts w:ascii="Times New Roman" w:eastAsia="Calibri" w:hAnsi="Times New Roman" w:cs="Times New Roman"/>
              </w:rPr>
              <w:t>15.12.2023).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B07A2">
              <w:rPr>
                <w:rFonts w:ascii="Times New Roman" w:eastAsia="Calibri" w:hAnsi="Times New Roman" w:cs="Times New Roman"/>
              </w:rPr>
              <w:t xml:space="preserve">Nowe rozporządzenie zastąpiło obowiązujące dotychczas rozporządzenie Komisji (UE) </w:t>
            </w:r>
            <w:r w:rsidR="00D77BF2">
              <w:rPr>
                <w:rFonts w:ascii="Times New Roman" w:eastAsia="Calibri" w:hAnsi="Times New Roman" w:cs="Times New Roman"/>
              </w:rPr>
              <w:br/>
            </w:r>
            <w:r w:rsidRPr="00BB07A2">
              <w:rPr>
                <w:rFonts w:ascii="Times New Roman" w:eastAsia="Calibri" w:hAnsi="Times New Roman" w:cs="Times New Roman"/>
              </w:rPr>
              <w:t xml:space="preserve">nr 1407/2013, którego obowiązywanie wygasło </w:t>
            </w:r>
            <w:r w:rsidR="00105B5C">
              <w:rPr>
                <w:rFonts w:ascii="Times New Roman" w:eastAsia="Calibri" w:hAnsi="Times New Roman" w:cs="Times New Roman"/>
              </w:rPr>
              <w:t xml:space="preserve">z dniem </w:t>
            </w:r>
            <w:r w:rsidRPr="00BB07A2">
              <w:rPr>
                <w:rFonts w:ascii="Times New Roman" w:eastAsia="Calibri" w:hAnsi="Times New Roman" w:cs="Times New Roman"/>
              </w:rPr>
              <w:t>31 grudnia 2023 r. Rozporządzenie Komisji (UE) 2023/2831 obowiązuje od 1 stycznia 2024 r.</w:t>
            </w:r>
            <w:r w:rsidR="000A2C11">
              <w:t xml:space="preserve"> </w:t>
            </w:r>
            <w:r w:rsidR="000A2C11" w:rsidRPr="000A2C11">
              <w:rPr>
                <w:rFonts w:ascii="Times New Roman" w:eastAsia="Calibri" w:hAnsi="Times New Roman" w:cs="Times New Roman"/>
              </w:rPr>
              <w:t xml:space="preserve">Zgodnie jednak z art. 7 ust. 4 rozporządzenia Komisji (UE) nr 1407/2013 po upływie okresu stosowania tego rozporządzenia wszelkie programy pomocy </w:t>
            </w:r>
            <w:r w:rsidR="000A2C11" w:rsidRPr="006E585C">
              <w:rPr>
                <w:rFonts w:ascii="Times New Roman" w:eastAsia="Calibri" w:hAnsi="Times New Roman" w:cs="Times New Roman"/>
                <w:i/>
                <w:iCs/>
              </w:rPr>
              <w:t xml:space="preserve">de </w:t>
            </w:r>
            <w:proofErr w:type="spellStart"/>
            <w:r w:rsidR="000A2C11" w:rsidRPr="006E585C">
              <w:rPr>
                <w:rFonts w:ascii="Times New Roman" w:eastAsia="Calibri" w:hAnsi="Times New Roman" w:cs="Times New Roman"/>
                <w:i/>
                <w:iCs/>
              </w:rPr>
              <w:t>minimis</w:t>
            </w:r>
            <w:proofErr w:type="spellEnd"/>
            <w:r w:rsidR="000A2C11" w:rsidRPr="000A2C11">
              <w:rPr>
                <w:rFonts w:ascii="Times New Roman" w:eastAsia="Calibri" w:hAnsi="Times New Roman" w:cs="Times New Roman"/>
              </w:rPr>
              <w:t xml:space="preserve"> spełniające warunki określone w tym rozporządzeniu pozostają nim objęte przez kolejne sześć miesięcy (do 30 czerwca 2024 r.). W tym okresie możliwe jest wprowadzenie koniecznych zmian w prawie krajowym.</w:t>
            </w:r>
          </w:p>
        </w:tc>
      </w:tr>
      <w:tr w:rsidR="0093242B" w:rsidRPr="0093242B" w14:paraId="060DB529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B8485CB" w14:textId="6B061C94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Rekomendowane rozwiązanie, w tym planowane narzędzia </w:t>
            </w:r>
            <w:r w:rsidR="0082401F"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>interwencji</w:t>
            </w:r>
            <w:r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93242B" w:rsidRPr="0093242B" w14:paraId="457527C6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719D7B5" w14:textId="491615EF" w:rsidR="0093242B" w:rsidRPr="00BB07A2" w:rsidRDefault="00966363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Rekomendowany</w:t>
            </w:r>
            <w:r w:rsidR="00105B5C">
              <w:rPr>
                <w:rFonts w:ascii="Times New Roman" w:eastAsia="Calibri" w:hAnsi="Times New Roman" w:cs="Times New Roman"/>
              </w:rPr>
              <w:t>m</w:t>
            </w:r>
            <w:r>
              <w:rPr>
                <w:rFonts w:ascii="Times New Roman" w:eastAsia="Calibri" w:hAnsi="Times New Roman" w:cs="Times New Roman"/>
              </w:rPr>
              <w:t xml:space="preserve"> i koniecznym rozwiązaniem </w:t>
            </w:r>
            <w:r w:rsidRPr="00966363">
              <w:rPr>
                <w:rFonts w:ascii="Times New Roman" w:eastAsia="Calibri" w:hAnsi="Times New Roman" w:cs="Times New Roman"/>
              </w:rPr>
              <w:t xml:space="preserve">jest nowelizacja rozporządzenia Ministra Cyfryzacji z dnia 31 października 2023 r. w zakresie w jakim reguluje ono udzielanie pomocy </w:t>
            </w:r>
            <w:r w:rsidRPr="00966363">
              <w:rPr>
                <w:rFonts w:ascii="Times New Roman" w:eastAsia="Calibri" w:hAnsi="Times New Roman" w:cs="Times New Roman"/>
                <w:i/>
                <w:iCs/>
              </w:rPr>
              <w:t xml:space="preserve">de </w:t>
            </w:r>
            <w:proofErr w:type="spellStart"/>
            <w:r w:rsidRPr="00966363">
              <w:rPr>
                <w:rFonts w:ascii="Times New Roman" w:eastAsia="Calibri" w:hAnsi="Times New Roman" w:cs="Times New Roman"/>
                <w:i/>
                <w:iCs/>
              </w:rPr>
              <w:t>minimis</w:t>
            </w:r>
            <w:proofErr w:type="spellEnd"/>
            <w:r w:rsidRPr="00966363">
              <w:rPr>
                <w:rFonts w:ascii="Times New Roman" w:eastAsia="Calibri" w:hAnsi="Times New Roman" w:cs="Times New Roman"/>
              </w:rPr>
              <w:t xml:space="preserve"> w ramach obszaru wsparcia 2.3 programu Fundusze Europejskie na Rozwój Cyfrowy na lata 2021-2027 na podstawie tracącego moc rozporządzenia Komisji UE nr 1407/2013.</w:t>
            </w:r>
            <w:r>
              <w:rPr>
                <w:rFonts w:ascii="Times New Roman" w:eastAsia="Calibri" w:hAnsi="Times New Roman" w:cs="Times New Roman"/>
              </w:rPr>
              <w:t xml:space="preserve"> Nowelizacja rozporządzenia </w:t>
            </w:r>
            <w:r w:rsidRPr="00966363">
              <w:rPr>
                <w:rFonts w:ascii="Times New Roman" w:eastAsia="Calibri" w:hAnsi="Times New Roman" w:cs="Times New Roman"/>
              </w:rPr>
              <w:t>zapewni aktualność regulacji krajowych umożliwiających wydatkowanie środków z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966363">
              <w:rPr>
                <w:rFonts w:ascii="Times New Roman" w:eastAsia="Calibri" w:hAnsi="Times New Roman" w:cs="Times New Roman"/>
              </w:rPr>
              <w:t>programu Fundusze Europejskie na Rozwój Cyfrowy 2021–2027.</w:t>
            </w:r>
          </w:p>
        </w:tc>
      </w:tr>
      <w:tr w:rsidR="0093242B" w:rsidRPr="0093242B" w14:paraId="6AC7D43A" w14:textId="77777777" w:rsidTr="00BB07A2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A83BBC9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spacing w:val="-2"/>
              </w:rPr>
              <w:t>Jak problem został rozwiązany w innych krajach, w szczególności krajach członkowskich OECD/UE</w:t>
            </w: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>?</w:t>
            </w:r>
            <w:r w:rsidRPr="0093242B">
              <w:rPr>
                <w:rFonts w:ascii="Times New Roman" w:eastAsia="Calibri" w:hAnsi="Times New Roman" w:cs="Times New Roman"/>
                <w:i/>
                <w:color w:val="000000"/>
              </w:rPr>
              <w:t xml:space="preserve"> </w:t>
            </w:r>
          </w:p>
        </w:tc>
      </w:tr>
      <w:tr w:rsidR="0093242B" w:rsidRPr="0093242B" w14:paraId="300AA541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F25967B" w14:textId="3B143A0E" w:rsidR="0093242B" w:rsidRPr="0093242B" w:rsidRDefault="0093242B" w:rsidP="0093242B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Nie dotyczy. Projektowane rozporządzenie stanowi wykonani</w:t>
            </w:r>
            <w:r w:rsidR="00750BE7">
              <w:rPr>
                <w:rFonts w:ascii="Times New Roman" w:eastAsia="Calibri" w:hAnsi="Times New Roman" w:cs="Times New Roman"/>
                <w:color w:val="000000"/>
                <w:spacing w:val="-2"/>
              </w:rPr>
              <w:t>a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przepisów prawa krajowego.</w:t>
            </w:r>
          </w:p>
        </w:tc>
      </w:tr>
      <w:tr w:rsidR="0093242B" w:rsidRPr="0093242B" w14:paraId="7CB5B2A0" w14:textId="77777777" w:rsidTr="00BB07A2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3728DC6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93242B" w:rsidRPr="0093242B" w14:paraId="27E5E68B" w14:textId="77777777" w:rsidTr="00BB07A2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192B230" w14:textId="77777777" w:rsidR="0093242B" w:rsidRPr="0093242B" w:rsidRDefault="0093242B" w:rsidP="0093242B">
            <w:pPr>
              <w:spacing w:before="40"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3CAC443" w14:textId="77777777" w:rsidR="0093242B" w:rsidRPr="0093242B" w:rsidRDefault="0093242B" w:rsidP="0093242B">
            <w:pPr>
              <w:spacing w:before="40"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4D81C9A" w14:textId="77777777" w:rsidR="0093242B" w:rsidRPr="0093242B" w:rsidRDefault="0093242B" w:rsidP="0093242B">
            <w:pPr>
              <w:spacing w:before="40"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Źródło danych</w:t>
            </w:r>
            <w:r w:rsidRPr="0093242B" w:rsidDel="00260F33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11CE06C1" w14:textId="77777777" w:rsidR="0093242B" w:rsidRPr="0093242B" w:rsidRDefault="0093242B" w:rsidP="0093242B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Oddziaływanie</w:t>
            </w:r>
          </w:p>
        </w:tc>
      </w:tr>
      <w:tr w:rsidR="0093242B" w:rsidRPr="0093242B" w14:paraId="50BD35A4" w14:textId="77777777" w:rsidTr="00BB07A2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9CA2076" w14:textId="3E526E19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Beneficjenci pomocy publicznej i </w:t>
            </w:r>
            <w:r w:rsidRPr="0033175D">
              <w:rPr>
                <w:rFonts w:ascii="Times New Roman" w:eastAsia="Times New Roman" w:hAnsi="Times New Roman" w:cs="Arial"/>
                <w:iCs/>
                <w:lang w:eastAsia="pl-PL"/>
              </w:rPr>
              <w:t xml:space="preserve">pomocy </w:t>
            </w:r>
            <w:r w:rsidR="00D77BF2">
              <w:rPr>
                <w:rFonts w:ascii="Times New Roman" w:eastAsia="Times New Roman" w:hAnsi="Times New Roman" w:cs="Arial"/>
                <w:iCs/>
                <w:lang w:eastAsia="pl-PL"/>
              </w:rPr>
              <w:br/>
            </w:r>
            <w:r w:rsidRPr="0033175D">
              <w:rPr>
                <w:rFonts w:ascii="Times New Roman" w:eastAsia="Times New Roman" w:hAnsi="Times New Roman" w:cs="Arial"/>
                <w:i/>
                <w:lang w:eastAsia="pl-PL"/>
              </w:rPr>
              <w:t xml:space="preserve">de </w:t>
            </w:r>
            <w:proofErr w:type="spellStart"/>
            <w:r w:rsidRPr="0093242B">
              <w:rPr>
                <w:rFonts w:ascii="Times New Roman" w:eastAsia="Times New Roman" w:hAnsi="Times New Roman" w:cs="Arial"/>
                <w:i/>
                <w:lang w:eastAsia="pl-PL"/>
              </w:rPr>
              <w:t>minimis</w:t>
            </w:r>
            <w:proofErr w:type="spellEnd"/>
            <w:r w:rsidRPr="0033175D">
              <w:rPr>
                <w:rFonts w:ascii="Times New Roman" w:eastAsia="Times New Roman" w:hAnsi="Times New Roman" w:cs="Arial"/>
                <w:iCs/>
                <w:lang w:eastAsia="pl-PL"/>
              </w:rPr>
              <w:t xml:space="preserve">, </w:t>
            </w:r>
            <w:r w:rsidR="00D77BF2">
              <w:rPr>
                <w:rFonts w:ascii="Times New Roman" w:eastAsia="Times New Roman" w:hAnsi="Times New Roman" w:cs="Arial"/>
                <w:iCs/>
                <w:lang w:eastAsia="pl-PL"/>
              </w:rPr>
              <w:br/>
            </w:r>
            <w:r w:rsidRPr="0033175D">
              <w:rPr>
                <w:rFonts w:ascii="Times New Roman" w:eastAsia="Times New Roman" w:hAnsi="Times New Roman" w:cs="Arial"/>
                <w:iCs/>
                <w:lang w:eastAsia="pl-PL"/>
              </w:rPr>
              <w:t>tj.</w:t>
            </w:r>
            <w:r w:rsidRPr="0093242B">
              <w:rPr>
                <w:rFonts w:ascii="Times New Roman" w:eastAsia="Times New Roman" w:hAnsi="Times New Roman" w:cs="Arial"/>
                <w:i/>
                <w:lang w:eastAsia="pl-PL"/>
              </w:rPr>
              <w:t xml:space="preserve"> </w:t>
            </w:r>
            <w:r w:rsidRPr="0033175D">
              <w:rPr>
                <w:rFonts w:ascii="Times New Roman" w:eastAsia="Times New Roman" w:hAnsi="Times New Roman" w:cs="Arial"/>
                <w:iCs/>
                <w:lang w:eastAsia="pl-PL"/>
              </w:rPr>
              <w:t>„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przedsiębiorstwa”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vertAlign w:val="superscript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vertAlign w:val="superscript"/>
              </w:rPr>
              <w:footnoteReference w:id="1"/>
            </w:r>
            <w:r w:rsidRPr="0093242B">
              <w:rPr>
                <w:rFonts w:ascii="Times New Roman" w:eastAsia="Times New Roman" w:hAnsi="Times New Roman" w:cs="Arial"/>
                <w:vertAlign w:val="superscript"/>
                <w:lang w:eastAsia="pl-PL"/>
              </w:rPr>
              <w:t>)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uzyskujące wsparcie w ramach obszaru wsparcia 2.3</w:t>
            </w:r>
            <w:r w:rsidR="00966363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FERC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A4C3107" w14:textId="77777777" w:rsidR="0093242B" w:rsidRPr="0093242B" w:rsidRDefault="0093242B" w:rsidP="0096636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>Trudna do oszacowania</w:t>
            </w:r>
            <w:r w:rsidRPr="0093242B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footnoteReference w:id="2"/>
            </w:r>
            <w:r w:rsidRPr="0093242B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)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8018B11" w14:textId="7B569C68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</w:rPr>
              <w:t xml:space="preserve">Zawiadomienie Komisji w sprawie pojęcia pomocy państwa w rozumieniu art. 107 ust. 1 Traktatu </w:t>
            </w:r>
            <w:r w:rsidR="00D77BF2">
              <w:rPr>
                <w:rFonts w:ascii="Times New Roman" w:eastAsia="Calibri" w:hAnsi="Times New Roman" w:cs="Times New Roman"/>
              </w:rPr>
              <w:br/>
            </w:r>
            <w:r w:rsidRPr="0093242B">
              <w:rPr>
                <w:rFonts w:ascii="Times New Roman" w:eastAsia="Calibri" w:hAnsi="Times New Roman" w:cs="Times New Roman"/>
              </w:rPr>
              <w:t>o funkcjonowaniu Unii Europejskiej (C/2016/2946)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E410DD9" w14:textId="0D325EF3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 xml:space="preserve">Możliwość uzyskania wsparcia w ramach obszaru wsparcia 2.3 </w:t>
            </w:r>
            <w:r w:rsidR="00966363" w:rsidRPr="00966363">
              <w:rPr>
                <w:rFonts w:ascii="Times New Roman" w:eastAsia="Times New Roman" w:hAnsi="Times New Roman" w:cs="Arial"/>
                <w:iCs/>
                <w:lang w:eastAsia="pl-PL"/>
              </w:rPr>
              <w:t>FERC</w:t>
            </w:r>
            <w:r w:rsidR="00105B5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 xml:space="preserve">zgodnie </w:t>
            </w:r>
            <w:r w:rsidR="00D77BF2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>z przepisami o</w:t>
            </w:r>
            <w:r w:rsidR="00750BE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 xml:space="preserve">pomocy publicznej i pomocy </w:t>
            </w:r>
            <w:r w:rsidR="00D77BF2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3242B">
              <w:rPr>
                <w:rFonts w:ascii="Times New Roman" w:eastAsia="Times New Roman" w:hAnsi="Times New Roman" w:cs="Arial"/>
                <w:i/>
                <w:lang w:eastAsia="pl-PL"/>
              </w:rPr>
              <w:t xml:space="preserve">de </w:t>
            </w:r>
            <w:proofErr w:type="spellStart"/>
            <w:r w:rsidRPr="0093242B">
              <w:rPr>
                <w:rFonts w:ascii="Times New Roman" w:eastAsia="Times New Roman" w:hAnsi="Times New Roman" w:cs="Arial"/>
                <w:i/>
                <w:lang w:eastAsia="pl-PL"/>
              </w:rPr>
              <w:t>minimis</w:t>
            </w:r>
            <w:proofErr w:type="spellEnd"/>
            <w:r w:rsidR="00966363">
              <w:rPr>
                <w:rFonts w:ascii="Times New Roman" w:eastAsia="Times New Roman" w:hAnsi="Times New Roman" w:cs="Arial"/>
                <w:i/>
                <w:lang w:eastAsia="pl-PL"/>
              </w:rPr>
              <w:t xml:space="preserve"> </w:t>
            </w:r>
          </w:p>
        </w:tc>
      </w:tr>
      <w:tr w:rsidR="0093242B" w:rsidRPr="0093242B" w14:paraId="795423E8" w14:textId="77777777" w:rsidTr="00BB07A2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5BFBF8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Centrum Projektów</w:t>
            </w:r>
          </w:p>
          <w:p w14:paraId="2822730F" w14:textId="77777777" w:rsidR="0093242B" w:rsidRPr="0093242B" w:rsidRDefault="0093242B" w:rsidP="0093242B">
            <w:pPr>
              <w:tabs>
                <w:tab w:val="left" w:pos="1583"/>
              </w:tabs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Polska Cyfrowa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CA4CCF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6957A9E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31E912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>Określenie warunków</w:t>
            </w:r>
          </w:p>
          <w:p w14:paraId="26B498BC" w14:textId="44BB2E21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>i trybu udzielania</w:t>
            </w:r>
            <w:r w:rsidRPr="0093242B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 xml:space="preserve">pomocy publicznej i pomocy </w:t>
            </w:r>
            <w:r w:rsidR="00D77BF2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3242B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de </w:t>
            </w:r>
            <w:proofErr w:type="spellStart"/>
            <w:r w:rsidRPr="0093242B">
              <w:rPr>
                <w:rFonts w:ascii="Times New Roman" w:eastAsia="Times New Roman" w:hAnsi="Times New Roman" w:cs="Times New Roman"/>
                <w:i/>
                <w:lang w:eastAsia="pl-PL"/>
              </w:rPr>
              <w:t>minimis</w:t>
            </w:r>
            <w:proofErr w:type="spellEnd"/>
            <w:r w:rsidRPr="0093242B">
              <w:rPr>
                <w:rFonts w:ascii="Times New Roman" w:eastAsia="Times New Roman" w:hAnsi="Times New Roman" w:cs="Times New Roman"/>
                <w:lang w:eastAsia="pl-PL"/>
              </w:rPr>
              <w:t xml:space="preserve"> w ramach obszaru wsparcia 2.3</w:t>
            </w:r>
            <w:r w:rsidR="00966363">
              <w:rPr>
                <w:rFonts w:ascii="Times New Roman" w:eastAsia="Times New Roman" w:hAnsi="Times New Roman" w:cs="Times New Roman"/>
                <w:lang w:eastAsia="pl-PL"/>
              </w:rPr>
              <w:t xml:space="preserve"> FERC</w:t>
            </w:r>
          </w:p>
        </w:tc>
      </w:tr>
      <w:tr w:rsidR="0093242B" w:rsidRPr="0093242B" w14:paraId="11B167A0" w14:textId="77777777" w:rsidTr="00BB07A2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BF283A7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93242B" w:rsidRPr="0093242B" w14:paraId="69AAB482" w14:textId="77777777" w:rsidTr="00BB07A2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5DE12350" w14:textId="47F6D6BD" w:rsidR="0093242B" w:rsidRPr="0093242B" w:rsidRDefault="0093242B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Projekt zosta</w:t>
            </w:r>
            <w:r w:rsidR="00D77BF2">
              <w:rPr>
                <w:rFonts w:ascii="Times New Roman" w:eastAsia="Calibri" w:hAnsi="Times New Roman" w:cs="Times New Roman"/>
                <w:color w:val="000000"/>
                <w:spacing w:val="-2"/>
              </w:rPr>
              <w:t>ł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skierowany do konsultacji publicznych</w:t>
            </w:r>
            <w:r w:rsidR="0033175D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i opiniowania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, w tym do podmiotów wskazanych w przepisach o</w:t>
            </w:r>
            <w:r w:rsidR="0033175D">
              <w:rPr>
                <w:rFonts w:ascii="Times New Roman" w:eastAsia="Calibri" w:hAnsi="Times New Roman" w:cs="Times New Roman"/>
                <w:color w:val="000000"/>
                <w:spacing w:val="-2"/>
              </w:rPr>
              <w:t> 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związkach zawodowych, organizacjach pracodawców oraz o Radzie Dialogu Społecznego i innych instytucjach dialogu społecznego. </w:t>
            </w:r>
          </w:p>
          <w:p w14:paraId="2114AB20" w14:textId="7D853488" w:rsidR="0093242B" w:rsidRPr="0093242B" w:rsidRDefault="0093242B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Projekt w ramach konsultacji publicznych </w:t>
            </w:r>
            <w:r w:rsidR="000A2C11">
              <w:rPr>
                <w:rFonts w:ascii="Times New Roman" w:eastAsia="Calibri" w:hAnsi="Times New Roman" w:cs="Times New Roman"/>
                <w:color w:val="000000"/>
                <w:spacing w:val="-2"/>
              </w:rPr>
              <w:t>otrzymały</w:t>
            </w:r>
            <w:r w:rsidR="004B4243">
              <w:rPr>
                <w:rFonts w:ascii="Times New Roman" w:eastAsia="Calibri" w:hAnsi="Times New Roman" w:cs="Times New Roman"/>
                <w:color w:val="000000"/>
                <w:spacing w:val="-2"/>
              </w:rPr>
              <w:t>:</w:t>
            </w:r>
          </w:p>
          <w:p w14:paraId="30F5B627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Federacja Związków Zawodowych Pracowników Kultury i Sztuki;</w:t>
            </w:r>
          </w:p>
          <w:p w14:paraId="5D59D39A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Fundacja Centrum Cyfrowe;</w:t>
            </w:r>
          </w:p>
          <w:p w14:paraId="5A17A831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Fundacja im. Stefana Batorego;</w:t>
            </w:r>
          </w:p>
          <w:p w14:paraId="589C3332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Fundacja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Instrat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;</w:t>
            </w:r>
          </w:p>
          <w:p w14:paraId="7B64E55E" w14:textId="628E1AF9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Fundacja Moje</w:t>
            </w:r>
            <w:r w:rsidR="00750BE7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Państwo;</w:t>
            </w:r>
          </w:p>
          <w:p w14:paraId="68C0500A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Fundacja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OpenStax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Poland;</w:t>
            </w:r>
          </w:p>
          <w:p w14:paraId="34CB8A71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Krajowa Izba Gospodarcza Elektroniki i Telekomunikacji;</w:t>
            </w:r>
          </w:p>
          <w:p w14:paraId="7F8ADFB9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Krajowa Izba Producentów Audiowizualnych;</w:t>
            </w:r>
          </w:p>
          <w:p w14:paraId="0DB5B1C6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Polska Izba Informatyki i Telekomunikacji;</w:t>
            </w:r>
          </w:p>
          <w:p w14:paraId="0E71AC42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Polska Izba Komunikacji Elektronicznej;</w:t>
            </w:r>
          </w:p>
          <w:p w14:paraId="39EA23B6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Polskie Towarzystwo Informatyczne;</w:t>
            </w:r>
          </w:p>
          <w:p w14:paraId="6668DEBF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Sieć Obywatelska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Watchdog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Polska;</w:t>
            </w:r>
          </w:p>
          <w:p w14:paraId="60363939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Stowarzyszenie Autorów i Wydawców COPYRIGHT POLSKA;</w:t>
            </w:r>
          </w:p>
          <w:p w14:paraId="1B3E38DE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Stowarzyszenie autorów ZAiKS;</w:t>
            </w:r>
          </w:p>
          <w:p w14:paraId="3D186B79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Stowarzyszenie Bibliotekarzy Polskich;</w:t>
            </w:r>
          </w:p>
          <w:p w14:paraId="6CDFDE17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Stowarzyszenie Kreatywna Polska;</w:t>
            </w:r>
          </w:p>
          <w:p w14:paraId="63581017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Stowarzyszenie Muzealników Polskich;</w:t>
            </w:r>
          </w:p>
          <w:p w14:paraId="446E2663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Stowarzyszenie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OpenStreetMap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Polska;</w:t>
            </w:r>
          </w:p>
          <w:p w14:paraId="50C36A3F" w14:textId="443CF1EF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lastRenderedPageBreak/>
              <w:t>Związek Cyfrowa Polska;</w:t>
            </w:r>
          </w:p>
          <w:p w14:paraId="73CFDB42" w14:textId="77777777" w:rsidR="0093242B" w:rsidRPr="0093242B" w:rsidRDefault="0093242B" w:rsidP="003317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Związek Pracodawców Branży Internetowej Interactive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Advertising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  <w:proofErr w:type="spellStart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Bureau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Polska.</w:t>
            </w:r>
          </w:p>
          <w:p w14:paraId="081B7428" w14:textId="43524840" w:rsidR="0093242B" w:rsidRPr="0093242B" w:rsidRDefault="0093242B" w:rsidP="003317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93242B">
              <w:rPr>
                <w:rFonts w:ascii="Times New Roman" w:eastAsia="Times New Roman" w:hAnsi="Times New Roman" w:cs="Arial"/>
                <w:color w:val="000000"/>
                <w:spacing w:val="-2"/>
                <w:lang w:eastAsia="pl-PL"/>
              </w:rPr>
              <w:t>Projekt zosta</w:t>
            </w:r>
            <w:r w:rsidR="00D77BF2">
              <w:rPr>
                <w:rFonts w:ascii="Times New Roman" w:eastAsia="Times New Roman" w:hAnsi="Times New Roman" w:cs="Arial"/>
                <w:color w:val="000000"/>
                <w:spacing w:val="-2"/>
                <w:lang w:eastAsia="pl-PL"/>
              </w:rPr>
              <w:t>ł</w:t>
            </w:r>
            <w:r w:rsidRPr="0093242B">
              <w:rPr>
                <w:rFonts w:ascii="Times New Roman" w:eastAsia="Times New Roman" w:hAnsi="Times New Roman" w:cs="Arial"/>
                <w:color w:val="000000"/>
                <w:spacing w:val="-2"/>
                <w:lang w:eastAsia="pl-PL"/>
              </w:rPr>
              <w:t xml:space="preserve"> również </w:t>
            </w:r>
            <w:r w:rsidR="0025623E" w:rsidRPr="0093242B">
              <w:rPr>
                <w:rFonts w:ascii="Times New Roman" w:eastAsia="Times New Roman" w:hAnsi="Times New Roman" w:cs="Arial"/>
                <w:color w:val="000000"/>
                <w:spacing w:val="-2"/>
                <w:lang w:eastAsia="pl-PL"/>
              </w:rPr>
              <w:t xml:space="preserve">przekazany </w:t>
            </w:r>
            <w:r w:rsidRPr="0093242B">
              <w:rPr>
                <w:rFonts w:ascii="Times New Roman" w:eastAsia="Times New Roman" w:hAnsi="Times New Roman" w:cs="Arial"/>
                <w:color w:val="000000"/>
                <w:spacing w:val="-2"/>
                <w:lang w:eastAsia="pl-PL"/>
              </w:rPr>
              <w:t>do</w:t>
            </w:r>
            <w:r w:rsidRPr="0093242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zaopiniowania </w:t>
            </w:r>
            <w:r w:rsidR="002E235F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do </w:t>
            </w:r>
            <w:r w:rsidR="002E235F" w:rsidRPr="0093242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następując</w:t>
            </w:r>
            <w:r w:rsidR="002E235F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ych</w:t>
            </w:r>
            <w:r w:rsidR="002E235F" w:rsidRPr="0093242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podmiot</w:t>
            </w:r>
            <w:r w:rsidR="002E235F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ów</w:t>
            </w:r>
            <w:r w:rsidRPr="0093242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:</w:t>
            </w:r>
          </w:p>
          <w:p w14:paraId="2043DBB4" w14:textId="05094BBB" w:rsidR="0093242B" w:rsidRPr="00FA4431" w:rsidRDefault="0093242B" w:rsidP="0033175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Prezes</w:t>
            </w:r>
            <w:r w:rsidR="006D3C06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a</w:t>
            </w: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Prokuratorii Generalnej Rzeczypospolitej Polskiej;</w:t>
            </w:r>
          </w:p>
          <w:p w14:paraId="66505291" w14:textId="0C028A19" w:rsidR="0093242B" w:rsidRPr="00FA4431" w:rsidRDefault="0093242B" w:rsidP="0033175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Prezes</w:t>
            </w:r>
            <w:r w:rsidR="006D3C06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a </w:t>
            </w: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Urzędu Ochrony Konkurencji i Konsumentów;</w:t>
            </w:r>
          </w:p>
          <w:p w14:paraId="327C7E23" w14:textId="4A872020" w:rsidR="0093242B" w:rsidRPr="00FA4431" w:rsidRDefault="0093242B" w:rsidP="0033175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Prezes</w:t>
            </w:r>
            <w:r w:rsidR="006D3C06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a</w:t>
            </w: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Urzędu Ochrony Danych Osobowych;</w:t>
            </w:r>
          </w:p>
          <w:p w14:paraId="6CFFC90C" w14:textId="5878A14C" w:rsidR="0093242B" w:rsidRPr="00FA4431" w:rsidRDefault="0093242B" w:rsidP="0033175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Dyrektor</w:t>
            </w:r>
            <w:r w:rsidR="006D3C06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a</w:t>
            </w:r>
            <w:r w:rsidRPr="00FA4431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Centrum Projektów Polska Cyfrowa;</w:t>
            </w:r>
          </w:p>
          <w:p w14:paraId="2BD0C460" w14:textId="321431DA" w:rsidR="0093242B" w:rsidRPr="00FA4431" w:rsidRDefault="0093242B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Business Centre Club – Związk</w:t>
            </w:r>
            <w:r w:rsidR="006D3C06">
              <w:rPr>
                <w:rFonts w:ascii="Times New Roman" w:eastAsia="Calibri" w:hAnsi="Times New Roman" w:cs="Times New Roman"/>
              </w:rPr>
              <w:t>u</w:t>
            </w:r>
            <w:r w:rsidRPr="00FA4431">
              <w:rPr>
                <w:rFonts w:ascii="Times New Roman" w:eastAsia="Calibri" w:hAnsi="Times New Roman" w:cs="Times New Roman"/>
              </w:rPr>
              <w:t xml:space="preserve"> Pracodawców;</w:t>
            </w:r>
          </w:p>
          <w:p w14:paraId="030A69D3" w14:textId="017A61B1" w:rsidR="0093242B" w:rsidRPr="00FA4431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Federac</w:t>
            </w:r>
            <w:r>
              <w:rPr>
                <w:rFonts w:ascii="Times New Roman" w:eastAsia="Calibri" w:hAnsi="Times New Roman" w:cs="Times New Roman"/>
              </w:rPr>
              <w:t>j</w:t>
            </w:r>
            <w:r w:rsidR="006D3C06">
              <w:rPr>
                <w:rFonts w:ascii="Times New Roman" w:eastAsia="Calibri" w:hAnsi="Times New Roman" w:cs="Times New Roman"/>
              </w:rPr>
              <w:t>i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Przedsiębiorców Polskich;</w:t>
            </w:r>
          </w:p>
          <w:p w14:paraId="418A7A0D" w14:textId="58D13067" w:rsidR="0093242B" w:rsidRPr="00FA4431" w:rsidRDefault="0093242B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Forum Związków Zawodowych;</w:t>
            </w:r>
          </w:p>
          <w:p w14:paraId="7879199E" w14:textId="2D79779F" w:rsidR="0093242B" w:rsidRPr="00FA4431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Konfederacj</w:t>
            </w:r>
            <w:r w:rsidR="006D3C06">
              <w:rPr>
                <w:rFonts w:ascii="Times New Roman" w:eastAsia="Calibri" w:hAnsi="Times New Roman" w:cs="Times New Roman"/>
              </w:rPr>
              <w:t>i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Lewiatan;</w:t>
            </w:r>
          </w:p>
          <w:p w14:paraId="58D8AB86" w14:textId="4D011F5A" w:rsidR="0093242B" w:rsidRPr="00FA4431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Niezależn</w:t>
            </w:r>
            <w:r w:rsidR="006D3C06">
              <w:rPr>
                <w:rFonts w:ascii="Times New Roman" w:eastAsia="Calibri" w:hAnsi="Times New Roman" w:cs="Times New Roman"/>
              </w:rPr>
              <w:t>ego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A4431">
              <w:rPr>
                <w:rFonts w:ascii="Times New Roman" w:eastAsia="Calibri" w:hAnsi="Times New Roman" w:cs="Times New Roman"/>
              </w:rPr>
              <w:t>Samorządn</w:t>
            </w:r>
            <w:r w:rsidR="006D3C06">
              <w:rPr>
                <w:rFonts w:ascii="Times New Roman" w:eastAsia="Calibri" w:hAnsi="Times New Roman" w:cs="Times New Roman"/>
              </w:rPr>
              <w:t>ego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Związ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6D3C06">
              <w:rPr>
                <w:rFonts w:ascii="Times New Roman" w:eastAsia="Calibri" w:hAnsi="Times New Roman" w:cs="Times New Roman"/>
              </w:rPr>
              <w:t>u</w:t>
            </w:r>
            <w:r w:rsidR="0093242B" w:rsidRPr="00FA4431">
              <w:rPr>
                <w:rFonts w:ascii="Times New Roman" w:eastAsia="Calibri" w:hAnsi="Times New Roman" w:cs="Times New Roman"/>
              </w:rPr>
              <w:t xml:space="preserve"> Zawodow</w:t>
            </w:r>
            <w:r w:rsidR="006D3C06">
              <w:rPr>
                <w:rFonts w:ascii="Times New Roman" w:eastAsia="Calibri" w:hAnsi="Times New Roman" w:cs="Times New Roman"/>
              </w:rPr>
              <w:t>ego</w:t>
            </w:r>
            <w:r w:rsidR="0093242B" w:rsidRPr="00FA4431">
              <w:rPr>
                <w:rFonts w:ascii="Times New Roman" w:eastAsia="Calibri" w:hAnsi="Times New Roman" w:cs="Times New Roman"/>
              </w:rPr>
              <w:t xml:space="preserve"> „Solidarność”;</w:t>
            </w:r>
          </w:p>
          <w:p w14:paraId="0B390787" w14:textId="16FF7E6E" w:rsidR="0093242B" w:rsidRPr="00FA4431" w:rsidRDefault="0093242B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Ogólnopolskie</w:t>
            </w:r>
            <w:r w:rsidR="006D3C06">
              <w:rPr>
                <w:rFonts w:ascii="Times New Roman" w:eastAsia="Calibri" w:hAnsi="Times New Roman" w:cs="Times New Roman"/>
              </w:rPr>
              <w:t>go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2E235F" w:rsidRPr="00FA4431">
              <w:rPr>
                <w:rFonts w:ascii="Times New Roman" w:eastAsia="Calibri" w:hAnsi="Times New Roman" w:cs="Times New Roman"/>
              </w:rPr>
              <w:t>Porozumieni</w:t>
            </w:r>
            <w:r w:rsidR="006D3C06">
              <w:rPr>
                <w:rFonts w:ascii="Times New Roman" w:eastAsia="Calibri" w:hAnsi="Times New Roman" w:cs="Times New Roman"/>
              </w:rPr>
              <w:t>a</w:t>
            </w:r>
            <w:r w:rsidR="002E235F"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Pr="00FA4431">
              <w:rPr>
                <w:rFonts w:ascii="Times New Roman" w:eastAsia="Calibri" w:hAnsi="Times New Roman" w:cs="Times New Roman"/>
              </w:rPr>
              <w:t>Związków Zawodowych;</w:t>
            </w:r>
          </w:p>
          <w:p w14:paraId="25E28356" w14:textId="1F417C62" w:rsidR="0093242B" w:rsidRPr="00FA4431" w:rsidRDefault="0093242B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Pracodawcy Rzeczypospolitej Polskiej;</w:t>
            </w:r>
          </w:p>
          <w:p w14:paraId="7DD5440B" w14:textId="7DAFF48F" w:rsidR="0093242B" w:rsidRPr="00FA4431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Związ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6D3C06">
              <w:rPr>
                <w:rFonts w:ascii="Times New Roman" w:eastAsia="Calibri" w:hAnsi="Times New Roman" w:cs="Times New Roman"/>
              </w:rPr>
              <w:t>u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Przedsiębiorców i Pracodawców;</w:t>
            </w:r>
          </w:p>
          <w:p w14:paraId="79A056F9" w14:textId="33D483B2" w:rsidR="0093242B" w:rsidRPr="00FA4431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Związ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6D3C06">
              <w:rPr>
                <w:rFonts w:ascii="Times New Roman" w:eastAsia="Calibri" w:hAnsi="Times New Roman" w:cs="Times New Roman"/>
              </w:rPr>
              <w:t>u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Rzemiosła Polskiego;</w:t>
            </w:r>
          </w:p>
          <w:p w14:paraId="17358DC3" w14:textId="25C73F84" w:rsidR="0093242B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431">
              <w:rPr>
                <w:rFonts w:ascii="Times New Roman" w:eastAsia="Calibri" w:hAnsi="Times New Roman" w:cs="Times New Roman"/>
              </w:rPr>
              <w:t>Rad</w:t>
            </w:r>
            <w:r w:rsidR="006D3C06">
              <w:rPr>
                <w:rFonts w:ascii="Times New Roman" w:eastAsia="Calibri" w:hAnsi="Times New Roman" w:cs="Times New Roman"/>
              </w:rPr>
              <w:t>y</w:t>
            </w:r>
            <w:r w:rsidRPr="00FA4431">
              <w:rPr>
                <w:rFonts w:ascii="Times New Roman" w:eastAsia="Calibri" w:hAnsi="Times New Roman" w:cs="Times New Roman"/>
              </w:rPr>
              <w:t xml:space="preserve"> </w:t>
            </w:r>
            <w:r w:rsidR="0093242B" w:rsidRPr="00FA4431">
              <w:rPr>
                <w:rFonts w:ascii="Times New Roman" w:eastAsia="Calibri" w:hAnsi="Times New Roman" w:cs="Times New Roman"/>
              </w:rPr>
              <w:t>Dialogu Społecznego</w:t>
            </w:r>
            <w:r w:rsidR="009376D6">
              <w:rPr>
                <w:rFonts w:ascii="Times New Roman" w:eastAsia="Calibri" w:hAnsi="Times New Roman" w:cs="Times New Roman"/>
              </w:rPr>
              <w:t>;</w:t>
            </w:r>
          </w:p>
          <w:p w14:paraId="24F3DDD5" w14:textId="10F93BC4" w:rsidR="009376D6" w:rsidRDefault="002E235F" w:rsidP="003317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Rad</w:t>
            </w:r>
            <w:r w:rsidR="006D3C06">
              <w:rPr>
                <w:rFonts w:ascii="Times New Roman" w:eastAsia="Calibri" w:hAnsi="Times New Roman" w:cs="Times New Roman"/>
              </w:rPr>
              <w:t>y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F1920">
              <w:rPr>
                <w:rFonts w:ascii="Times New Roman" w:eastAsia="Calibri" w:hAnsi="Times New Roman" w:cs="Times New Roman"/>
              </w:rPr>
              <w:t xml:space="preserve">Działalności </w:t>
            </w:r>
            <w:r w:rsidR="009376D6">
              <w:rPr>
                <w:rFonts w:ascii="Times New Roman" w:eastAsia="Calibri" w:hAnsi="Times New Roman" w:cs="Times New Roman"/>
              </w:rPr>
              <w:t>Pożytku Publicznego.</w:t>
            </w:r>
          </w:p>
          <w:p w14:paraId="2BAE8DC6" w14:textId="70EC10FA" w:rsidR="007F108E" w:rsidRPr="007F108E" w:rsidRDefault="007F108E" w:rsidP="007F10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Projekt został także przekazany do zaopiniowania przez Komisję Wspólną Rządu i Samorządu Terytorialnego. </w:t>
            </w:r>
          </w:p>
          <w:p w14:paraId="7C8C3CB1" w14:textId="6BEA468F" w:rsidR="0093242B" w:rsidRDefault="0082401F" w:rsidP="003317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Wyniki konsultacji</w:t>
            </w:r>
            <w:r w:rsidR="0093242B"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i opiniowania </w:t>
            </w:r>
            <w:r w:rsidR="002E235F"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zosta</w:t>
            </w:r>
            <w:r w:rsidR="002E235F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ły</w:t>
            </w:r>
            <w:r w:rsidR="002E235F"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r w:rsidR="0093242B"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opisane w raporcie.</w:t>
            </w:r>
          </w:p>
          <w:p w14:paraId="580527A7" w14:textId="77777777" w:rsidR="007F108E" w:rsidRPr="00FA4431" w:rsidRDefault="007F108E" w:rsidP="003317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</w:p>
          <w:p w14:paraId="2B013DC0" w14:textId="03FB4966" w:rsidR="0093242B" w:rsidRPr="0093242B" w:rsidRDefault="0093242B" w:rsidP="0033175D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Projekt zosta</w:t>
            </w:r>
            <w:r w:rsidR="00D77BF2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ł</w:t>
            </w:r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zamieszczony </w:t>
            </w:r>
            <w:bookmarkStart w:id="2" w:name="_Hlk161058289"/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w </w:t>
            </w:r>
            <w:hyperlink r:id="rId12" w:history="1">
              <w:r w:rsidRPr="002E235F">
                <w:rPr>
                  <w:rStyle w:val="Hipercze"/>
                  <w:rFonts w:ascii="Times New Roman" w:eastAsia="Times New Roman" w:hAnsi="Times New Roman" w:cs="Times New Roman"/>
                  <w:spacing w:val="-2"/>
                  <w:lang w:eastAsia="pl-PL"/>
                </w:rPr>
                <w:t>Biuletynie Informacji Publicznej na stronie podmiotowej Ministra Cyfryzacji</w:t>
              </w:r>
            </w:hyperlink>
            <w:r w:rsidR="00D22D6F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,</w:t>
            </w:r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bookmarkEnd w:id="2"/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a także na </w:t>
            </w:r>
            <w:hyperlink r:id="rId13" w:history="1">
              <w:r w:rsidRPr="002E235F">
                <w:rPr>
                  <w:rStyle w:val="Hipercze"/>
                  <w:rFonts w:ascii="Times New Roman" w:eastAsia="Times New Roman" w:hAnsi="Times New Roman" w:cs="Times New Roman"/>
                  <w:spacing w:val="-2"/>
                  <w:lang w:eastAsia="pl-PL"/>
                </w:rPr>
                <w:t>stronie Rządowego Centrum Legislacji w zakładce Rządowy Proces Legislacyjny</w:t>
              </w:r>
            </w:hyperlink>
            <w:r w:rsidRPr="00FA443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.</w:t>
            </w:r>
          </w:p>
        </w:tc>
      </w:tr>
      <w:tr w:rsidR="0093242B" w:rsidRPr="0093242B" w14:paraId="0CF5ABBD" w14:textId="77777777" w:rsidTr="00BB07A2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4DBBD30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93242B" w:rsidRPr="0093242B" w14:paraId="7E5A81DE" w14:textId="77777777" w:rsidTr="00BB07A2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47CA2835" w14:textId="77777777" w:rsidR="0093242B" w:rsidRPr="0093242B" w:rsidRDefault="0093242B" w:rsidP="0093242B">
            <w:pPr>
              <w:spacing w:before="40" w:after="40" w:line="276" w:lineRule="auto"/>
              <w:ind w:firstLine="29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31755C16" w14:textId="77777777" w:rsidR="0093242B" w:rsidRPr="0093242B" w:rsidRDefault="0093242B" w:rsidP="0093242B">
            <w:pPr>
              <w:spacing w:before="40" w:after="40" w:line="240" w:lineRule="auto"/>
              <w:ind w:firstLine="29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93242B" w:rsidRPr="0093242B" w14:paraId="4CE7DAEA" w14:textId="77777777" w:rsidTr="00BB07A2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71352598" w14:textId="77777777" w:rsidR="0093242B" w:rsidRPr="0093242B" w:rsidRDefault="0093242B" w:rsidP="0093242B">
            <w:pPr>
              <w:spacing w:before="40" w:after="40" w:line="240" w:lineRule="auto"/>
              <w:ind w:firstLine="29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EF0337A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F3A183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8828C2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2907238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7A9CB8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0CDB1889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C490381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8184D7F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61CE9D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402FD6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4F77CD34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2082107" w14:textId="77777777" w:rsidR="0093242B" w:rsidRPr="0093242B" w:rsidRDefault="0093242B" w:rsidP="0093242B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93242B" w:rsidRPr="0093242B" w14:paraId="0B2B745D" w14:textId="77777777" w:rsidTr="00BB07A2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5C626E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DCEB12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6FD59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624F0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7DE64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F90B5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35BE2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DCC05F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70E29C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64941A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926BC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23CC1C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FE3A485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93242B" w:rsidRPr="0093242B" w14:paraId="52D8A9BF" w14:textId="77777777" w:rsidTr="00BB07A2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D1BC98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E0E632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FDE03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E8EDDF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9E72E7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EE793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AD726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80B769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D18BA5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E71E79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88C03A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D435AB9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FC230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93242B" w:rsidRPr="0093242B" w14:paraId="38B912D3" w14:textId="77777777" w:rsidTr="00BB07A2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CF4D4E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799B8C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528FF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6A099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7FEC04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23E04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260C8C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028BC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B907D6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6EA5F0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E0B224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1EF3A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3755E8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1EFEF8C4" w14:textId="77777777" w:rsidTr="00BB07A2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F140D0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45BB36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2BDA6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65E4A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01A89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ADA576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7C5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7FB81E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B3372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57FB3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4DF075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0E932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D30AA39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7AE84D9E" w14:textId="77777777" w:rsidTr="00BB07A2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69A498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804719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86F07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C3148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2F7C4C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44ED9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CB2B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84215E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4E90C2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1466E0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BB77B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EC873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70D0E3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762E2AC4" w14:textId="77777777" w:rsidTr="00BB07A2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CF6923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5456D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0956B6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45FF5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61C456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B5EA4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DE8F01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C4EB35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241D68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10544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C3C8F5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01553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72FF74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3F0D547A" w14:textId="77777777" w:rsidTr="00BB07A2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42BA87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EA185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B5D12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247F9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93F517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262B0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C4CDC9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B695A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97B52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0D8DA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01375C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B594A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A15529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2BE8F16B" w14:textId="77777777" w:rsidTr="00BB07A2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D6E90F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BBC92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21391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97B8E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89CC9A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1F03EB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8A2DDC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B22F95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7C3E3C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064873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1620B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F119F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C7EEA2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57D11315" w14:textId="77777777" w:rsidTr="00BB07A2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282726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16BE62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6884D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BCE17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22111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F5AD6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509A49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DFC88A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1441C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02CE6A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989F2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1F88BE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3CDC37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1362D296" w14:textId="77777777" w:rsidTr="00BB07A2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AD5FED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E9D913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D9879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324DD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DE1299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0562B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A7FC2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E81A54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ADC93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0C2C26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06955A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99C9F1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890503C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70B54E16" w14:textId="77777777" w:rsidTr="00BB07A2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1356E3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9D2879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A810C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99991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92AA5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9DEB81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B607F2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FFB5D2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931746B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4BD8C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C83510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A8A0C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42D80DC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1339FC5F" w14:textId="77777777" w:rsidTr="00BB07A2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6819DD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91716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B8B26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A1949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CDC63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39D44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92107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8DBF0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E652A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FE765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0DAF2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047D8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25147B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93242B" w:rsidRPr="0093242B" w14:paraId="56BF136C" w14:textId="77777777" w:rsidTr="00BB07A2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29392C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4128D30" w14:textId="35894567" w:rsidR="0093242B" w:rsidRPr="0093242B" w:rsidRDefault="00224BC3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224BC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Projektowane rozporządzenie nie rodzi skutków finansowych dla sektora finansów publicznych. Środki przewidziane na wsparcie w ramach pomocy publicznej i pomocy </w:t>
            </w:r>
            <w:r w:rsidRPr="00224BC3">
              <w:rPr>
                <w:rFonts w:ascii="Times New Roman" w:eastAsia="Calibri" w:hAnsi="Times New Roman" w:cs="Times New Roman"/>
                <w:i/>
                <w:iCs/>
                <w:color w:val="000000"/>
                <w:sz w:val="21"/>
                <w:szCs w:val="21"/>
              </w:rPr>
              <w:t xml:space="preserve">de </w:t>
            </w:r>
            <w:proofErr w:type="spellStart"/>
            <w:r w:rsidRPr="00224BC3">
              <w:rPr>
                <w:rFonts w:ascii="Times New Roman" w:eastAsia="Calibri" w:hAnsi="Times New Roman" w:cs="Times New Roman"/>
                <w:i/>
                <w:iCs/>
                <w:color w:val="000000"/>
                <w:sz w:val="21"/>
                <w:szCs w:val="21"/>
              </w:rPr>
              <w:t>minimis</w:t>
            </w:r>
            <w:proofErr w:type="spellEnd"/>
            <w:r w:rsidRPr="00224BC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opisane w</w:t>
            </w:r>
            <w:r w:rsidR="00750BE7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 </w:t>
            </w:r>
            <w:r w:rsidRPr="00224BC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projektowanym rozporządzeniu zostały określone w ramach FERC.</w:t>
            </w:r>
          </w:p>
        </w:tc>
      </w:tr>
      <w:tr w:rsidR="0093242B" w:rsidRPr="0093242B" w14:paraId="2969C4DC" w14:textId="77777777" w:rsidTr="00BB07A2">
        <w:trPr>
          <w:gridAfter w:val="1"/>
          <w:wAfter w:w="10" w:type="dxa"/>
          <w:trHeight w:val="1300"/>
        </w:trPr>
        <w:tc>
          <w:tcPr>
            <w:tcW w:w="2243" w:type="dxa"/>
            <w:gridSpan w:val="2"/>
            <w:shd w:val="clear" w:color="auto" w:fill="FFFFFF"/>
          </w:tcPr>
          <w:p w14:paraId="7B58FDC8" w14:textId="35119590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Dodatkowe informacje, w tym wskazanie źródeł danych </w:t>
            </w:r>
            <w:r w:rsidR="00D77BF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br/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200CE2E9" w14:textId="6E385396" w:rsidR="0093242B" w:rsidRPr="0093242B" w:rsidRDefault="00224BC3" w:rsidP="0093242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Nie dotyczy.</w:t>
            </w:r>
          </w:p>
        </w:tc>
      </w:tr>
      <w:tr w:rsidR="0093242B" w:rsidRPr="0093242B" w14:paraId="1BA851A1" w14:textId="77777777" w:rsidTr="00BB07A2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59B1F8F2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120" w:after="120" w:line="240" w:lineRule="auto"/>
              <w:ind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93242B" w:rsidRPr="0093242B" w14:paraId="5AE71DBC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3504EAE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93242B" w:rsidRPr="0093242B" w14:paraId="2AA9C56D" w14:textId="77777777" w:rsidTr="00BB07A2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6F6C9BC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4A1CD88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E56ADF4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E5C316D" w14:textId="77777777" w:rsidR="0093242B" w:rsidRPr="0093242B" w:rsidRDefault="0093242B" w:rsidP="0093242B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1E0D686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992A7CD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A3C2423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00432331" w14:textId="77777777" w:rsidR="0093242B" w:rsidRPr="0093242B" w:rsidRDefault="0093242B" w:rsidP="00932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93242B" w:rsidDel="0073273A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93242B" w:rsidRPr="0093242B" w14:paraId="6708E8E9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E07AA09" w14:textId="77777777" w:rsidR="0093242B" w:rsidRPr="0093242B" w:rsidRDefault="0093242B" w:rsidP="0093242B">
            <w:pPr>
              <w:spacing w:after="0" w:line="276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pieniężnym</w:t>
            </w:r>
          </w:p>
          <w:p w14:paraId="1712EF6B" w14:textId="77777777" w:rsidR="0093242B" w:rsidRPr="0093242B" w:rsidRDefault="0093242B" w:rsidP="0093242B">
            <w:pPr>
              <w:spacing w:after="0" w:line="276" w:lineRule="auto"/>
              <w:ind w:firstLine="29"/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 xml:space="preserve">(w mln zł, </w:t>
            </w:r>
          </w:p>
          <w:p w14:paraId="4C778EAC" w14:textId="46D0030B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 xml:space="preserve">ceny stałe </w:t>
            </w:r>
            <w:r w:rsidR="00D77BF2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br/>
            </w:r>
            <w:r w:rsidRPr="0093242B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>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1A93C2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47615B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12CBE8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C95931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398C2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C3E04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0810CA4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1CED68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10FCCA3F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BDC13C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4EE962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00405A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558BDB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871FEC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848CD9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04393A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9144D52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AE7282A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1534B16F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CE7977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BA9D1F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 oraz gospodarstwa domowe, osoby starsze i niepełnosprawne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CE903F6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49F1B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9CB1BB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FF28588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5F994A3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2C8102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02060F7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7BF81203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187B0A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D912C3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noProof/>
                <w:color w:val="000000"/>
                <w:sz w:val="21"/>
                <w:szCs w:val="21"/>
              </w:rPr>
              <w:t>(dodaj/usuń)</w: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55A3E9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220874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4F2162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6484622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DB76522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FAFC0EF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4898D22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6F65505E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6D7F3E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5B5A83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503D73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3242B" w:rsidRPr="0093242B" w14:paraId="6F80D746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CC9271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BEDDB2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EFD1E51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26846DF5" w14:textId="77777777" w:rsidTr="00BB07A2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CCF8E11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18A02EA" w14:textId="77777777" w:rsidR="0093242B" w:rsidRPr="0093242B" w:rsidRDefault="0093242B" w:rsidP="0093242B">
            <w:pPr>
              <w:tabs>
                <w:tab w:val="right" w:pos="1936"/>
              </w:tabs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 oraz gospodarstwa domowe</w: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, osoby starsze i niepełnosprawne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269E6B3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02DC79E9" w14:textId="77777777" w:rsidTr="00BB07A2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417B25D6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C674C10" w14:textId="77777777" w:rsidR="0093242B" w:rsidRPr="0093242B" w:rsidRDefault="0093242B" w:rsidP="0093242B">
            <w:pPr>
              <w:tabs>
                <w:tab w:val="right" w:pos="1936"/>
              </w:tabs>
              <w:spacing w:after="0" w:line="276" w:lineRule="auto"/>
              <w:ind w:firstLine="29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gospodarka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1DDBE5C" w14:textId="77777777" w:rsidR="0093242B" w:rsidRPr="0093242B" w:rsidRDefault="0093242B" w:rsidP="0093242B">
            <w:pPr>
              <w:tabs>
                <w:tab w:val="left" w:pos="3000"/>
              </w:tabs>
              <w:spacing w:after="0" w:line="276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76D33A7C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F3D92B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337E9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noProof/>
                <w:color w:val="000000"/>
                <w:sz w:val="21"/>
                <w:szCs w:val="21"/>
              </w:rPr>
              <w:t>(dodaj/usuń)</w: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A8BF8C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7A7E157F" w14:textId="77777777" w:rsidTr="00BB07A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077AB99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9FECC7F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noProof/>
                <w:color w:val="000000"/>
                <w:sz w:val="21"/>
                <w:szCs w:val="21"/>
              </w:rPr>
              <w:t>(dodaj/usuń)</w: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2EF7FBA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3242B" w:rsidRPr="0093242B" w14:paraId="298C6722" w14:textId="77777777" w:rsidTr="0033175D">
        <w:trPr>
          <w:gridAfter w:val="1"/>
          <w:wAfter w:w="10" w:type="dxa"/>
          <w:trHeight w:val="1267"/>
        </w:trPr>
        <w:tc>
          <w:tcPr>
            <w:tcW w:w="2243" w:type="dxa"/>
            <w:gridSpan w:val="2"/>
            <w:shd w:val="clear" w:color="auto" w:fill="FFFFFF"/>
          </w:tcPr>
          <w:p w14:paraId="520BB58D" w14:textId="32AA356A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Dodatkowe informacje, w tym wskazanie źródeł danych</w:t>
            </w:r>
            <w:r w:rsidR="00D77BF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br/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1EC5E91B" w14:textId="3568C7E2" w:rsidR="0093242B" w:rsidRPr="0093242B" w:rsidRDefault="0093242B" w:rsidP="00750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Projektowane rozporządzenie samoistnie nie rodzi skutków w sferze konkurencyjności gospodarki i</w:t>
            </w:r>
            <w:r w:rsidR="00FA4431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 </w:t>
            </w:r>
            <w:r w:rsidRPr="0093242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przedsiębiorczości, ani nie oddziałuje na kondycję ekonomiczną przedsiębiorców oraz rodzin, obywateli i gospodarstw domowych.</w:t>
            </w:r>
          </w:p>
        </w:tc>
      </w:tr>
      <w:tr w:rsidR="0093242B" w:rsidRPr="0093242B" w14:paraId="3903E709" w14:textId="77777777" w:rsidTr="00BB07A2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A5D5148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93242B" w:rsidRPr="0093242B" w14:paraId="09CB8552" w14:textId="77777777" w:rsidTr="00BB07A2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65C320B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nie dotyczy</w:t>
            </w:r>
          </w:p>
        </w:tc>
      </w:tr>
      <w:tr w:rsidR="0093242B" w:rsidRPr="0093242B" w14:paraId="6CB9FE62" w14:textId="77777777" w:rsidTr="00BB07A2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5FC65708" w14:textId="77777777" w:rsidR="0093242B" w:rsidRPr="0093242B" w:rsidRDefault="0093242B" w:rsidP="0093242B">
            <w:pPr>
              <w:spacing w:after="0" w:line="276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5705A93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14:paraId="0F3A997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14:paraId="561E8AA7" w14:textId="77777777" w:rsidR="0093242B" w:rsidRPr="0093242B" w:rsidRDefault="0093242B" w:rsidP="0093242B">
            <w:pPr>
              <w:spacing w:after="0" w:line="276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</w:tc>
      </w:tr>
      <w:tr w:rsidR="0093242B" w:rsidRPr="0093242B" w14:paraId="1CD47E9F" w14:textId="77777777" w:rsidTr="00BB07A2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3660EE0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zmniejszenie liczby dokumentów </w:t>
            </w:r>
          </w:p>
          <w:p w14:paraId="3F97BF0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zmniejszenie liczby procedur</w:t>
            </w:r>
          </w:p>
          <w:p w14:paraId="3B887CDC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skrócenie czasu na załatwienie sprawy</w:t>
            </w:r>
          </w:p>
          <w:p w14:paraId="7E2ACD6C" w14:textId="77777777" w:rsidR="0093242B" w:rsidRPr="0093242B" w:rsidRDefault="0093242B" w:rsidP="0093242B">
            <w:pPr>
              <w:spacing w:after="0" w:line="276" w:lineRule="auto"/>
              <w:ind w:firstLine="29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B17AFB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dokumentów</w:t>
            </w:r>
          </w:p>
          <w:p w14:paraId="66BC75D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procedur</w:t>
            </w:r>
          </w:p>
          <w:p w14:paraId="67009C34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wydłużenie czasu na załatwienie sprawy</w:t>
            </w:r>
          </w:p>
          <w:p w14:paraId="1D75697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  <w:p w14:paraId="3C5B7CEE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3242B" w:rsidRPr="0093242B" w14:paraId="0EB66B43" w14:textId="77777777" w:rsidTr="00BB07A2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F0A4A2B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8CC1422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14:paraId="782D4540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14:paraId="7BC68D7A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  <w:p w14:paraId="0B2E6A7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3242B" w:rsidRPr="0093242B" w14:paraId="632E5EA7" w14:textId="77777777" w:rsidTr="00F55CD3">
        <w:trPr>
          <w:gridAfter w:val="1"/>
          <w:wAfter w:w="10" w:type="dxa"/>
          <w:trHeight w:val="484"/>
        </w:trPr>
        <w:tc>
          <w:tcPr>
            <w:tcW w:w="10937" w:type="dxa"/>
            <w:gridSpan w:val="29"/>
            <w:shd w:val="clear" w:color="auto" w:fill="FFFFFF"/>
          </w:tcPr>
          <w:p w14:paraId="073DA6A3" w14:textId="77777777" w:rsidR="0093242B" w:rsidRPr="0093242B" w:rsidRDefault="0093242B" w:rsidP="005D565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t>Komentarz:</w:t>
            </w:r>
            <w:r w:rsidRPr="0093242B">
              <w:rPr>
                <w:rFonts w:ascii="Calibri" w:eastAsia="Calibri" w:hAnsi="Calibri" w:cs="Times New Roman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>projektowane rozporządzenie jest neutralne w kontekście otoczenia regulacyjnego funkcjonowania rynku danych.</w:t>
            </w:r>
          </w:p>
        </w:tc>
      </w:tr>
      <w:tr w:rsidR="0093242B" w:rsidRPr="0093242B" w14:paraId="59349E3E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4F229A7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 xml:space="preserve">Wpływ na rynek pracy </w:t>
            </w:r>
          </w:p>
        </w:tc>
      </w:tr>
      <w:tr w:rsidR="0093242B" w:rsidRPr="0093242B" w14:paraId="03F1DB3E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2A7A1AA" w14:textId="77777777" w:rsidR="0093242B" w:rsidRPr="0093242B" w:rsidRDefault="0093242B" w:rsidP="0093242B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t>Nie dotyczy.</w:t>
            </w:r>
          </w:p>
        </w:tc>
      </w:tr>
      <w:tr w:rsidR="0093242B" w:rsidRPr="0093242B" w14:paraId="3FE8067A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0747CE3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>Wpływ na pozostałe obszary</w:t>
            </w:r>
          </w:p>
        </w:tc>
      </w:tr>
      <w:tr w:rsidR="0093242B" w:rsidRPr="0093242B" w14:paraId="2A2EF53E" w14:textId="77777777" w:rsidTr="00BB07A2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434D5375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088780E1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środowisko naturalne</w:t>
            </w:r>
          </w:p>
          <w:p w14:paraId="5167F541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>sytuacja i rozwój regionalny</w:t>
            </w:r>
          </w:p>
          <w:p w14:paraId="1C389D5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42F8436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493EC6D8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demografia</w:t>
            </w:r>
          </w:p>
          <w:p w14:paraId="085F330D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t>mienie państwowe</w:t>
            </w:r>
          </w:p>
          <w:p w14:paraId="47362063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inne: 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02854551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4DC0F59D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informatyzacja</w:t>
            </w:r>
          </w:p>
          <w:p w14:paraId="7E9B62EC" w14:textId="77777777" w:rsidR="0093242B" w:rsidRPr="0093242B" w:rsidRDefault="0093242B" w:rsidP="009324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</w:r>
            <w:r w:rsidR="00000000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93242B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9324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zdrowie</w:t>
            </w:r>
          </w:p>
        </w:tc>
      </w:tr>
      <w:tr w:rsidR="0093242B" w:rsidRPr="0093242B" w14:paraId="6D26B5E0" w14:textId="77777777" w:rsidTr="00750BE7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6830897" w14:textId="77777777" w:rsidR="0093242B" w:rsidRPr="0093242B" w:rsidRDefault="0093242B" w:rsidP="0093242B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4BED641E" w14:textId="1209CB31" w:rsidR="0093242B" w:rsidRPr="0093242B" w:rsidRDefault="0093242B" w:rsidP="00750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Projektowane przepisy zapewnią aktualność regulacji krajowych umożliwiających wydatkowanie środków przewidzianych w ramach</w:t>
            </w:r>
            <w:r w:rsidR="00D06C9D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obszaru wsparcia 2.3 w zgodzie z przepisami o pomocy publicznej i pomocy </w:t>
            </w:r>
            <w:r w:rsidRPr="0093242B">
              <w:rPr>
                <w:rFonts w:ascii="Times New Roman" w:eastAsia="Calibri" w:hAnsi="Times New Roman" w:cs="Times New Roman"/>
                <w:i/>
                <w:iCs/>
                <w:color w:val="000000"/>
                <w:spacing w:val="-2"/>
              </w:rPr>
              <w:t xml:space="preserve">de </w:t>
            </w:r>
            <w:proofErr w:type="spellStart"/>
            <w:r w:rsidRPr="0093242B">
              <w:rPr>
                <w:rFonts w:ascii="Times New Roman" w:eastAsia="Calibri" w:hAnsi="Times New Roman" w:cs="Times New Roman"/>
                <w:i/>
                <w:iCs/>
                <w:color w:val="000000"/>
                <w:spacing w:val="-2"/>
              </w:rPr>
              <w:t>minimis</w:t>
            </w:r>
            <w:proofErr w:type="spellEnd"/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. Wskazany obszar wsparcia stanowi interwencję w obszarze informatyzacji, bowiem dotyczy cyfrowej dostępności informacji sektora publicznego oraz cyfrowej dostępności i ponownego wykorzystania informacji przez przedsiębiorstwa.</w:t>
            </w:r>
          </w:p>
        </w:tc>
      </w:tr>
      <w:tr w:rsidR="0093242B" w:rsidRPr="0093242B" w14:paraId="364B2CEE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11C508F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3242B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93242B" w:rsidRPr="0093242B" w14:paraId="232E0E7B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D077C07" w14:textId="77777777" w:rsidR="0093242B" w:rsidRPr="0093242B" w:rsidRDefault="0093242B" w:rsidP="0033175D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spacing w:val="-2"/>
              </w:rPr>
              <w:t>Rozporządzenie jest aktem wykonawczym, realizacja postanowień rozporządzenia nastąpi z dniem jego wejścia w życie.</w:t>
            </w:r>
          </w:p>
        </w:tc>
      </w:tr>
      <w:tr w:rsidR="0093242B" w:rsidRPr="0093242B" w14:paraId="2B231290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8EE5AED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93242B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93242B" w:rsidRPr="0093242B" w14:paraId="3ED0BA7C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B8BD754" w14:textId="77777777" w:rsidR="0093242B" w:rsidRPr="0093242B" w:rsidRDefault="0093242B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Nie przewiduje się ewaluacji.</w:t>
            </w:r>
          </w:p>
        </w:tc>
      </w:tr>
      <w:tr w:rsidR="0093242B" w:rsidRPr="0093242B" w14:paraId="515B538D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8F0262" w14:textId="77777777" w:rsidR="0093242B" w:rsidRPr="0093242B" w:rsidRDefault="0093242B" w:rsidP="00FA4431">
            <w:pPr>
              <w:numPr>
                <w:ilvl w:val="0"/>
                <w:numId w:val="2"/>
              </w:numPr>
              <w:spacing w:before="60" w:after="60" w:line="240" w:lineRule="auto"/>
              <w:ind w:left="318" w:firstLine="29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Załączniki </w:t>
            </w:r>
            <w:r w:rsidRPr="0093242B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93242B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93242B" w:rsidRPr="0093242B" w14:paraId="3AB8DC17" w14:textId="77777777" w:rsidTr="00BB07A2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7A11BEB" w14:textId="77777777" w:rsidR="0093242B" w:rsidRPr="0093242B" w:rsidRDefault="0093242B" w:rsidP="00331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93242B">
              <w:rPr>
                <w:rFonts w:ascii="Times New Roman" w:eastAsia="Calibri" w:hAnsi="Times New Roman" w:cs="Times New Roman"/>
                <w:color w:val="000000"/>
                <w:spacing w:val="-2"/>
              </w:rPr>
              <w:t>Brak załączników.</w:t>
            </w:r>
          </w:p>
        </w:tc>
      </w:tr>
    </w:tbl>
    <w:p w14:paraId="0F9CD42E" w14:textId="77777777" w:rsidR="00261A16" w:rsidRPr="00EA3A48" w:rsidRDefault="00261A16" w:rsidP="003E6DF5">
      <w:pPr>
        <w:rPr>
          <w:rFonts w:ascii="Times New Roman" w:hAnsi="Times New Roman"/>
        </w:rPr>
      </w:pPr>
    </w:p>
    <w:sectPr w:rsidR="00261A16" w:rsidRPr="00EA3A48" w:rsidSect="00FD3A59">
      <w:headerReference w:type="default" r:id="rId14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17F41" w14:textId="77777777" w:rsidR="009B46D9" w:rsidRDefault="009B46D9">
      <w:r>
        <w:separator/>
      </w:r>
    </w:p>
  </w:endnote>
  <w:endnote w:type="continuationSeparator" w:id="0">
    <w:p w14:paraId="7A7BABF2" w14:textId="77777777" w:rsidR="009B46D9" w:rsidRDefault="009B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037BB" w14:textId="77777777" w:rsidR="009B46D9" w:rsidRDefault="009B46D9">
      <w:r>
        <w:separator/>
      </w:r>
    </w:p>
  </w:footnote>
  <w:footnote w:type="continuationSeparator" w:id="0">
    <w:p w14:paraId="4F2726CF" w14:textId="77777777" w:rsidR="009B46D9" w:rsidRDefault="009B46D9">
      <w:r>
        <w:continuationSeparator/>
      </w:r>
    </w:p>
  </w:footnote>
  <w:footnote w:id="1">
    <w:p w14:paraId="60E03066" w14:textId="77777777" w:rsidR="0093242B" w:rsidRPr="00D469A7" w:rsidRDefault="0093242B" w:rsidP="00D77BF2">
      <w:pPr>
        <w:pStyle w:val="Tekstprzypisudolnego"/>
        <w:spacing w:line="240" w:lineRule="auto"/>
        <w:ind w:left="-709" w:right="-869" w:hanging="142"/>
        <w:jc w:val="both"/>
        <w:rPr>
          <w:rFonts w:ascii="Times New Roman" w:hAnsi="Times New Roman"/>
          <w:sz w:val="20"/>
          <w:szCs w:val="20"/>
        </w:rPr>
      </w:pPr>
      <w:r w:rsidRPr="00AA249C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AA249C">
        <w:rPr>
          <w:rFonts w:ascii="Times New Roman" w:hAnsi="Times New Roman"/>
          <w:sz w:val="20"/>
          <w:szCs w:val="20"/>
          <w:vertAlign w:val="superscript"/>
        </w:rPr>
        <w:t>)</w:t>
      </w:r>
      <w:r w:rsidRPr="00D469A7">
        <w:rPr>
          <w:rFonts w:ascii="Times New Roman" w:hAnsi="Times New Roman"/>
          <w:sz w:val="20"/>
          <w:szCs w:val="20"/>
        </w:rPr>
        <w:t xml:space="preserve"> „Przedsiębiorstwo” w rozumieniu Zawiadomienia Komisji w sprawie pojęcia pomocy państwa w rozumieniu art. 107 ust. 1 Traktatu o funkcjonowaniu Unii Europejskiej (</w:t>
      </w:r>
      <w:hyperlink r:id="rId1" w:anchor="ntc5-C_2016262PL.01000101-E0005" w:history="1">
        <w:r w:rsidRPr="00D469A7">
          <w:rPr>
            <w:rStyle w:val="Hipercze"/>
            <w:rFonts w:ascii="Times New Roman" w:hAnsi="Times New Roman"/>
            <w:sz w:val="20"/>
            <w:szCs w:val="20"/>
          </w:rPr>
          <w:t>C/2016/2946</w:t>
        </w:r>
      </w:hyperlink>
      <w:r w:rsidRPr="00D469A7">
        <w:rPr>
          <w:rFonts w:ascii="Times New Roman" w:hAnsi="Times New Roman"/>
          <w:sz w:val="20"/>
          <w:szCs w:val="20"/>
        </w:rPr>
        <w:t xml:space="preserve">) </w:t>
      </w:r>
      <w:r w:rsidRPr="006E5422">
        <w:rPr>
          <w:rFonts w:ascii="Times New Roman" w:hAnsi="Times New Roman"/>
          <w:sz w:val="20"/>
          <w:szCs w:val="20"/>
        </w:rPr>
        <w:t>–</w:t>
      </w:r>
      <w:r w:rsidRPr="00D469A7">
        <w:rPr>
          <w:rFonts w:ascii="Times New Roman" w:hAnsi="Times New Roman"/>
          <w:sz w:val="20"/>
          <w:szCs w:val="20"/>
        </w:rPr>
        <w:t xml:space="preserve"> podmiot prowadzący działalność gospodarczą, bez względu na jego status prawny i sposób jego finansowania.</w:t>
      </w:r>
    </w:p>
  </w:footnote>
  <w:footnote w:id="2">
    <w:p w14:paraId="13ADB54A" w14:textId="673EFBF5" w:rsidR="0093242B" w:rsidRPr="007958D9" w:rsidRDefault="0093242B" w:rsidP="00D77BF2">
      <w:pPr>
        <w:pStyle w:val="Tekstprzypisudolnego"/>
        <w:spacing w:line="240" w:lineRule="auto"/>
        <w:ind w:left="-709" w:right="-869" w:hanging="142"/>
        <w:jc w:val="both"/>
        <w:rPr>
          <w:sz w:val="20"/>
          <w:szCs w:val="20"/>
        </w:rPr>
      </w:pPr>
      <w:r w:rsidRPr="00D469A7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469A7">
        <w:rPr>
          <w:rFonts w:ascii="Times New Roman" w:hAnsi="Times New Roman"/>
          <w:sz w:val="20"/>
          <w:szCs w:val="20"/>
          <w:vertAlign w:val="superscript"/>
        </w:rPr>
        <w:t xml:space="preserve">) </w:t>
      </w:r>
      <w:r w:rsidRPr="00D469A7">
        <w:rPr>
          <w:rFonts w:ascii="Times New Roman" w:hAnsi="Times New Roman"/>
          <w:sz w:val="20"/>
          <w:szCs w:val="20"/>
        </w:rPr>
        <w:t xml:space="preserve">Wskazanie liczby jest </w:t>
      </w:r>
      <w:r w:rsidR="0082401F" w:rsidRPr="00D469A7">
        <w:rPr>
          <w:rFonts w:ascii="Times New Roman" w:hAnsi="Times New Roman"/>
          <w:sz w:val="20"/>
          <w:szCs w:val="20"/>
        </w:rPr>
        <w:t>niemożliwe,</w:t>
      </w:r>
      <w:r w:rsidRPr="00D469A7">
        <w:rPr>
          <w:rFonts w:ascii="Times New Roman" w:hAnsi="Times New Roman"/>
          <w:sz w:val="20"/>
          <w:szCs w:val="20"/>
        </w:rPr>
        <w:t xml:space="preserve"> ponieważ zakwalifikowanie określonego podmiotu jako „przedsiębiorstwa” zależy całkowicie od charakteru jego działalności. Ta ogólna zasa</w:t>
      </w:r>
      <w:r>
        <w:rPr>
          <w:rFonts w:ascii="Times New Roman" w:hAnsi="Times New Roman"/>
          <w:sz w:val="20"/>
          <w:szCs w:val="20"/>
        </w:rPr>
        <w:t xml:space="preserve">da ma trzy ważne konsekwencje. </w:t>
      </w:r>
      <w:r w:rsidRPr="00D469A7">
        <w:rPr>
          <w:rFonts w:ascii="Times New Roman" w:hAnsi="Times New Roman"/>
          <w:sz w:val="20"/>
          <w:szCs w:val="20"/>
        </w:rPr>
        <w:t xml:space="preserve">Po pierwsze, status podmiotu na podstawie prawa krajowego nie jest decydujący. Na przykład podmiot zaklasyfikowany zgodnie z prawem krajowym jako stowarzyszenie lub klub sportowy może  zostać uznany za przedsiębiorstwo w rozumieniu art. 107 ust. 1 Traktatu. Ta sama zasada ma zastosowanie do podmiotu, który formalnie jest częścią administracji publicznej. Jedynym istotnym kryterium jest </w:t>
      </w:r>
      <w:r w:rsidR="0082401F" w:rsidRPr="00D469A7">
        <w:rPr>
          <w:rFonts w:ascii="Times New Roman" w:hAnsi="Times New Roman"/>
          <w:sz w:val="20"/>
          <w:szCs w:val="20"/>
        </w:rPr>
        <w:t>fakt</w:t>
      </w:r>
      <w:r w:rsidRPr="00D469A7">
        <w:rPr>
          <w:rFonts w:ascii="Times New Roman" w:hAnsi="Times New Roman"/>
          <w:sz w:val="20"/>
          <w:szCs w:val="20"/>
        </w:rPr>
        <w:t xml:space="preserve"> czy podmiot ten prowadzi działalność gospodarczą. Po drugie, o stosowaniu zasad pomocy państwa nie decyduje to, czy dany podmiot utworzono po to, aby przynosił zyski. Podmioty nienastawione na zysk również mogą oferować na rynku towary i usługi. Po trzecie, klasyfikacja podmiotu jako przedsiębiorstwa zawsze odnosi się do konkretnej działalności. Podmiot prowadzący jednocześnie działalność gospodarczą i działalność o charakterze niegospodarczym powinien być traktowany jako przedsiębiorstwo jedynie w odniesieniu do działalności gospodarczej (Zawiadomienie Komisji w sprawie pojęcia pomocy państwa w rozumieniu art. 107 ust</w:t>
      </w:r>
      <w:r>
        <w:rPr>
          <w:rFonts w:ascii="Times New Roman" w:hAnsi="Times New Roman"/>
          <w:sz w:val="20"/>
          <w:szCs w:val="20"/>
        </w:rPr>
        <w:t>. 1 Traktatu o</w:t>
      </w:r>
      <w:r w:rsidR="00750BE7">
        <w:rPr>
          <w:rFonts w:ascii="Times New Roman" w:hAnsi="Times New Roman"/>
          <w:sz w:val="20"/>
          <w:szCs w:val="20"/>
        </w:rPr>
        <w:t xml:space="preserve"> </w:t>
      </w:r>
      <w:r w:rsidRPr="00D469A7">
        <w:rPr>
          <w:rFonts w:ascii="Times New Roman" w:hAnsi="Times New Roman"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</w:rPr>
        <w:t xml:space="preserve">unkcjonowaniu Unii Europejskiej, </w:t>
      </w:r>
      <w:hyperlink r:id="rId2" w:anchor="ntc5-C_2016262PL.01000101-E0005" w:history="1">
        <w:r w:rsidRPr="00D469A7">
          <w:rPr>
            <w:rStyle w:val="Hipercze"/>
            <w:rFonts w:ascii="Times New Roman" w:hAnsi="Times New Roman"/>
            <w:sz w:val="20"/>
            <w:szCs w:val="20"/>
          </w:rPr>
          <w:t>C/2016/2946</w:t>
        </w:r>
      </w:hyperlink>
      <w:r>
        <w:rPr>
          <w:rFonts w:ascii="Times New Roman" w:hAnsi="Times New Roman"/>
          <w:sz w:val="20"/>
          <w:szCs w:val="20"/>
        </w:rPr>
        <w:t>)</w:t>
      </w:r>
      <w:r w:rsidRPr="00D469A7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75E64" w14:textId="77777777" w:rsidR="0007798C" w:rsidRPr="00B371CC" w:rsidRDefault="0007798C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A56B1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2335D"/>
    <w:multiLevelType w:val="hybridMultilevel"/>
    <w:tmpl w:val="BE02C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66DA"/>
    <w:multiLevelType w:val="hybridMultilevel"/>
    <w:tmpl w:val="FF8C6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F29B9"/>
    <w:multiLevelType w:val="hybridMultilevel"/>
    <w:tmpl w:val="A7FACDC2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1DB67F54"/>
    <w:multiLevelType w:val="hybridMultilevel"/>
    <w:tmpl w:val="32AA1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A41E7"/>
    <w:multiLevelType w:val="hybridMultilevel"/>
    <w:tmpl w:val="7E8AF186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980DEFE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597064">
    <w:abstractNumId w:val="2"/>
  </w:num>
  <w:num w:numId="2" w16cid:durableId="884801971">
    <w:abstractNumId w:val="4"/>
  </w:num>
  <w:num w:numId="3" w16cid:durableId="1740905888">
    <w:abstractNumId w:val="3"/>
  </w:num>
  <w:num w:numId="4" w16cid:durableId="1191066146">
    <w:abstractNumId w:val="0"/>
  </w:num>
  <w:num w:numId="5" w16cid:durableId="113214004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83"/>
    <w:rsid w:val="000012DA"/>
    <w:rsid w:val="0000246E"/>
    <w:rsid w:val="00003862"/>
    <w:rsid w:val="00006371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1DF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4283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7798C"/>
    <w:rsid w:val="000814A7"/>
    <w:rsid w:val="0008557B"/>
    <w:rsid w:val="00085CE7"/>
    <w:rsid w:val="00087F70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2C11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3ED9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5B5C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1A8B"/>
    <w:rsid w:val="00143C8B"/>
    <w:rsid w:val="00147A47"/>
    <w:rsid w:val="00147AA1"/>
    <w:rsid w:val="001520CF"/>
    <w:rsid w:val="0015667C"/>
    <w:rsid w:val="00157110"/>
    <w:rsid w:val="0015742A"/>
    <w:rsid w:val="00157DA1"/>
    <w:rsid w:val="00163147"/>
    <w:rsid w:val="0016349A"/>
    <w:rsid w:val="001644CB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3BA6"/>
    <w:rsid w:val="00184B91"/>
    <w:rsid w:val="00184D4A"/>
    <w:rsid w:val="00186EC1"/>
    <w:rsid w:val="00191E1F"/>
    <w:rsid w:val="0019473B"/>
    <w:rsid w:val="001952B1"/>
    <w:rsid w:val="00195EFF"/>
    <w:rsid w:val="00196E39"/>
    <w:rsid w:val="00197649"/>
    <w:rsid w:val="001A01FB"/>
    <w:rsid w:val="001A10E9"/>
    <w:rsid w:val="001A183D"/>
    <w:rsid w:val="001A2B65"/>
    <w:rsid w:val="001A38BF"/>
    <w:rsid w:val="001A3CD3"/>
    <w:rsid w:val="001A5BEF"/>
    <w:rsid w:val="001A7F15"/>
    <w:rsid w:val="001B342E"/>
    <w:rsid w:val="001C1832"/>
    <w:rsid w:val="001C188C"/>
    <w:rsid w:val="001D1783"/>
    <w:rsid w:val="001D46DE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4BC3"/>
    <w:rsid w:val="002279C0"/>
    <w:rsid w:val="002312A0"/>
    <w:rsid w:val="00232A24"/>
    <w:rsid w:val="0023727E"/>
    <w:rsid w:val="00242081"/>
    <w:rsid w:val="00243777"/>
    <w:rsid w:val="002441CD"/>
    <w:rsid w:val="002501A3"/>
    <w:rsid w:val="0025166C"/>
    <w:rsid w:val="002555D4"/>
    <w:rsid w:val="002558AA"/>
    <w:rsid w:val="0025623E"/>
    <w:rsid w:val="00261A16"/>
    <w:rsid w:val="00263522"/>
    <w:rsid w:val="0026499A"/>
    <w:rsid w:val="00264EC6"/>
    <w:rsid w:val="00271013"/>
    <w:rsid w:val="002715A9"/>
    <w:rsid w:val="00273FE4"/>
    <w:rsid w:val="002765B4"/>
    <w:rsid w:val="00276A94"/>
    <w:rsid w:val="00286F5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35F"/>
    <w:rsid w:val="002E2AB6"/>
    <w:rsid w:val="002E3F34"/>
    <w:rsid w:val="002E5F79"/>
    <w:rsid w:val="002E64FA"/>
    <w:rsid w:val="002F0A00"/>
    <w:rsid w:val="002F0CFA"/>
    <w:rsid w:val="002F62AB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175D"/>
    <w:rsid w:val="00334E3A"/>
    <w:rsid w:val="003361DD"/>
    <w:rsid w:val="00341A6A"/>
    <w:rsid w:val="00345B9C"/>
    <w:rsid w:val="00352DAE"/>
    <w:rsid w:val="00354C9C"/>
    <w:rsid w:val="00354EB9"/>
    <w:rsid w:val="003602AE"/>
    <w:rsid w:val="00360929"/>
    <w:rsid w:val="003647D5"/>
    <w:rsid w:val="003674B0"/>
    <w:rsid w:val="00375959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4F2A"/>
    <w:rsid w:val="003A60DC"/>
    <w:rsid w:val="003A6A46"/>
    <w:rsid w:val="003A7A63"/>
    <w:rsid w:val="003B000C"/>
    <w:rsid w:val="003B0F1D"/>
    <w:rsid w:val="003B4A57"/>
    <w:rsid w:val="003B7D5F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6DF5"/>
    <w:rsid w:val="003F020D"/>
    <w:rsid w:val="003F03D9"/>
    <w:rsid w:val="003F0B05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2A2F"/>
    <w:rsid w:val="00413D8E"/>
    <w:rsid w:val="004140F2"/>
    <w:rsid w:val="004155E8"/>
    <w:rsid w:val="00417B22"/>
    <w:rsid w:val="00421085"/>
    <w:rsid w:val="00423A18"/>
    <w:rsid w:val="0042465E"/>
    <w:rsid w:val="00424DF7"/>
    <w:rsid w:val="004275C1"/>
    <w:rsid w:val="00432B76"/>
    <w:rsid w:val="00434D01"/>
    <w:rsid w:val="00435D26"/>
    <w:rsid w:val="00440C99"/>
    <w:rsid w:val="0044175C"/>
    <w:rsid w:val="0044572F"/>
    <w:rsid w:val="00445F4D"/>
    <w:rsid w:val="004504C0"/>
    <w:rsid w:val="004550FB"/>
    <w:rsid w:val="0046005F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466"/>
    <w:rsid w:val="00485FAD"/>
    <w:rsid w:val="00487AED"/>
    <w:rsid w:val="00491EDF"/>
    <w:rsid w:val="00492A3F"/>
    <w:rsid w:val="00494F62"/>
    <w:rsid w:val="004A2001"/>
    <w:rsid w:val="004A3590"/>
    <w:rsid w:val="004A396F"/>
    <w:rsid w:val="004A42FF"/>
    <w:rsid w:val="004B00A7"/>
    <w:rsid w:val="004B25E2"/>
    <w:rsid w:val="004B33CE"/>
    <w:rsid w:val="004B34D7"/>
    <w:rsid w:val="004B4243"/>
    <w:rsid w:val="004B5037"/>
    <w:rsid w:val="004B5B2F"/>
    <w:rsid w:val="004B626A"/>
    <w:rsid w:val="004B660E"/>
    <w:rsid w:val="004C05BD"/>
    <w:rsid w:val="004C0714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9D9"/>
    <w:rsid w:val="004F1F4A"/>
    <w:rsid w:val="004F296D"/>
    <w:rsid w:val="004F508B"/>
    <w:rsid w:val="004F695F"/>
    <w:rsid w:val="004F6CA4"/>
    <w:rsid w:val="00500209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2B59"/>
    <w:rsid w:val="005132D0"/>
    <w:rsid w:val="005147E8"/>
    <w:rsid w:val="005158F2"/>
    <w:rsid w:val="00526DFC"/>
    <w:rsid w:val="00526F43"/>
    <w:rsid w:val="00527651"/>
    <w:rsid w:val="005363AB"/>
    <w:rsid w:val="00536640"/>
    <w:rsid w:val="00544EF4"/>
    <w:rsid w:val="00545E53"/>
    <w:rsid w:val="005479D9"/>
    <w:rsid w:val="00555627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1E3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5659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74CC"/>
    <w:rsid w:val="00642A65"/>
    <w:rsid w:val="006454F5"/>
    <w:rsid w:val="00645B5E"/>
    <w:rsid w:val="00645DCE"/>
    <w:rsid w:val="006465AC"/>
    <w:rsid w:val="006465BF"/>
    <w:rsid w:val="00651DCF"/>
    <w:rsid w:val="00653B22"/>
    <w:rsid w:val="00657BF4"/>
    <w:rsid w:val="006603FB"/>
    <w:rsid w:val="006608DF"/>
    <w:rsid w:val="00660DE2"/>
    <w:rsid w:val="006623AC"/>
    <w:rsid w:val="006678AF"/>
    <w:rsid w:val="006701EF"/>
    <w:rsid w:val="00673BA5"/>
    <w:rsid w:val="0067521F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72D6"/>
    <w:rsid w:val="006C419E"/>
    <w:rsid w:val="006C4A31"/>
    <w:rsid w:val="006C5AC2"/>
    <w:rsid w:val="006C6AFB"/>
    <w:rsid w:val="006D2735"/>
    <w:rsid w:val="006D3C06"/>
    <w:rsid w:val="006D45B2"/>
    <w:rsid w:val="006E0FCC"/>
    <w:rsid w:val="006E1E96"/>
    <w:rsid w:val="006E585C"/>
    <w:rsid w:val="006E5E21"/>
    <w:rsid w:val="006F1920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0BE7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E40"/>
    <w:rsid w:val="00770F6B"/>
    <w:rsid w:val="00771883"/>
    <w:rsid w:val="0077331F"/>
    <w:rsid w:val="00775BD2"/>
    <w:rsid w:val="00776DC2"/>
    <w:rsid w:val="00780122"/>
    <w:rsid w:val="0078214B"/>
    <w:rsid w:val="00783C09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1DDB"/>
    <w:rsid w:val="007D32DD"/>
    <w:rsid w:val="007D6DCE"/>
    <w:rsid w:val="007D72C4"/>
    <w:rsid w:val="007E2CFE"/>
    <w:rsid w:val="007E59C9"/>
    <w:rsid w:val="007F0072"/>
    <w:rsid w:val="007F108E"/>
    <w:rsid w:val="007F2EB6"/>
    <w:rsid w:val="007F54C3"/>
    <w:rsid w:val="00802949"/>
    <w:rsid w:val="0080301E"/>
    <w:rsid w:val="0080365F"/>
    <w:rsid w:val="00803FEC"/>
    <w:rsid w:val="00810106"/>
    <w:rsid w:val="00812BE5"/>
    <w:rsid w:val="00817429"/>
    <w:rsid w:val="00821514"/>
    <w:rsid w:val="00821E35"/>
    <w:rsid w:val="0082401F"/>
    <w:rsid w:val="00824591"/>
    <w:rsid w:val="00824AED"/>
    <w:rsid w:val="008275C4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67140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503"/>
    <w:rsid w:val="008A5D26"/>
    <w:rsid w:val="008A639F"/>
    <w:rsid w:val="008A6B13"/>
    <w:rsid w:val="008A6ECB"/>
    <w:rsid w:val="008A7937"/>
    <w:rsid w:val="008B0BF9"/>
    <w:rsid w:val="008B2866"/>
    <w:rsid w:val="008B3859"/>
    <w:rsid w:val="008B436D"/>
    <w:rsid w:val="008B4E49"/>
    <w:rsid w:val="008B70C6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30D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3A1D"/>
    <w:rsid w:val="00925241"/>
    <w:rsid w:val="00925CEC"/>
    <w:rsid w:val="00926A3F"/>
    <w:rsid w:val="0092794E"/>
    <w:rsid w:val="00930D30"/>
    <w:rsid w:val="0093242B"/>
    <w:rsid w:val="009332A2"/>
    <w:rsid w:val="00937598"/>
    <w:rsid w:val="009376D6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363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6D9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0703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4AF1"/>
    <w:rsid w:val="00A37E70"/>
    <w:rsid w:val="00A437E1"/>
    <w:rsid w:val="00A4685E"/>
    <w:rsid w:val="00A50CD4"/>
    <w:rsid w:val="00A51191"/>
    <w:rsid w:val="00A53666"/>
    <w:rsid w:val="00A56D62"/>
    <w:rsid w:val="00A56F07"/>
    <w:rsid w:val="00A5762C"/>
    <w:rsid w:val="00A600FC"/>
    <w:rsid w:val="00A60BCA"/>
    <w:rsid w:val="00A62106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249C"/>
    <w:rsid w:val="00AA35F6"/>
    <w:rsid w:val="00AA51F6"/>
    <w:rsid w:val="00AA667C"/>
    <w:rsid w:val="00AA6E91"/>
    <w:rsid w:val="00AA7439"/>
    <w:rsid w:val="00AB047E"/>
    <w:rsid w:val="00AB0B0A"/>
    <w:rsid w:val="00AB0BB7"/>
    <w:rsid w:val="00AB0E22"/>
    <w:rsid w:val="00AB22C6"/>
    <w:rsid w:val="00AB2AD0"/>
    <w:rsid w:val="00AB67FC"/>
    <w:rsid w:val="00AC00F2"/>
    <w:rsid w:val="00AC31B5"/>
    <w:rsid w:val="00AC4EA1"/>
    <w:rsid w:val="00AC5381"/>
    <w:rsid w:val="00AC5920"/>
    <w:rsid w:val="00AC778E"/>
    <w:rsid w:val="00AD0E65"/>
    <w:rsid w:val="00AD2BF2"/>
    <w:rsid w:val="00AD332A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43"/>
    <w:rsid w:val="00B006E5"/>
    <w:rsid w:val="00B024C2"/>
    <w:rsid w:val="00B03C53"/>
    <w:rsid w:val="00B04918"/>
    <w:rsid w:val="00B07700"/>
    <w:rsid w:val="00B1355C"/>
    <w:rsid w:val="00B13921"/>
    <w:rsid w:val="00B1528C"/>
    <w:rsid w:val="00B16ACD"/>
    <w:rsid w:val="00B21487"/>
    <w:rsid w:val="00B22927"/>
    <w:rsid w:val="00B232D1"/>
    <w:rsid w:val="00B23D40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327"/>
    <w:rsid w:val="00B55544"/>
    <w:rsid w:val="00B642FC"/>
    <w:rsid w:val="00B64D26"/>
    <w:rsid w:val="00B64FBB"/>
    <w:rsid w:val="00B70E22"/>
    <w:rsid w:val="00B774CB"/>
    <w:rsid w:val="00B77C1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7A2"/>
    <w:rsid w:val="00BB0DC6"/>
    <w:rsid w:val="00BB15E4"/>
    <w:rsid w:val="00BB1E19"/>
    <w:rsid w:val="00BB21D1"/>
    <w:rsid w:val="00BB32F2"/>
    <w:rsid w:val="00BB3DF6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38F7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17CD"/>
    <w:rsid w:val="00C2363F"/>
    <w:rsid w:val="00C236C8"/>
    <w:rsid w:val="00C255DF"/>
    <w:rsid w:val="00C260B1"/>
    <w:rsid w:val="00C26E56"/>
    <w:rsid w:val="00C31406"/>
    <w:rsid w:val="00C37194"/>
    <w:rsid w:val="00C37AB5"/>
    <w:rsid w:val="00C40637"/>
    <w:rsid w:val="00C40F6C"/>
    <w:rsid w:val="00C44426"/>
    <w:rsid w:val="00C445F3"/>
    <w:rsid w:val="00C451F4"/>
    <w:rsid w:val="00C45EB1"/>
    <w:rsid w:val="00C548AD"/>
    <w:rsid w:val="00C54A3A"/>
    <w:rsid w:val="00C55566"/>
    <w:rsid w:val="00C56060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1244"/>
    <w:rsid w:val="00CB18D0"/>
    <w:rsid w:val="00CB1C8A"/>
    <w:rsid w:val="00CB24F5"/>
    <w:rsid w:val="00CB2663"/>
    <w:rsid w:val="00CB3BBE"/>
    <w:rsid w:val="00CB59E9"/>
    <w:rsid w:val="00CC0D6A"/>
    <w:rsid w:val="00CC0FA3"/>
    <w:rsid w:val="00CC3415"/>
    <w:rsid w:val="00CC3831"/>
    <w:rsid w:val="00CC3E3D"/>
    <w:rsid w:val="00CC519B"/>
    <w:rsid w:val="00CD12C1"/>
    <w:rsid w:val="00CD214E"/>
    <w:rsid w:val="00CD46FA"/>
    <w:rsid w:val="00CD5795"/>
    <w:rsid w:val="00CD5973"/>
    <w:rsid w:val="00CE31A6"/>
    <w:rsid w:val="00CF09AA"/>
    <w:rsid w:val="00CF1CA9"/>
    <w:rsid w:val="00CF4813"/>
    <w:rsid w:val="00CF4B58"/>
    <w:rsid w:val="00CF5233"/>
    <w:rsid w:val="00D029B8"/>
    <w:rsid w:val="00D02F60"/>
    <w:rsid w:val="00D0464E"/>
    <w:rsid w:val="00D04A96"/>
    <w:rsid w:val="00D057D9"/>
    <w:rsid w:val="00D06C9D"/>
    <w:rsid w:val="00D07A7B"/>
    <w:rsid w:val="00D10E06"/>
    <w:rsid w:val="00D15197"/>
    <w:rsid w:val="00D15772"/>
    <w:rsid w:val="00D16820"/>
    <w:rsid w:val="00D169C8"/>
    <w:rsid w:val="00D1793F"/>
    <w:rsid w:val="00D20445"/>
    <w:rsid w:val="00D22AF5"/>
    <w:rsid w:val="00D22D6F"/>
    <w:rsid w:val="00D235EA"/>
    <w:rsid w:val="00D247A9"/>
    <w:rsid w:val="00D32721"/>
    <w:rsid w:val="00D328DC"/>
    <w:rsid w:val="00D32AAE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6F4"/>
    <w:rsid w:val="00D65872"/>
    <w:rsid w:val="00D676F3"/>
    <w:rsid w:val="00D70EF5"/>
    <w:rsid w:val="00D71024"/>
    <w:rsid w:val="00D71A25"/>
    <w:rsid w:val="00D71FCF"/>
    <w:rsid w:val="00D72A54"/>
    <w:rsid w:val="00D72CC1"/>
    <w:rsid w:val="00D730E2"/>
    <w:rsid w:val="00D76EC9"/>
    <w:rsid w:val="00D77BF2"/>
    <w:rsid w:val="00D80E7D"/>
    <w:rsid w:val="00D81397"/>
    <w:rsid w:val="00D8178C"/>
    <w:rsid w:val="00D848B9"/>
    <w:rsid w:val="00D90E69"/>
    <w:rsid w:val="00D91368"/>
    <w:rsid w:val="00D91434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4F85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25E6"/>
    <w:rsid w:val="00E34A35"/>
    <w:rsid w:val="00E37C2F"/>
    <w:rsid w:val="00E41C28"/>
    <w:rsid w:val="00E425C0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4222"/>
    <w:rsid w:val="00E66C50"/>
    <w:rsid w:val="00E679D3"/>
    <w:rsid w:val="00E71208"/>
    <w:rsid w:val="00E71444"/>
    <w:rsid w:val="00E71C91"/>
    <w:rsid w:val="00E720A1"/>
    <w:rsid w:val="00E75DDA"/>
    <w:rsid w:val="00E773E8"/>
    <w:rsid w:val="00E777EF"/>
    <w:rsid w:val="00E83ADD"/>
    <w:rsid w:val="00E84F38"/>
    <w:rsid w:val="00E85623"/>
    <w:rsid w:val="00E87441"/>
    <w:rsid w:val="00E91FAE"/>
    <w:rsid w:val="00E96E3F"/>
    <w:rsid w:val="00EA270C"/>
    <w:rsid w:val="00EA3A48"/>
    <w:rsid w:val="00EA4974"/>
    <w:rsid w:val="00EA532E"/>
    <w:rsid w:val="00EA56B1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08D6"/>
    <w:rsid w:val="00EF0B96"/>
    <w:rsid w:val="00EF3486"/>
    <w:rsid w:val="00EF47AF"/>
    <w:rsid w:val="00EF53B6"/>
    <w:rsid w:val="00EF5E79"/>
    <w:rsid w:val="00F00B73"/>
    <w:rsid w:val="00F115CA"/>
    <w:rsid w:val="00F12108"/>
    <w:rsid w:val="00F14817"/>
    <w:rsid w:val="00F14EBA"/>
    <w:rsid w:val="00F1510F"/>
    <w:rsid w:val="00F1533A"/>
    <w:rsid w:val="00F15E5A"/>
    <w:rsid w:val="00F16E85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1611"/>
    <w:rsid w:val="00F53596"/>
    <w:rsid w:val="00F55BA8"/>
    <w:rsid w:val="00F55CD3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76927"/>
    <w:rsid w:val="00F82E30"/>
    <w:rsid w:val="00F831CB"/>
    <w:rsid w:val="00F83C51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14B5"/>
    <w:rsid w:val="00FA14C8"/>
    <w:rsid w:val="00FA3FB5"/>
    <w:rsid w:val="00FA4431"/>
    <w:rsid w:val="00FA7F91"/>
    <w:rsid w:val="00FB121C"/>
    <w:rsid w:val="00FB1CDD"/>
    <w:rsid w:val="00FB1FBF"/>
    <w:rsid w:val="00FB2C2F"/>
    <w:rsid w:val="00FB305C"/>
    <w:rsid w:val="00FB4AFA"/>
    <w:rsid w:val="00FC2E3D"/>
    <w:rsid w:val="00FC3BDE"/>
    <w:rsid w:val="00FC5FD0"/>
    <w:rsid w:val="00FD1DBE"/>
    <w:rsid w:val="00FD25A7"/>
    <w:rsid w:val="00FD27B6"/>
    <w:rsid w:val="00FD3689"/>
    <w:rsid w:val="00FD3A5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AC5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283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645B5E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semiHidden/>
    <w:rsid w:val="00783C0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20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209"/>
    <w:rPr>
      <w:vertAlign w:val="superscript"/>
    </w:rPr>
  </w:style>
  <w:style w:type="character" w:styleId="Hipercze">
    <w:name w:val="Hyperlink"/>
    <w:uiPriority w:val="99"/>
    <w:unhideWhenUsed/>
    <w:rsid w:val="0093242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35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E23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gislacja.rcl.gov.pl/projekt/12383000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mc.bip.gov.pl/projekty-aktow-prawnych-mc/projekt-rozporzadzenia-ministra-cyfryzacji-zmieniajacego-rozporzadzenie-w-sprawie-udzielania-pomocy-publicznej-i-pomocy-de-minimis-na-cyfrowa-dostepnosc-i-ponowne-wykorzystanie-informacji-w-ramach-programu-fundusze-europejskie-na-rozwoj-cyfrowy-2021-2027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kolaj.garstka@cyfra.gov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minik.sybilski@cyfra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nna.gos@cyfra.gov.pl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CELEX%3A52016XC0719%2805%29" TargetMode="External"/><Relationship Id="rId1" Type="http://schemas.openxmlformats.org/officeDocument/2006/relationships/hyperlink" Target="https://eur-lex.europa.eu/legal-content/PL/TXT/?uri=CELEX%3A52016XC0719%2805%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7FE4C5-AABB-45B0-97AD-5F8CADD0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2024-05-20T06:18:00Z</dcterms:created>
  <dcterms:modified xsi:type="dcterms:W3CDTF">2024-05-20T14:29:00Z</dcterms:modified>
  <cp:category/>
</cp:coreProperties>
</file>