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C8B0" w14:textId="65EB3D13" w:rsidR="003010C3" w:rsidRDefault="003010C3" w:rsidP="003010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>Zakres badań próbek wody przeznaczonej do spożycia przez ludzi w trakcie wykonywania czynności odbiorowych</w:t>
      </w:r>
    </w:p>
    <w:p w14:paraId="7CF8AC2B" w14:textId="6AF1F491" w:rsidR="003010C3" w:rsidRDefault="003010C3" w:rsidP="003010C3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</w:pPr>
    </w:p>
    <w:p w14:paraId="5F403DC2" w14:textId="0C073CE5" w:rsidR="003010C3" w:rsidRDefault="003010C3" w:rsidP="003010C3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 xml:space="preserve">Przypadek 1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– nowy obiekt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, do którego doprowadzone jest nowe przyłącze wodociągowe, obiekt po długim przestoju (kilka miesięcy), obiekt z ingerencją w instalację wodociągową, posiadający własne ujęcie wody:</w:t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 xml:space="preserve"> </w:t>
      </w:r>
    </w:p>
    <w:p w14:paraId="4A038115" w14:textId="1F0630D7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 w:rsidRPr="003010C3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br/>
      </w:r>
      <w:r w:rsidRPr="003010C3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>BADANIA FIZYKOCHEMICZNE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>1.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Barwa  </w:t>
      </w:r>
    </w:p>
    <w:p w14:paraId="0FC45218" w14:textId="1273E23D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2.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Mętność</w:t>
      </w:r>
    </w:p>
    <w:p w14:paraId="02BB0532" w14:textId="3B34D4A7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3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.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Przewodność elektryczna właściwa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4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.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Stężenie jonów wodoru (</w:t>
      </w:r>
      <w:proofErr w:type="spellStart"/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pH</w:t>
      </w:r>
      <w:proofErr w:type="spellEnd"/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)</w:t>
      </w:r>
    </w:p>
    <w:p w14:paraId="1AC227B6" w14:textId="1D1BBD45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5.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Zapach</w:t>
      </w:r>
    </w:p>
    <w:p w14:paraId="679C3DB0" w14:textId="3A4B7481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6.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Jon amonowy</w:t>
      </w:r>
    </w:p>
    <w:p w14:paraId="7D752173" w14:textId="4B8C5F1A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7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.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Żelazo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8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.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Mangan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  <w:r w:rsidRPr="003010C3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>BADANIA MIKROBIOLOGICZNE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 xml:space="preserve">1.Bakterie grupy coli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 xml:space="preserve">2.Escherichia coli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>3.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proofErr w:type="spellStart"/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E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nterokoki</w:t>
      </w:r>
      <w:proofErr w:type="spellEnd"/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kałowe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>4.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Clostridium </w:t>
      </w:r>
      <w:proofErr w:type="spellStart"/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perfringens</w:t>
      </w:r>
      <w:proofErr w:type="spellEnd"/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(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łącznie z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przetrwalnikami)*</w:t>
      </w:r>
    </w:p>
    <w:p w14:paraId="5A1794B3" w14:textId="5894C31F" w:rsidR="003010C3" w:rsidRP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5.Ogólna liczba mikroorganizmów w 22±2ºC po 72 h w 1 ml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</w:p>
    <w:p w14:paraId="553C9006" w14:textId="4AD16BE5" w:rsidR="003010C3" w:rsidRDefault="003010C3" w:rsidP="003010C3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 xml:space="preserve">Przypadek </w:t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>2</w:t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 xml:space="preserve">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– obiekt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adaptowany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,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obiekt w którym dokonuje się zmiany sposobu użytkowania z niewielką ingerencją w instalację wodociągową (np. wymiana baterii, doinstalowanie umywalki)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:</w:t>
      </w:r>
      <w:r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 xml:space="preserve"> </w:t>
      </w:r>
    </w:p>
    <w:p w14:paraId="47D8C576" w14:textId="77777777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</w:pPr>
    </w:p>
    <w:p w14:paraId="532293FF" w14:textId="63294EB8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 w:rsidRPr="003010C3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>BADANIA MIKROBIOLOGICZNE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 xml:space="preserve">1.Bakterie grupy coli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 xml:space="preserve">2.Escherichia coli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 xml:space="preserve">3. </w:t>
      </w:r>
      <w:proofErr w:type="spellStart"/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E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nterokoki</w:t>
      </w:r>
      <w:proofErr w:type="spellEnd"/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kałowe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 xml:space="preserve">4. Clostridium </w:t>
      </w:r>
      <w:proofErr w:type="spellStart"/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perfringens</w:t>
      </w:r>
      <w:proofErr w:type="spellEnd"/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(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łącznie z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przetrwalnikami)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*</w:t>
      </w:r>
    </w:p>
    <w:p w14:paraId="7094887B" w14:textId="77777777" w:rsidR="003010C3" w:rsidRP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5.Ogólna liczba mikroorganizmów w 22±2ºC po 72 h w 1 ml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</w:p>
    <w:p w14:paraId="6DE765D5" w14:textId="2F8210AC" w:rsidR="003010C3" w:rsidRP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*niezbędne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 gdy woda wodoci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ą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gowa pochodzi z wód powierzchniowych lub mieszanych </w:t>
      </w:r>
    </w:p>
    <w:p w14:paraId="201D174F" w14:textId="77777777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</w:pPr>
    </w:p>
    <w:p w14:paraId="53BC3465" w14:textId="77777777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</w:pPr>
    </w:p>
    <w:p w14:paraId="18A035CC" w14:textId="77777777" w:rsid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</w:pPr>
    </w:p>
    <w:p w14:paraId="3DA2B7F4" w14:textId="77777777" w:rsidR="001E1865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 w:rsidRPr="003010C3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>Przyjmowanie próbek</w:t>
      </w:r>
      <w:r w:rsidR="001E1865">
        <w:rPr>
          <w:rFonts w:ascii="inherit" w:eastAsia="Times New Roman" w:hAnsi="inherit" w:cs="Open Sans"/>
          <w:b/>
          <w:bCs/>
          <w:color w:val="1B1B1B"/>
          <w:sz w:val="21"/>
          <w:szCs w:val="21"/>
          <w:lang w:eastAsia="pl-PL"/>
        </w:rPr>
        <w:t xml:space="preserve"> do badań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Oddział Laboratoryjny PSSE w Gliwicach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>ul. 3 Maja 64, Zabrze</w:t>
      </w:r>
    </w:p>
    <w:p w14:paraId="78F62367" w14:textId="72B24F8D" w:rsidR="001E1865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Badania mikrobiologiczne:</w:t>
      </w:r>
    </w:p>
    <w:p w14:paraId="55B07F8D" w14:textId="48D2332F" w:rsidR="003010C3" w:rsidRPr="003010C3" w:rsidRDefault="003010C3" w:rsidP="003010C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Próbki do badań przyjmowane są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: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poniedział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ek, wtorek</w:t>
      </w:r>
    </w:p>
    <w:p w14:paraId="76B85C15" w14:textId="71222B6D" w:rsidR="001E1865" w:rsidRDefault="003010C3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w godzinach od 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7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: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3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0 do 12:00.</w:t>
      </w:r>
    </w:p>
    <w:p w14:paraId="46E8F3E7" w14:textId="77777777" w:rsidR="001E1865" w:rsidRDefault="001E1865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</w:p>
    <w:p w14:paraId="17224E41" w14:textId="77777777" w:rsidR="001E1865" w:rsidRDefault="001E1865" w:rsidP="00301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Badania 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fizykochemiczne:</w:t>
      </w:r>
    </w:p>
    <w:p w14:paraId="464CF86A" w14:textId="12C5DDE8" w:rsidR="001E1865" w:rsidRPr="003010C3" w:rsidRDefault="001E1865" w:rsidP="001E186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Próbki do badań przyjmowane są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: 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od 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poniedział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ku do piątku</w:t>
      </w:r>
    </w:p>
    <w:p w14:paraId="3F21FB48" w14:textId="77777777" w:rsidR="001E1865" w:rsidRDefault="001E1865" w:rsidP="001E18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 xml:space="preserve">w godzinach od 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7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: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3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0 do 12:00</w:t>
      </w:r>
      <w:r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.</w:t>
      </w:r>
      <w:r w:rsidR="003010C3"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</w:r>
    </w:p>
    <w:p w14:paraId="010B6A8A" w14:textId="1E6836AC" w:rsidR="00C9528A" w:rsidRDefault="003010C3" w:rsidP="001E1865">
      <w:pPr>
        <w:shd w:val="clear" w:color="auto" w:fill="FFFFFF"/>
        <w:spacing w:after="0" w:line="240" w:lineRule="auto"/>
        <w:textAlignment w:val="baseline"/>
      </w:pP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Butelki do poboru próbek wody wydawane są od poniedziałku do piątku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br/>
        <w:t xml:space="preserve">w godzinach od 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7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: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3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0 do 1</w:t>
      </w:r>
      <w:r w:rsidR="001E1865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4</w:t>
      </w:r>
      <w:r w:rsidRPr="003010C3">
        <w:rPr>
          <w:rFonts w:ascii="inherit" w:eastAsia="Times New Roman" w:hAnsi="inherit" w:cs="Open Sans"/>
          <w:color w:val="1B1B1B"/>
          <w:sz w:val="21"/>
          <w:szCs w:val="21"/>
          <w:lang w:eastAsia="pl-PL"/>
        </w:rPr>
        <w:t>:00.</w:t>
      </w:r>
    </w:p>
    <w:sectPr w:rsidR="00C9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F3C5A"/>
    <w:multiLevelType w:val="multilevel"/>
    <w:tmpl w:val="125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2"/>
    <w:rsid w:val="00024232"/>
    <w:rsid w:val="001E1865"/>
    <w:rsid w:val="003010C3"/>
    <w:rsid w:val="00C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B4A8"/>
  <w15:chartTrackingRefBased/>
  <w15:docId w15:val="{76371FFB-1C15-471F-9C11-89340780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Gliwice</dc:creator>
  <cp:keywords/>
  <dc:description/>
  <cp:lastModifiedBy>PSSE Gliwice</cp:lastModifiedBy>
  <cp:revision>2</cp:revision>
  <cp:lastPrinted>2021-08-03T06:37:00Z</cp:lastPrinted>
  <dcterms:created xsi:type="dcterms:W3CDTF">2021-08-03T06:22:00Z</dcterms:created>
  <dcterms:modified xsi:type="dcterms:W3CDTF">2021-08-03T06:37:00Z</dcterms:modified>
</cp:coreProperties>
</file>