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FE" w:rsidRPr="00E008EE" w:rsidRDefault="00D43CFE" w:rsidP="00B06B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06B03" w:rsidRDefault="00224E47" w:rsidP="00B06B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</w:t>
      </w:r>
      <w:r w:rsidR="008005F0" w:rsidRPr="00E008EE">
        <w:rPr>
          <w:rFonts w:ascii="Times New Roman" w:hAnsi="Times New Roman" w:cs="Times New Roman"/>
          <w:b/>
          <w:bCs/>
        </w:rPr>
        <w:t>nformac</w:t>
      </w:r>
      <w:r>
        <w:rPr>
          <w:rFonts w:ascii="Times New Roman" w:hAnsi="Times New Roman" w:cs="Times New Roman"/>
          <w:b/>
          <w:bCs/>
        </w:rPr>
        <w:t>yjna</w:t>
      </w:r>
      <w:r w:rsidR="008005F0" w:rsidRPr="00E008EE">
        <w:rPr>
          <w:rFonts w:ascii="Times New Roman" w:hAnsi="Times New Roman" w:cs="Times New Roman"/>
          <w:b/>
          <w:bCs/>
        </w:rPr>
        <w:t xml:space="preserve"> </w:t>
      </w:r>
    </w:p>
    <w:p w:rsidR="00B06B03" w:rsidRDefault="00B06B03" w:rsidP="00B06B03">
      <w:pPr>
        <w:jc w:val="center"/>
        <w:rPr>
          <w:rFonts w:ascii="Times New Roman" w:hAnsi="Times New Roman" w:cs="Times New Roman"/>
          <w:b/>
          <w:bCs/>
        </w:rPr>
      </w:pPr>
      <w:r w:rsidRPr="00B06B03">
        <w:rPr>
          <w:rFonts w:ascii="Times New Roman" w:hAnsi="Times New Roman" w:cs="Times New Roman"/>
          <w:b/>
          <w:bCs/>
        </w:rPr>
        <w:t xml:space="preserve">obsługa korespondencji przy użyciu </w:t>
      </w:r>
    </w:p>
    <w:p w:rsidR="00B06B03" w:rsidRDefault="00B06B03" w:rsidP="00B06B03">
      <w:pPr>
        <w:jc w:val="center"/>
        <w:rPr>
          <w:rFonts w:ascii="Times New Roman" w:hAnsi="Times New Roman" w:cs="Times New Roman"/>
          <w:b/>
          <w:bCs/>
        </w:rPr>
      </w:pPr>
      <w:r w:rsidRPr="00B06B03">
        <w:rPr>
          <w:rFonts w:ascii="Times New Roman" w:hAnsi="Times New Roman" w:cs="Times New Roman"/>
          <w:b/>
          <w:bCs/>
        </w:rPr>
        <w:t xml:space="preserve">elektronicznej skrzynki podawczej e-doręczenia </w:t>
      </w:r>
    </w:p>
    <w:p w:rsidR="008005F0" w:rsidRDefault="00224E47" w:rsidP="00B06B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(art. 13 </w:t>
      </w:r>
      <w:r w:rsidR="008005F0" w:rsidRPr="00E008EE">
        <w:rPr>
          <w:rFonts w:ascii="Times New Roman" w:hAnsi="Times New Roman" w:cs="Times New Roman"/>
          <w:b/>
          <w:bCs/>
        </w:rPr>
        <w:t>RODO</w:t>
      </w:r>
      <w:r>
        <w:rPr>
          <w:rFonts w:ascii="Times New Roman" w:hAnsi="Times New Roman" w:cs="Times New Roman"/>
          <w:b/>
          <w:bCs/>
        </w:rPr>
        <w:t>*)</w:t>
      </w:r>
    </w:p>
    <w:p w:rsidR="00D43CFE" w:rsidRDefault="00D43CFE" w:rsidP="00E646C0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Administrator Danych Osobowych i kontakt:</w:t>
            </w:r>
          </w:p>
        </w:tc>
      </w:tr>
      <w:tr w:rsidR="0053419E" w:rsidRPr="0053419E" w:rsidTr="00E646C0">
        <w:tc>
          <w:tcPr>
            <w:tcW w:w="9639" w:type="dxa"/>
          </w:tcPr>
          <w:p w:rsidR="004A6C5A" w:rsidRDefault="004A6C5A" w:rsidP="004A6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Komendant Powiatowy Państwowej Straży Pożarnej w Złotoryi,  </w:t>
            </w:r>
          </w:p>
          <w:p w:rsidR="00D43CFE" w:rsidRPr="00E646C0" w:rsidRDefault="004A6C5A" w:rsidP="004A6C5A">
            <w:pPr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color w:val="0563C1"/>
                <w:kern w:val="2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ul. Legnicka 49, 59-500 Złotoryja, e-mail: </w:t>
            </w:r>
            <w:r w:rsidRPr="00022EAC">
              <w:rPr>
                <w:rStyle w:val="Hipercze"/>
                <w:rFonts w:ascii="Times New Roman" w:hAnsi="Times New Roman"/>
                <w:color w:val="0070C0"/>
              </w:rPr>
              <w:t>kpzlotoryja@kwpsp.wroc.pl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Dane kontaktowe Inspektora Ochrony Danych:</w:t>
            </w:r>
          </w:p>
        </w:tc>
      </w:tr>
      <w:tr w:rsidR="0053419E" w:rsidRPr="0053419E" w:rsidTr="00E646C0">
        <w:tc>
          <w:tcPr>
            <w:tcW w:w="9639" w:type="dxa"/>
          </w:tcPr>
          <w:p w:rsidR="0053419E" w:rsidRPr="00224E47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53419E">
              <w:rPr>
                <w:rFonts w:ascii="Times New Roman" w:hAnsi="Times New Roman" w:cs="Times New Roman"/>
                <w:kern w:val="0"/>
                <w:lang w:bidi="ar-SA"/>
              </w:rPr>
              <w:t xml:space="preserve">W celu zapewnienia bezpieczeństwa przetwarzania danych osobowych oraz ułatwienia kontaktu </w:t>
            </w:r>
            <w:r w:rsidR="00224E47">
              <w:rPr>
                <w:rFonts w:ascii="Times New Roman" w:hAnsi="Times New Roman" w:cs="Times New Roman"/>
                <w:kern w:val="0"/>
                <w:lang w:bidi="ar-SA"/>
              </w:rPr>
              <w:t xml:space="preserve">              </w:t>
            </w:r>
            <w:r w:rsidRPr="0053419E">
              <w:rPr>
                <w:rFonts w:ascii="Times New Roman" w:hAnsi="Times New Roman" w:cs="Times New Roman"/>
                <w:kern w:val="0"/>
                <w:lang w:bidi="ar-SA"/>
              </w:rPr>
              <w:t xml:space="preserve">w zakresie realizacji praw osób, których dane dotyczą może Pani/Pan skontaktować się z wyznaczonym przez Administratora Inspektorem Ochrony Danych  telefonicznie pod nr tel. 71 3682213, e-mail: </w:t>
            </w:r>
            <w:hyperlink r:id="rId7" w:history="1">
              <w:r w:rsidRPr="0053419E">
                <w:rPr>
                  <w:rFonts w:ascii="Times New Roman" w:hAnsi="Times New Roman" w:cs="Times New Roman"/>
                  <w:color w:val="0563C1"/>
                  <w:kern w:val="0"/>
                  <w:u w:val="single"/>
                  <w:lang w:bidi="ar-SA"/>
                </w:rPr>
                <w:t>iod@kwpsp.wroc.pl</w:t>
              </w:r>
            </w:hyperlink>
            <w:r w:rsidRPr="0053419E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. lub listownie na adres: Komenda Wojew</w:t>
            </w:r>
            <w:r w:rsidRPr="0053419E">
              <w:rPr>
                <w:rFonts w:ascii="Times New Roman" w:hAnsi="Times New Roman" w:cs="Times New Roman"/>
                <w:kern w:val="0"/>
                <w:lang w:bidi="ar-SA"/>
              </w:rPr>
              <w:t xml:space="preserve">ódzka PSP we Wrocławiu, </w:t>
            </w:r>
            <w:r w:rsidR="00224E47">
              <w:rPr>
                <w:rFonts w:ascii="Times New Roman" w:hAnsi="Times New Roman" w:cs="Times New Roman"/>
                <w:kern w:val="0"/>
                <w:lang w:bidi="ar-SA"/>
              </w:rPr>
              <w:t xml:space="preserve"> </w:t>
            </w:r>
            <w:r w:rsidRPr="0053419E">
              <w:rPr>
                <w:rFonts w:ascii="Times New Roman" w:hAnsi="Times New Roman" w:cs="Times New Roman"/>
                <w:kern w:val="0"/>
                <w:lang w:bidi="ar-SA"/>
              </w:rPr>
              <w:t>ul. Borowska 138, 50-552 Wrocław.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rPr>
                <w:rFonts w:ascii="Times New Roman" w:hAnsi="Times New Roman" w:cs="Times New Roman"/>
                <w:kern w:val="0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Cele i podstawy prawne przetwarzania danych osobowych:</w:t>
            </w:r>
          </w:p>
        </w:tc>
      </w:tr>
      <w:tr w:rsidR="0053419E" w:rsidRPr="0053419E" w:rsidTr="00E646C0">
        <w:trPr>
          <w:trHeight w:val="545"/>
        </w:trPr>
        <w:tc>
          <w:tcPr>
            <w:tcW w:w="9639" w:type="dxa"/>
          </w:tcPr>
          <w:p w:rsidR="00E646C0" w:rsidRDefault="00B06B03" w:rsidP="00224E47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Dane przesłane przy użyciu korespondencji z wykorzystaniem usługi rejestrowanego doręczenia 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 xml:space="preserve">         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elektronicznego i publicznej usługi hybrydowej przetwarzane będą na podstawie art. 6 ust. 1 lit c RODO 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w związku z ustawą z dnia 18 listopada 2020 r. o doręczeniach elektronicznych w celu wykonania obowiązku prawnego ciążącego na administratorze w związku z przesłaną do administratora </w:t>
            </w:r>
            <w:r w:rsidR="004A6C5A"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>korespondencją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>.</w:t>
            </w:r>
          </w:p>
          <w:p w:rsidR="00B06B03" w:rsidRPr="00B06B03" w:rsidRDefault="00B06B03" w:rsidP="00B06B03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W przypadku gdy treść wiadomości będzie zawierała informacje, które spowodują konieczność podjęcia przez administratora przetwarzania na podstawie odrębnych przepisów prawa będą one przetwarzane m.in. w związku z art. 6 ust. 1 lit. c RODO w celu wykonania obowiązków prawnych ciążących na administratorze wynikających z zadań określonych w przepisach szczególnych, art. 6 ust. 1 lit e RODO, kiedy dane są niezbędne do wykonywania zadań realizowanych przez administratora w interesie </w:t>
            </w:r>
            <w:r w:rsidR="007E3E87"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publicznym lub sprawowania władzy publicznej powierzonej administratorowi; art. 6 ust. 1 lit a RODO 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 xml:space="preserve">oraz art. 9 ust. 2 lit. b RODO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>na podstawie zgody. Zgoda jest wymagana, gdy uprawnienie do przetwarzania danych osobowych nie wynika wprost z przepisów prawa, a przekażą Państwo administratorowi z własnej inicjatywy więcej danych niż jest to konieczne dla załatwienia Państwa sprawy (tzw. działanie wyraźnie potwierdzające).</w:t>
            </w:r>
            <w:r w:rsidR="007E3E87">
              <w:t xml:space="preserve"> 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Odbiorcy danych osobowych:</w:t>
            </w:r>
          </w:p>
        </w:tc>
      </w:tr>
      <w:tr w:rsidR="0053419E" w:rsidRPr="0053419E" w:rsidTr="00E646C0">
        <w:tc>
          <w:tcPr>
            <w:tcW w:w="9639" w:type="dxa"/>
          </w:tcPr>
          <w:p w:rsidR="0053419E" w:rsidRPr="0053419E" w:rsidRDefault="00B06B03" w:rsidP="00731D58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>Dane osobowe możemy przekazywać i udostępniać wyłącznie podmiotom uprawnionym na podstawie obowiązujących przepisów prawa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>,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 są nimi m.in.: w zakresie e-doręczeń Poczta Polska S.A. jako dostawca publiczny oraz komercyjni dostawcy niepubliczni, wpisani do rejestru prowadzonego przez Ministra 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Cyfryzacji, w pozostałym zakresie inne podmioty świadczące usługi pocztowe, telekomunikacyjne, bankowe, jednostki organizacyjne administratora 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>realizujące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 jego ustawowe zadania oraz inne podmioty publiczne, gdy wystąpią z takim żądaniem, oczywiście w oparciu o stosowną podstawę prawną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 xml:space="preserve">. </w:t>
            </w:r>
            <w:r w:rsidR="00A30C64" w:rsidRPr="00A30C64">
              <w:rPr>
                <w:rFonts w:ascii="Times New Roman" w:hAnsi="Times New Roman" w:cs="Times New Roman"/>
                <w:kern w:val="2"/>
                <w:lang w:bidi="ar-SA"/>
              </w:rPr>
              <w:t xml:space="preserve">Państwa dane osobowe możemy także przekazywać podmiotom, które przetwarzają je na zlecenie </w:t>
            </w:r>
            <w:r w:rsidR="00A30C64">
              <w:rPr>
                <w:rFonts w:ascii="Times New Roman" w:hAnsi="Times New Roman" w:cs="Times New Roman"/>
                <w:kern w:val="2"/>
                <w:lang w:bidi="ar-SA"/>
              </w:rPr>
              <w:t>A</w:t>
            </w:r>
            <w:r w:rsidR="00A30C64" w:rsidRPr="00A30C64">
              <w:rPr>
                <w:rFonts w:ascii="Times New Roman" w:hAnsi="Times New Roman" w:cs="Times New Roman"/>
                <w:kern w:val="2"/>
                <w:lang w:bidi="ar-SA"/>
              </w:rPr>
              <w:t>dministratora tzw. podmiotom przetwarzającym, są nimi np.: podmioty świadczące dla administratora usługi wsparcia w zakresie</w:t>
            </w:r>
            <w:r w:rsidR="00E646C0"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="00A30C64" w:rsidRPr="00A30C64">
              <w:rPr>
                <w:rFonts w:ascii="Times New Roman" w:hAnsi="Times New Roman" w:cs="Times New Roman"/>
                <w:kern w:val="2"/>
                <w:lang w:bidi="ar-SA"/>
              </w:rPr>
              <w:t>teleinformatycznym</w:t>
            </w:r>
            <w:r w:rsidR="00A30C64">
              <w:t xml:space="preserve"> </w:t>
            </w:r>
            <w:r w:rsidR="00A30C64" w:rsidRPr="00A30C64">
              <w:rPr>
                <w:rFonts w:ascii="Times New Roman" w:hAnsi="Times New Roman" w:cs="Times New Roman"/>
                <w:kern w:val="2"/>
                <w:lang w:bidi="ar-SA"/>
              </w:rPr>
              <w:t xml:space="preserve">np. w zakresie fizycznego wybrakowania i zniszczenia dokumentów, firma </w:t>
            </w:r>
            <w:r w:rsidR="00E646C0"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="00A30C64" w:rsidRPr="00A30C64">
              <w:rPr>
                <w:rFonts w:ascii="Times New Roman" w:hAnsi="Times New Roman" w:cs="Times New Roman"/>
                <w:kern w:val="2"/>
                <w:lang w:bidi="ar-SA"/>
              </w:rPr>
              <w:t>zapewniająca wsparcie techniczne IT.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Obowiązek podania danych osobowych:</w:t>
            </w:r>
          </w:p>
        </w:tc>
      </w:tr>
      <w:tr w:rsidR="0053419E" w:rsidRPr="0053419E" w:rsidTr="00E646C0">
        <w:tc>
          <w:tcPr>
            <w:tcW w:w="9639" w:type="dxa"/>
          </w:tcPr>
          <w:p w:rsidR="0053419E" w:rsidRPr="007E3E87" w:rsidRDefault="00224E47" w:rsidP="004A6C5A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224E47">
              <w:rPr>
                <w:rFonts w:ascii="Times New Roman" w:hAnsi="Times New Roman" w:cs="Times New Roman"/>
                <w:kern w:val="2"/>
                <w:lang w:bidi="ar-SA"/>
              </w:rPr>
              <w:t xml:space="preserve">Podanie danych jest 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>wymogiem ustaw</w:t>
            </w:r>
            <w:r w:rsidR="007E3E87">
              <w:rPr>
                <w:rFonts w:ascii="Times New Roman" w:hAnsi="Times New Roman" w:cs="Times New Roman"/>
                <w:kern w:val="2"/>
                <w:lang w:bidi="ar-SA"/>
              </w:rPr>
              <w:t>owym,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 xml:space="preserve"> na podstawie</w:t>
            </w:r>
            <w:r w:rsidR="007E3E87">
              <w:rPr>
                <w:rFonts w:ascii="Times New Roman" w:hAnsi="Times New Roman" w:cs="Times New Roman"/>
                <w:kern w:val="2"/>
                <w:lang w:bidi="ar-SA"/>
              </w:rPr>
              <w:t xml:space="preserve"> którego 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>działa administrator. Jeżeli odmówią Państwo podania swoich danych lub podadzą nieprawidłowe dane, administrator nie będzie mógł</w:t>
            </w:r>
            <w:r w:rsidR="007E3E87">
              <w:rPr>
                <w:rFonts w:ascii="Times New Roman" w:hAnsi="Times New Roman" w:cs="Times New Roman"/>
                <w:kern w:val="2"/>
                <w:lang w:bidi="ar-SA"/>
              </w:rPr>
              <w:t xml:space="preserve">  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>realizować celu do jakiego zobowiązują go przepisy prawa,</w:t>
            </w:r>
            <w:r w:rsidR="007E3E87"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>Podanie danych jest dobrowolne gdy odbywa się na podstawie Państwa zgody, która może być cofnięta w dowolnym momencie.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Prawa związane z przetwarzaniem danych osobowych:</w:t>
            </w:r>
          </w:p>
        </w:tc>
      </w:tr>
      <w:tr w:rsidR="0053419E" w:rsidRPr="0053419E" w:rsidTr="00E646C0">
        <w:tc>
          <w:tcPr>
            <w:tcW w:w="9639" w:type="dxa"/>
          </w:tcPr>
          <w:p w:rsidR="0053419E" w:rsidRPr="0053419E" w:rsidRDefault="0053419E" w:rsidP="00224E47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0"/>
              </w:rPr>
            </w:pPr>
            <w:r w:rsidRPr="0053419E">
              <w:rPr>
                <w:rFonts w:ascii="Times New Roman" w:hAnsi="Times New Roman" w:cs="Times New Roman"/>
                <w:kern w:val="0"/>
              </w:rPr>
              <w:t xml:space="preserve">Posiada Pani/Pan prawo żądania dostępu do treści swoich danych, a także prawo ich sprostowania </w:t>
            </w:r>
            <w:r w:rsidR="00224E47">
              <w:rPr>
                <w:rFonts w:ascii="Times New Roman" w:hAnsi="Times New Roman" w:cs="Times New Roman"/>
                <w:kern w:val="0"/>
              </w:rPr>
              <w:t xml:space="preserve">           </w:t>
            </w:r>
            <w:r w:rsidRPr="0053419E">
              <w:rPr>
                <w:rFonts w:ascii="Times New Roman" w:hAnsi="Times New Roman" w:cs="Times New Roman"/>
                <w:kern w:val="0"/>
              </w:rPr>
              <w:t xml:space="preserve">(poprawiania), żądania usunięcia, ograniczenia przetwarzania, prawo do przenoszenia danych, prawo wniesienia sprzeciwu, a także prawo wniesienia skargi do organu nadzorczego - </w:t>
            </w:r>
            <w:r w:rsidRPr="0053419E">
              <w:rPr>
                <w:rFonts w:ascii="Times New Roman" w:hAnsi="Times New Roman" w:cs="Times New Roman"/>
                <w:kern w:val="2"/>
                <w:lang w:bidi="ar-SA"/>
              </w:rPr>
              <w:t xml:space="preserve">Prezesa </w:t>
            </w:r>
            <w:r w:rsidRPr="00224E47">
              <w:rPr>
                <w:rFonts w:ascii="Times New Roman" w:hAnsi="Times New Roman" w:cs="Times New Roman"/>
                <w:i/>
                <w:iCs/>
                <w:kern w:val="2"/>
                <w:lang w:bidi="ar-SA"/>
              </w:rPr>
              <w:lastRenderedPageBreak/>
              <w:t>UODO (ul. Stawki 2, 00-193 Warszawa)</w:t>
            </w:r>
            <w:r w:rsidRPr="0053419E">
              <w:rPr>
                <w:rFonts w:ascii="Times New Roman" w:hAnsi="Times New Roman" w:cs="Times New Roman"/>
                <w:kern w:val="0"/>
              </w:rPr>
              <w:t xml:space="preserve">. Wymienione prawa mogą być ograniczone, kiedy Administrator jest zobowiązany prawnie do przetwarzania danych w celu realizacji obowiązku ustawowego lub występują inne nadrzędne prawne podstawy przetwarzania. </w:t>
            </w:r>
            <w:r w:rsidR="007E3E87" w:rsidRPr="007E3E87">
              <w:rPr>
                <w:rFonts w:ascii="Times New Roman" w:hAnsi="Times New Roman" w:cs="Times New Roman"/>
                <w:kern w:val="0"/>
              </w:rPr>
              <w:t xml:space="preserve">Dla danych osobowych przetwarzanych w oparciu o art. 6 ust. 1 lit. a i/lub art. 9 ust. 2 lit. a RODO, dodatkowo przysługuje Pani/Panu prawo </w:t>
            </w:r>
            <w:r w:rsidR="007E3E87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7E3E87" w:rsidRPr="007E3E87">
              <w:rPr>
                <w:rFonts w:ascii="Times New Roman" w:hAnsi="Times New Roman" w:cs="Times New Roman"/>
                <w:kern w:val="0"/>
              </w:rPr>
              <w:t>do usunięcia tych danych osobowych.</w:t>
            </w:r>
            <w:r w:rsidR="00B06B03" w:rsidRPr="00B06B03">
              <w:rPr>
                <w:rFonts w:ascii="Times New Roman" w:hAnsi="Times New Roman" w:cs="Times New Roman"/>
                <w:kern w:val="0"/>
              </w:rPr>
              <w:t xml:space="preserve"> Cofnięcie zgody nie wpływa na przetwarzanie danych dokonywane przez administratora przed jej cofnięciem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0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lastRenderedPageBreak/>
              <w:t>Prawo do sprzeciwu:</w:t>
            </w:r>
          </w:p>
        </w:tc>
      </w:tr>
      <w:tr w:rsidR="0053419E" w:rsidRPr="0053419E" w:rsidTr="00E646C0">
        <w:tc>
          <w:tcPr>
            <w:tcW w:w="9639" w:type="dxa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color w:val="000000"/>
                <w:kern w:val="2"/>
                <w:lang w:bidi="ar-SA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53419E" w:rsidRPr="0053419E" w:rsidTr="00E646C0">
        <w:tc>
          <w:tcPr>
            <w:tcW w:w="9639" w:type="dxa"/>
            <w:shd w:val="clear" w:color="auto" w:fill="D9D9D9"/>
          </w:tcPr>
          <w:p w:rsidR="0053419E" w:rsidRPr="0053419E" w:rsidRDefault="0053419E" w:rsidP="0053419E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53419E">
              <w:rPr>
                <w:rFonts w:ascii="Times New Roman" w:hAnsi="Times New Roman" w:cs="Times New Roman"/>
                <w:b/>
                <w:bCs/>
                <w:kern w:val="2"/>
                <w:lang w:bidi="ar-SA"/>
              </w:rPr>
              <w:t>Okres przechowywania danych osobowych:</w:t>
            </w:r>
          </w:p>
        </w:tc>
      </w:tr>
      <w:tr w:rsidR="0053419E" w:rsidRPr="0053419E" w:rsidTr="00E646C0">
        <w:tc>
          <w:tcPr>
            <w:tcW w:w="9639" w:type="dxa"/>
          </w:tcPr>
          <w:p w:rsidR="0053419E" w:rsidRPr="0053419E" w:rsidRDefault="00B06B03" w:rsidP="00B06B03">
            <w:pPr>
              <w:suppressAutoHyphens w:val="0"/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2"/>
                <w:lang w:bidi="ar-SA"/>
              </w:rPr>
            </w:pP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>Dane osobowe przetwarzane będą do czasu istnienia podstawy do ich przetwarzania, w tym również przez okres przewidziany w przepisach dotyczących przechowywania i archiwizacji dokumentacji, i tak: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 xml:space="preserve"> 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>w zakresie danych, gdzie wyrazili Państwo zgodę na ich przetwarzanie, do czasu cofnięcie zgody, nie dłużej jednak niż 3 lata od ostatniego kontaktu drogą elektroniczną z administratorem</w:t>
            </w:r>
            <w:r>
              <w:rPr>
                <w:rFonts w:ascii="Times New Roman" w:hAnsi="Times New Roman" w:cs="Times New Roman"/>
                <w:kern w:val="2"/>
                <w:lang w:bidi="ar-SA"/>
              </w:rPr>
              <w:t>;</w:t>
            </w:r>
            <w:r w:rsidRPr="00B06B03">
              <w:rPr>
                <w:rFonts w:ascii="Times New Roman" w:hAnsi="Times New Roman" w:cs="Times New Roman"/>
                <w:kern w:val="2"/>
                <w:lang w:bidi="ar-SA"/>
              </w:rPr>
              <w:t xml:space="preserve"> w pozostałych przypadkach, </w:t>
            </w:r>
            <w:r w:rsidR="007E3E87" w:rsidRPr="007E3E87">
              <w:rPr>
                <w:rFonts w:ascii="Times New Roman" w:hAnsi="Times New Roman" w:cs="Times New Roman"/>
                <w:kern w:val="2"/>
                <w:lang w:bidi="ar-SA"/>
              </w:rPr>
              <w:t>zgodnie z okresem przewidzianym w "Jednolitym rzeczowym wykazie akt Państwowej Straży Pożarnej". Oznacza to, że dane osobowe w zależności od szczegółowego charakteru sprawy, mogą zostać zniszczone po upływie od 1 roku do 50 lat, od jej zakończenia.</w:t>
            </w:r>
          </w:p>
        </w:tc>
      </w:tr>
    </w:tbl>
    <w:p w:rsidR="0053419E" w:rsidRPr="00224E47" w:rsidRDefault="0053419E" w:rsidP="00E008EE">
      <w:pPr>
        <w:spacing w:after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24E47">
        <w:rPr>
          <w:rFonts w:ascii="Times New Roman" w:hAnsi="Times New Roman" w:cs="Times New Roman"/>
          <w:i/>
          <w:iCs/>
          <w:sz w:val="18"/>
          <w:szCs w:val="18"/>
        </w:rPr>
        <w:t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:rsidR="0053419E" w:rsidRDefault="0053419E" w:rsidP="00E008EE">
      <w:pPr>
        <w:spacing w:after="360"/>
        <w:jc w:val="both"/>
        <w:rPr>
          <w:rFonts w:ascii="Times New Roman" w:hAnsi="Times New Roman" w:cs="Times New Roman"/>
          <w:b/>
          <w:bCs/>
        </w:rPr>
      </w:pPr>
    </w:p>
    <w:p w:rsidR="008005F0" w:rsidRPr="00E008EE" w:rsidRDefault="008005F0" w:rsidP="00224E47">
      <w:pPr>
        <w:jc w:val="both"/>
        <w:rPr>
          <w:rFonts w:ascii="Times New Roman" w:hAnsi="Times New Roman" w:cs="Times New Roman"/>
        </w:rPr>
      </w:pPr>
    </w:p>
    <w:sectPr w:rsidR="008005F0" w:rsidRPr="00E008EE" w:rsidSect="00B06B03">
      <w:type w:val="continuous"/>
      <w:pgSz w:w="11906" w:h="16838"/>
      <w:pgMar w:top="993" w:right="1134" w:bottom="993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9A" w:rsidRDefault="0047559A">
      <w:r>
        <w:separator/>
      </w:r>
    </w:p>
  </w:endnote>
  <w:endnote w:type="continuationSeparator" w:id="0">
    <w:p w:rsidR="0047559A" w:rsidRDefault="004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9A" w:rsidRDefault="0047559A">
      <w:r>
        <w:rPr>
          <w:rFonts w:ascii="Liberation Serif" w:hAnsi="Liberation Serif" w:cs="Times New Roman"/>
          <w:kern w:val="0"/>
          <w:lang w:bidi="ar-SA"/>
        </w:rPr>
        <w:separator/>
      </w:r>
    </w:p>
  </w:footnote>
  <w:footnote w:type="continuationSeparator" w:id="0">
    <w:p w:rsidR="0047559A" w:rsidRDefault="0047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AA52BF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D3C64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326BAE"/>
    <w:multiLevelType w:val="hybridMultilevel"/>
    <w:tmpl w:val="FFFFFFFF"/>
    <w:lvl w:ilvl="0" w:tplc="2D1CFDB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04"/>
    <w:rsid w:val="00022EAC"/>
    <w:rsid w:val="000E5998"/>
    <w:rsid w:val="000F300F"/>
    <w:rsid w:val="00175F78"/>
    <w:rsid w:val="00224E47"/>
    <w:rsid w:val="002262A8"/>
    <w:rsid w:val="002E154A"/>
    <w:rsid w:val="0047559A"/>
    <w:rsid w:val="004A6C5A"/>
    <w:rsid w:val="0053419E"/>
    <w:rsid w:val="005503EE"/>
    <w:rsid w:val="00565304"/>
    <w:rsid w:val="006C3142"/>
    <w:rsid w:val="006D0ECD"/>
    <w:rsid w:val="00731D58"/>
    <w:rsid w:val="007E3E87"/>
    <w:rsid w:val="008005F0"/>
    <w:rsid w:val="00850938"/>
    <w:rsid w:val="009D094E"/>
    <w:rsid w:val="00A05434"/>
    <w:rsid w:val="00A30C64"/>
    <w:rsid w:val="00B06B03"/>
    <w:rsid w:val="00BF5DB6"/>
    <w:rsid w:val="00CC03B3"/>
    <w:rsid w:val="00D43CFE"/>
    <w:rsid w:val="00D6498A"/>
    <w:rsid w:val="00DB14B5"/>
    <w:rsid w:val="00E008EE"/>
    <w:rsid w:val="00E209C2"/>
    <w:rsid w:val="00E250A0"/>
    <w:rsid w:val="00E646C0"/>
    <w:rsid w:val="00F12004"/>
    <w:rsid w:val="00F127C3"/>
    <w:rsid w:val="00F774E7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D46FC6-51DD-4A89-91CA-F31F146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Mocnewyrf3bfnione">
    <w:name w:val="Mocne wyróf3żbfnione"/>
    <w:uiPriority w:val="99"/>
    <w:rPr>
      <w:b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character" w:customStyle="1" w:styleId="ListLabel82">
    <w:name w:val="ListLabel 82"/>
    <w:uiPriority w:val="99"/>
    <w:rPr>
      <w:rFonts w:ascii="Times New Roman" w:hAnsi="Times New Roman"/>
      <w:sz w:val="20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Times New Roman" w:hAnsi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Calibri" w:hAnsi="Calibri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</w:style>
  <w:style w:type="paragraph" w:customStyle="1" w:styleId="Przypisdolny">
    <w:name w:val="Przypis dolny"/>
    <w:basedOn w:val="Normalny"/>
    <w:uiPriority w:val="99"/>
    <w:pPr>
      <w:ind w:left="339" w:hanging="339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304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5304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008EE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3419E"/>
    <w:pPr>
      <w:spacing w:after="0" w:line="240" w:lineRule="auto"/>
    </w:pPr>
    <w:rPr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calibri</vt:lpstr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calibri</dc:title>
  <dc:subject/>
  <dc:creator>Sylwia Czub</dc:creator>
  <cp:keywords/>
  <dc:description>ZNAKI:3747</dc:description>
  <cp:lastModifiedBy>M.Grubczyński</cp:lastModifiedBy>
  <cp:revision>4</cp:revision>
  <dcterms:created xsi:type="dcterms:W3CDTF">2025-01-29T08:07:00Z</dcterms:created>
  <dcterms:modified xsi:type="dcterms:W3CDTF">2025-01-29T08:53:00Z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2021-06-11 12:56:06</vt:lpwstr>
  </property>
  <property fmtid="{D5CDD505-2E9C-101B-9397-08002B2CF9AE}" pid="3" name="wk_stat:znaki:liczba">
    <vt:lpwstr>3747</vt:lpwstr>
  </property>
  <property fmtid="{D5CDD505-2E9C-101B-9397-08002B2CF9AE}" pid="4" name="ZNAKI:">
    <vt:lpwstr>3747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