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6D5A4" w14:textId="002CC478" w:rsidR="00265AF0" w:rsidRPr="00876EFE" w:rsidRDefault="00265AF0" w:rsidP="00265AF0">
      <w:pPr>
        <w:rPr>
          <w:rStyle w:val="s4f807e54"/>
          <w:rFonts w:ascii="Arial" w:eastAsia="MS Mincho" w:hAnsi="Arial" w:cs="Arial"/>
          <w:sz w:val="20"/>
          <w:szCs w:val="20"/>
          <w:lang w:val="en-US" w:bidi="ar-SA"/>
        </w:rPr>
      </w:pPr>
      <w:r w:rsidRPr="00876EFE">
        <w:rPr>
          <w:rStyle w:val="s4f807e54"/>
          <w:rFonts w:ascii="Arial" w:eastAsia="MS Mincho" w:hAnsi="Arial" w:cs="Arial"/>
          <w:sz w:val="20"/>
          <w:szCs w:val="20"/>
          <w:lang w:val="en-US" w:bidi="ar-SA"/>
        </w:rPr>
        <w:t xml:space="preserve">© Copyright for the Polish translation by </w:t>
      </w:r>
      <w:proofErr w:type="spellStart"/>
      <w:r w:rsidRPr="00876EFE">
        <w:rPr>
          <w:rStyle w:val="s4f807e54"/>
          <w:rFonts w:ascii="Arial" w:eastAsia="MS Mincho" w:hAnsi="Arial" w:cs="Arial"/>
          <w:sz w:val="20"/>
          <w:szCs w:val="20"/>
          <w:lang w:val="en-US" w:bidi="ar-SA"/>
        </w:rPr>
        <w:t>Prokurator</w:t>
      </w:r>
      <w:proofErr w:type="spellEnd"/>
      <w:r w:rsidRPr="00876EFE">
        <w:rPr>
          <w:rStyle w:val="s4f807e54"/>
          <w:rFonts w:ascii="Arial" w:eastAsia="MS Mincho" w:hAnsi="Arial" w:cs="Arial"/>
          <w:sz w:val="20"/>
          <w:szCs w:val="20"/>
          <w:lang w:val="en-US" w:bidi="ar-SA"/>
        </w:rPr>
        <w:t xml:space="preserve"> </w:t>
      </w:r>
      <w:proofErr w:type="spellStart"/>
      <w:r w:rsidRPr="00876EFE">
        <w:rPr>
          <w:rStyle w:val="s4f807e54"/>
          <w:rFonts w:ascii="Arial" w:eastAsia="MS Mincho" w:hAnsi="Arial" w:cs="Arial"/>
          <w:sz w:val="20"/>
          <w:szCs w:val="20"/>
          <w:lang w:val="en-US" w:bidi="ar-SA"/>
        </w:rPr>
        <w:t>Generalny</w:t>
      </w:r>
      <w:proofErr w:type="spellEnd"/>
      <w:r w:rsidRPr="00876EFE">
        <w:rPr>
          <w:rStyle w:val="s4f807e54"/>
          <w:rFonts w:ascii="Arial" w:eastAsia="MS Mincho" w:hAnsi="Arial" w:cs="Arial"/>
          <w:sz w:val="20"/>
          <w:szCs w:val="20"/>
          <w:lang w:val="en-US" w:bidi="ar-SA"/>
        </w:rPr>
        <w:t xml:space="preserve">, Warszawa 2015 </w:t>
      </w:r>
    </w:p>
    <w:p w14:paraId="425D3517" w14:textId="7E6EB41D" w:rsidR="0098410D" w:rsidRPr="00876EFE" w:rsidRDefault="00265AF0" w:rsidP="00265AF0">
      <w:pPr>
        <w:rPr>
          <w:rFonts w:ascii="Arial" w:hAnsi="Arial" w:cs="Arial"/>
          <w:sz w:val="20"/>
          <w:szCs w:val="20"/>
        </w:rPr>
      </w:pPr>
      <w:r w:rsidRPr="00876EFE">
        <w:rPr>
          <w:rStyle w:val="s4f807e54"/>
          <w:rFonts w:ascii="Arial" w:eastAsia="MS Mincho" w:hAnsi="Arial" w:cs="Arial"/>
          <w:sz w:val="20"/>
          <w:szCs w:val="20"/>
          <w:lang w:bidi="ar-SA"/>
        </w:rPr>
        <w:t>© Właścicielem praw autorskich do tłumaczenia na język polski jest Prokurator Generalny, Warszawa 2015</w:t>
      </w:r>
    </w:p>
    <w:p w14:paraId="0CCA918B" w14:textId="77777777" w:rsidR="0098410D" w:rsidRPr="00110749" w:rsidRDefault="0098410D" w:rsidP="0098410D">
      <w:pPr>
        <w:jc w:val="center"/>
      </w:pPr>
    </w:p>
    <w:p w14:paraId="7800BDEF" w14:textId="77777777" w:rsidR="00265AF0" w:rsidRDefault="00265AF0" w:rsidP="0098410D">
      <w:pPr>
        <w:tabs>
          <w:tab w:val="left" w:pos="5529"/>
        </w:tabs>
        <w:jc w:val="center"/>
      </w:pPr>
      <w:bookmarkStart w:id="0" w:name="_GoBack"/>
      <w:bookmarkEnd w:id="0"/>
    </w:p>
    <w:p w14:paraId="4F836E56" w14:textId="77777777" w:rsidR="00265AF0" w:rsidRDefault="00265AF0" w:rsidP="0098410D">
      <w:pPr>
        <w:tabs>
          <w:tab w:val="left" w:pos="5529"/>
        </w:tabs>
        <w:jc w:val="center"/>
      </w:pPr>
    </w:p>
    <w:p w14:paraId="523E4156" w14:textId="77777777" w:rsidR="000F576A" w:rsidRDefault="000F576A" w:rsidP="0098410D">
      <w:pPr>
        <w:tabs>
          <w:tab w:val="left" w:pos="5529"/>
        </w:tabs>
        <w:jc w:val="center"/>
      </w:pPr>
      <w:r>
        <w:t>EUROPEJSKI TRYBUNAŁ PRAW CZŁOWIEKA</w:t>
      </w:r>
    </w:p>
    <w:p w14:paraId="395D50CA" w14:textId="77777777" w:rsidR="000F576A" w:rsidRDefault="000F576A" w:rsidP="0098410D">
      <w:pPr>
        <w:tabs>
          <w:tab w:val="left" w:pos="5529"/>
        </w:tabs>
        <w:jc w:val="center"/>
      </w:pPr>
    </w:p>
    <w:p w14:paraId="4BF13956" w14:textId="77777777" w:rsidR="0098410D" w:rsidRPr="00110749" w:rsidRDefault="000D5DD6" w:rsidP="0098410D">
      <w:pPr>
        <w:tabs>
          <w:tab w:val="left" w:pos="5529"/>
        </w:tabs>
        <w:jc w:val="center"/>
      </w:pPr>
      <w:r>
        <w:t>DRUGA SEKCJA</w:t>
      </w:r>
    </w:p>
    <w:p w14:paraId="00317DED" w14:textId="77777777" w:rsidR="0098410D" w:rsidRPr="00110749" w:rsidRDefault="0098410D" w:rsidP="0098410D">
      <w:pPr>
        <w:jc w:val="center"/>
      </w:pPr>
    </w:p>
    <w:p w14:paraId="05B88CDF" w14:textId="77777777" w:rsidR="0098410D" w:rsidRPr="00110749" w:rsidRDefault="0098410D" w:rsidP="0098410D">
      <w:pPr>
        <w:jc w:val="center"/>
      </w:pPr>
    </w:p>
    <w:p w14:paraId="1400FB17" w14:textId="77777777" w:rsidR="0098410D" w:rsidRPr="00110749" w:rsidRDefault="0098410D" w:rsidP="0098410D">
      <w:pPr>
        <w:jc w:val="center"/>
        <w:outlineLvl w:val="0"/>
        <w:rPr>
          <w:b/>
        </w:rPr>
      </w:pPr>
      <w:r>
        <w:rPr>
          <w:b/>
        </w:rPr>
        <w:t>SPRAWA GRANDE STEVENS przeciwko WŁOCHOM</w:t>
      </w:r>
    </w:p>
    <w:p w14:paraId="04AD6C6C" w14:textId="77777777" w:rsidR="0098410D" w:rsidRPr="00110749" w:rsidRDefault="0098410D" w:rsidP="00EC291C">
      <w:pPr>
        <w:jc w:val="center"/>
      </w:pPr>
    </w:p>
    <w:p w14:paraId="0C252E56" w14:textId="77777777" w:rsidR="0098410D" w:rsidRPr="00110749" w:rsidRDefault="0098410D" w:rsidP="0098410D">
      <w:pPr>
        <w:jc w:val="center"/>
        <w:rPr>
          <w:i/>
        </w:rPr>
      </w:pPr>
      <w:r>
        <w:rPr>
          <w:i/>
        </w:rPr>
        <w:t>(Skarga nr 18640/10)</w:t>
      </w:r>
    </w:p>
    <w:p w14:paraId="096F52D4" w14:textId="77777777" w:rsidR="0098410D" w:rsidRPr="00110749" w:rsidRDefault="0098410D" w:rsidP="0098410D">
      <w:pPr>
        <w:jc w:val="center"/>
      </w:pPr>
    </w:p>
    <w:p w14:paraId="5A8E576E" w14:textId="77777777" w:rsidR="0098410D" w:rsidRPr="00110749" w:rsidRDefault="0098410D" w:rsidP="00F1709C">
      <w:pPr>
        <w:jc w:val="center"/>
      </w:pPr>
    </w:p>
    <w:p w14:paraId="21BD03B9" w14:textId="77777777" w:rsidR="0098410D" w:rsidRPr="00110749" w:rsidRDefault="0098410D" w:rsidP="0098410D">
      <w:pPr>
        <w:jc w:val="center"/>
        <w:outlineLvl w:val="0"/>
      </w:pPr>
      <w:r>
        <w:t>WYROK</w:t>
      </w:r>
    </w:p>
    <w:p w14:paraId="3F59F84A" w14:textId="77777777" w:rsidR="0098410D" w:rsidRPr="00110749" w:rsidRDefault="00A57461" w:rsidP="0098410D">
      <w:pPr>
        <w:jc w:val="center"/>
      </w:pPr>
      <w:bookmarkStart w:id="1" w:name="JUDTYPE"/>
      <w:r>
        <w:t>[wyciąg]</w:t>
      </w:r>
      <w:bookmarkEnd w:id="1"/>
    </w:p>
    <w:p w14:paraId="7996FDEE" w14:textId="77777777" w:rsidR="0098410D" w:rsidRDefault="0098410D" w:rsidP="0098410D">
      <w:pPr>
        <w:jc w:val="center"/>
        <w:rPr>
          <w:i/>
        </w:rPr>
      </w:pPr>
    </w:p>
    <w:p w14:paraId="30988581" w14:textId="77777777" w:rsidR="00EC291C" w:rsidRPr="00110749" w:rsidRDefault="00EC291C" w:rsidP="0098410D">
      <w:pPr>
        <w:jc w:val="center"/>
        <w:rPr>
          <w:i/>
        </w:rPr>
      </w:pPr>
    </w:p>
    <w:p w14:paraId="66466B05" w14:textId="77777777" w:rsidR="0098410D" w:rsidRPr="00110749" w:rsidRDefault="0098410D" w:rsidP="0098410D">
      <w:pPr>
        <w:jc w:val="center"/>
        <w:outlineLvl w:val="0"/>
      </w:pPr>
      <w:r>
        <w:t>STRASBURG</w:t>
      </w:r>
    </w:p>
    <w:p w14:paraId="368491C2" w14:textId="77777777" w:rsidR="0098410D" w:rsidRDefault="0098410D" w:rsidP="0098410D">
      <w:pPr>
        <w:jc w:val="center"/>
      </w:pPr>
    </w:p>
    <w:p w14:paraId="16D88B62" w14:textId="77777777" w:rsidR="00EC291C" w:rsidRPr="00110749" w:rsidRDefault="00EC291C" w:rsidP="0098410D">
      <w:pPr>
        <w:jc w:val="center"/>
      </w:pPr>
    </w:p>
    <w:p w14:paraId="0C67E228" w14:textId="77777777" w:rsidR="0098410D" w:rsidRPr="00110749" w:rsidRDefault="002D3FF9" w:rsidP="0098410D">
      <w:pPr>
        <w:jc w:val="center"/>
      </w:pPr>
      <w:r>
        <w:t>4 marca 2014</w:t>
      </w:r>
      <w:r w:rsidR="000F576A">
        <w:t xml:space="preserve"> roku</w:t>
      </w:r>
    </w:p>
    <w:p w14:paraId="085BCAD0" w14:textId="77777777" w:rsidR="0098410D" w:rsidRPr="00110749" w:rsidRDefault="0098410D" w:rsidP="0098410D">
      <w:pPr>
        <w:jc w:val="center"/>
      </w:pPr>
    </w:p>
    <w:p w14:paraId="44803C78" w14:textId="77777777" w:rsidR="0098410D" w:rsidRDefault="0098410D" w:rsidP="0098410D">
      <w:pPr>
        <w:jc w:val="center"/>
      </w:pPr>
    </w:p>
    <w:p w14:paraId="403AC465" w14:textId="77777777" w:rsidR="0035061B" w:rsidRPr="001A0C0A" w:rsidRDefault="000F576A" w:rsidP="0035061B">
      <w:pPr>
        <w:pStyle w:val="jucase0"/>
        <w:ind w:firstLine="0"/>
        <w:jc w:val="center"/>
        <w:rPr>
          <w:color w:val="FF0000"/>
          <w:sz w:val="28"/>
          <w:szCs w:val="28"/>
          <w:u w:val="single"/>
        </w:rPr>
      </w:pPr>
      <w:r>
        <w:rPr>
          <w:color w:val="FF0000"/>
          <w:sz w:val="28"/>
          <w:u w:val="single"/>
        </w:rPr>
        <w:t>OSTATECZN</w:t>
      </w:r>
      <w:r w:rsidR="0035061B">
        <w:rPr>
          <w:color w:val="FF0000"/>
          <w:sz w:val="28"/>
          <w:u w:val="single"/>
        </w:rPr>
        <w:t>Y</w:t>
      </w:r>
    </w:p>
    <w:p w14:paraId="298D346E" w14:textId="77777777" w:rsidR="0035061B" w:rsidRPr="001A0C0A" w:rsidRDefault="0035061B" w:rsidP="0035061B">
      <w:pPr>
        <w:pStyle w:val="jupara"/>
        <w:tabs>
          <w:tab w:val="left" w:pos="3450"/>
        </w:tabs>
        <w:ind w:firstLine="0"/>
        <w:rPr>
          <w:color w:val="FF0000"/>
          <w:sz w:val="28"/>
          <w:szCs w:val="28"/>
        </w:rPr>
      </w:pPr>
      <w:r>
        <w:tab/>
      </w:r>
    </w:p>
    <w:p w14:paraId="29211C5B" w14:textId="77777777" w:rsidR="0035061B" w:rsidRPr="001A0C0A" w:rsidRDefault="0035061B" w:rsidP="00660261">
      <w:pPr>
        <w:pStyle w:val="jupara"/>
        <w:spacing w:after="120"/>
        <w:ind w:firstLine="0"/>
        <w:jc w:val="center"/>
        <w:rPr>
          <w:color w:val="FF0000"/>
          <w:sz w:val="28"/>
          <w:szCs w:val="28"/>
        </w:rPr>
      </w:pPr>
      <w:r>
        <w:rPr>
          <w:color w:val="FF0000"/>
          <w:sz w:val="28"/>
        </w:rPr>
        <w:t>07.07.2014</w:t>
      </w:r>
    </w:p>
    <w:p w14:paraId="764991F7" w14:textId="77777777" w:rsidR="0098410D" w:rsidRPr="00110749" w:rsidRDefault="00660261" w:rsidP="00660261">
      <w:pPr>
        <w:jc w:val="center"/>
        <w:rPr>
          <w:i/>
          <w:sz w:val="22"/>
        </w:rPr>
      </w:pPr>
      <w:r>
        <w:rPr>
          <w:i/>
          <w:sz w:val="22"/>
        </w:rPr>
        <w:t>Niniejszy wyrok stał się prawomocny zgodnie z artykułem 44 ust. 2 Konwencji. Może podlegać korekcie wydawniczej.</w:t>
      </w:r>
    </w:p>
    <w:p w14:paraId="7F71B8CC" w14:textId="77777777" w:rsidR="0098410D" w:rsidRPr="00110749" w:rsidRDefault="0098410D" w:rsidP="0098410D">
      <w:pPr>
        <w:sectPr w:rsidR="0098410D" w:rsidRPr="0011074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2274" w:right="2274" w:bottom="2274" w:left="2274" w:header="1701" w:footer="720" w:gutter="0"/>
          <w:pgNumType w:start="1"/>
          <w:cols w:space="720"/>
          <w:noEndnote/>
        </w:sectPr>
      </w:pPr>
    </w:p>
    <w:p w14:paraId="48CB64EB" w14:textId="755C5476" w:rsidR="0098410D" w:rsidRPr="00110749" w:rsidRDefault="00B32F8F" w:rsidP="0098410D">
      <w:pPr>
        <w:pStyle w:val="JuCase"/>
      </w:pPr>
      <w:r>
        <w:lastRenderedPageBreak/>
        <w:t>W sprawie Grande Stevens</w:t>
      </w:r>
      <w:r w:rsidR="0098410D">
        <w:t xml:space="preserve"> przeciwko Włochom</w:t>
      </w:r>
      <w:r>
        <w:rPr>
          <w:rStyle w:val="Odwoanieprzypisudolnego"/>
        </w:rPr>
        <w:footnoteReference w:customMarkFollows="1" w:id="2"/>
        <w:t>*</w:t>
      </w:r>
    </w:p>
    <w:p w14:paraId="3DEB5A1F" w14:textId="77777777" w:rsidR="000D5DD6" w:rsidRPr="00110749" w:rsidRDefault="000D5DD6" w:rsidP="000D5DD6">
      <w:pPr>
        <w:pStyle w:val="ECHRPara"/>
      </w:pPr>
      <w:r>
        <w:t>Europejski Trybunał Praw Człowieka (Sekcja Druga), zasiadając jako Izba w składzie:</w:t>
      </w:r>
    </w:p>
    <w:p w14:paraId="08ED2D6F" w14:textId="72211C4A" w:rsidR="000D5DD6" w:rsidRPr="00110749" w:rsidRDefault="000D5DD6" w:rsidP="000D5DD6">
      <w:pPr>
        <w:pStyle w:val="ECHRDecisionBody"/>
      </w:pPr>
      <w:r>
        <w:tab/>
      </w:r>
      <w:proofErr w:type="spellStart"/>
      <w:r>
        <w:t>Işıl</w:t>
      </w:r>
      <w:proofErr w:type="spellEnd"/>
      <w:r>
        <w:t xml:space="preserve"> </w:t>
      </w:r>
      <w:proofErr w:type="spellStart"/>
      <w:r>
        <w:t>Karakaş</w:t>
      </w:r>
      <w:proofErr w:type="spellEnd"/>
      <w:r>
        <w:t>,</w:t>
      </w:r>
      <w:r>
        <w:rPr>
          <w:i/>
        </w:rPr>
        <w:t xml:space="preserve"> Przewodniczący,</w:t>
      </w:r>
      <w:r>
        <w:rPr>
          <w:i/>
        </w:rPr>
        <w:br/>
      </w:r>
      <w:r>
        <w:tab/>
        <w:t xml:space="preserve">Guido </w:t>
      </w:r>
      <w:proofErr w:type="spellStart"/>
      <w:r>
        <w:t>Raimondi</w:t>
      </w:r>
      <w:proofErr w:type="spellEnd"/>
      <w:r>
        <w:t>,</w:t>
      </w:r>
      <w:r>
        <w:rPr>
          <w:i/>
        </w:rPr>
        <w:br/>
      </w:r>
      <w:r>
        <w:tab/>
        <w:t xml:space="preserve">Peer </w:t>
      </w:r>
      <w:proofErr w:type="spellStart"/>
      <w:r>
        <w:t>Lorenzen</w:t>
      </w:r>
      <w:proofErr w:type="spellEnd"/>
      <w:r>
        <w:t>,</w:t>
      </w:r>
      <w:r>
        <w:rPr>
          <w:i/>
        </w:rPr>
        <w:br/>
      </w:r>
      <w:r>
        <w:tab/>
      </w:r>
      <w:proofErr w:type="spellStart"/>
      <w:r>
        <w:t>Dragoljub</w:t>
      </w:r>
      <w:proofErr w:type="spellEnd"/>
      <w:r>
        <w:t xml:space="preserve"> </w:t>
      </w:r>
      <w:proofErr w:type="spellStart"/>
      <w:r>
        <w:t>Popović</w:t>
      </w:r>
      <w:proofErr w:type="spellEnd"/>
      <w:r>
        <w:t>,</w:t>
      </w:r>
      <w:r>
        <w:rPr>
          <w:i/>
        </w:rPr>
        <w:br/>
      </w:r>
      <w:r>
        <w:tab/>
      </w:r>
      <w:proofErr w:type="spellStart"/>
      <w:r>
        <w:t>András</w:t>
      </w:r>
      <w:proofErr w:type="spellEnd"/>
      <w:r>
        <w:t xml:space="preserve"> </w:t>
      </w:r>
      <w:proofErr w:type="spellStart"/>
      <w:r>
        <w:t>Sajó</w:t>
      </w:r>
      <w:proofErr w:type="spellEnd"/>
      <w:r>
        <w:t>,</w:t>
      </w:r>
      <w:r>
        <w:rPr>
          <w:i/>
        </w:rPr>
        <w:br/>
      </w:r>
      <w:r>
        <w:tab/>
        <w:t xml:space="preserve">Paulo </w:t>
      </w:r>
      <w:proofErr w:type="spellStart"/>
      <w:r>
        <w:t>Pinto</w:t>
      </w:r>
      <w:proofErr w:type="spellEnd"/>
      <w:r>
        <w:t xml:space="preserve"> de Albuquerque,</w:t>
      </w:r>
      <w:r>
        <w:rPr>
          <w:i/>
        </w:rPr>
        <w:br/>
      </w:r>
      <w:r>
        <w:tab/>
        <w:t>Helen Keller,</w:t>
      </w:r>
      <w:r>
        <w:rPr>
          <w:i/>
        </w:rPr>
        <w:t xml:space="preserve"> sędziowie, </w:t>
      </w:r>
      <w:r>
        <w:br/>
        <w:t xml:space="preserve">oraz Stanley </w:t>
      </w:r>
      <w:proofErr w:type="spellStart"/>
      <w:r>
        <w:t>Naismith</w:t>
      </w:r>
      <w:proofErr w:type="spellEnd"/>
      <w:r>
        <w:t xml:space="preserve">, </w:t>
      </w:r>
      <w:r w:rsidR="007E48CB">
        <w:rPr>
          <w:i/>
        </w:rPr>
        <w:t>Kanclerz</w:t>
      </w:r>
      <w:r>
        <w:rPr>
          <w:i/>
        </w:rPr>
        <w:t xml:space="preserve"> Sekcji,</w:t>
      </w:r>
    </w:p>
    <w:p w14:paraId="0DF4AA75" w14:textId="77777777" w:rsidR="000D5DD6" w:rsidRPr="00110749" w:rsidRDefault="000D5DD6" w:rsidP="000D5DD6">
      <w:pPr>
        <w:pStyle w:val="ECHRPara"/>
      </w:pPr>
      <w:r>
        <w:t>Obradując na posiedzeniu niejawnym w dniu 28 stycznia 2013 roku,</w:t>
      </w:r>
    </w:p>
    <w:p w14:paraId="7E3C07A4" w14:textId="77777777" w:rsidR="000D5DD6" w:rsidRPr="00110749" w:rsidRDefault="000D5DD6" w:rsidP="000D5DD6">
      <w:pPr>
        <w:pStyle w:val="ECHRPara"/>
      </w:pPr>
      <w:r>
        <w:t>Wydaje następujący wyrok, który został przyjęty w tym dniu:</w:t>
      </w:r>
    </w:p>
    <w:p w14:paraId="5FFE272C" w14:textId="77777777" w:rsidR="000D5DD6" w:rsidRPr="00110749" w:rsidRDefault="000D5DD6" w:rsidP="000D5DD6">
      <w:pPr>
        <w:pStyle w:val="ECHRTitle1"/>
      </w:pPr>
      <w:r>
        <w:t>POSTĘPOWANIE</w:t>
      </w:r>
    </w:p>
    <w:p w14:paraId="3431A1EB" w14:textId="7B473299" w:rsidR="000D5DD6" w:rsidRPr="00110749" w:rsidRDefault="00346F6F" w:rsidP="000D5DD6">
      <w:pPr>
        <w:pStyle w:val="ECHRPara"/>
      </w:pPr>
      <w:fldSimple w:instr=" SEQ level0 \*arabic ">
        <w:r w:rsidR="00AB4482">
          <w:rPr>
            <w:noProof/>
          </w:rPr>
          <w:t>1</w:t>
        </w:r>
      </w:fldSimple>
      <w:r w:rsidR="000D5DD6">
        <w:t>.  Sprawa wywodzi się z pięciu skarg (nr 18640/10, 18647/10, 18663/10, 18668/10 i 18698/10) skierowanych przeciwko Republice Wło</w:t>
      </w:r>
      <w:r w:rsidR="007E48CB">
        <w:t>sk</w:t>
      </w:r>
      <w:r w:rsidR="00153CA8">
        <w:t>i</w:t>
      </w:r>
      <w:r w:rsidR="007E48CB">
        <w:t>ej</w:t>
      </w:r>
      <w:r w:rsidR="000D5DD6">
        <w:t xml:space="preserve">, wniesionych do Trybunału zgodnie z artykułem 34 Konwencji o ochronie praw człowieka i podstawowych wolności („Konwencja”) przez trzech obywateli włoskich oraz dwie spółki zarejestrowane we Włoszech, Pana </w:t>
      </w:r>
      <w:proofErr w:type="spellStart"/>
      <w:r w:rsidR="000D5DD6">
        <w:t>Franzo</w:t>
      </w:r>
      <w:proofErr w:type="spellEnd"/>
      <w:r w:rsidR="000D5DD6">
        <w:t xml:space="preserve"> Grande Stevensa, Pana </w:t>
      </w:r>
      <w:proofErr w:type="spellStart"/>
      <w:r w:rsidR="000D5DD6">
        <w:t>Gianluigi</w:t>
      </w:r>
      <w:proofErr w:type="spellEnd"/>
      <w:r w:rsidR="000D5DD6">
        <w:t xml:space="preserve"> </w:t>
      </w:r>
      <w:proofErr w:type="spellStart"/>
      <w:r w:rsidR="000D5DD6">
        <w:t>Gabettiego</w:t>
      </w:r>
      <w:proofErr w:type="spellEnd"/>
      <w:r w:rsidR="000D5DD6">
        <w:t xml:space="preserve">, Pana </w:t>
      </w:r>
      <w:proofErr w:type="spellStart"/>
      <w:r w:rsidR="000D5DD6">
        <w:t>Virgilio</w:t>
      </w:r>
      <w:proofErr w:type="spellEnd"/>
      <w:r w:rsidR="000D5DD6">
        <w:t xml:space="preserve"> </w:t>
      </w:r>
      <w:proofErr w:type="spellStart"/>
      <w:r w:rsidR="000D5DD6">
        <w:t>Marrone</w:t>
      </w:r>
      <w:proofErr w:type="spellEnd"/>
      <w:r w:rsidR="000D5DD6">
        <w:t xml:space="preserve">, </w:t>
      </w:r>
      <w:proofErr w:type="spellStart"/>
      <w:r w:rsidR="000D5DD6">
        <w:t>Exor</w:t>
      </w:r>
      <w:proofErr w:type="spellEnd"/>
      <w:r w:rsidR="000D5DD6">
        <w:t xml:space="preserve"> </w:t>
      </w:r>
      <w:proofErr w:type="spellStart"/>
      <w:r w:rsidR="000D5DD6">
        <w:t>S.p.a</w:t>
      </w:r>
      <w:proofErr w:type="spellEnd"/>
      <w:r w:rsidR="000D5DD6">
        <w:t xml:space="preserve">. i Giovanni Agnelli &amp; C. </w:t>
      </w:r>
      <w:proofErr w:type="spellStart"/>
      <w:r w:rsidR="000D5DD6">
        <w:t>S.a.s</w:t>
      </w:r>
      <w:proofErr w:type="spellEnd"/>
      <w:r w:rsidR="000D5DD6">
        <w:t>. („skarżących”), w dniu 27 marca 2010 roku.</w:t>
      </w:r>
    </w:p>
    <w:p w14:paraId="6F1D9387" w14:textId="756D1130" w:rsidR="000D5DD6" w:rsidRPr="00110749" w:rsidRDefault="00346F6F" w:rsidP="000D5DD6">
      <w:pPr>
        <w:pStyle w:val="ECHRPara"/>
      </w:pPr>
      <w:fldSimple w:instr=" SEQ level0 \*arabic ">
        <w:r w:rsidR="00AB4482">
          <w:rPr>
            <w:noProof/>
          </w:rPr>
          <w:t>2</w:t>
        </w:r>
      </w:fldSimple>
      <w:r w:rsidR="000D5DD6">
        <w:t xml:space="preserve">.  Skarżący reprezentowani byli przez Pana A. </w:t>
      </w:r>
      <w:proofErr w:type="spellStart"/>
      <w:r w:rsidR="000D5DD6">
        <w:t>Bozzo</w:t>
      </w:r>
      <w:proofErr w:type="spellEnd"/>
      <w:r w:rsidR="000D5DD6">
        <w:t xml:space="preserve"> i Pana G. </w:t>
      </w:r>
      <w:proofErr w:type="spellStart"/>
      <w:r w:rsidR="000D5DD6">
        <w:t>Bozzi</w:t>
      </w:r>
      <w:proofErr w:type="spellEnd"/>
      <w:r w:rsidR="000D5DD6">
        <w:t xml:space="preserve">, prawników prowadzących praktykę, odpowiednio w Mediolanie i Rzymie. Pan Grande Stevens był również reprezentowany przez Pana N. </w:t>
      </w:r>
      <w:proofErr w:type="spellStart"/>
      <w:r w:rsidR="000D5DD6">
        <w:t>Irti</w:t>
      </w:r>
      <w:proofErr w:type="spellEnd"/>
      <w:r w:rsidR="000D5DD6">
        <w:t>, prawnika prowadzącego praktykę w Mediolanie. Rząd włoski („Rząd”) był reprezentowany przez pełnomocnika, Panią E. </w:t>
      </w:r>
      <w:proofErr w:type="spellStart"/>
      <w:r w:rsidR="000D5DD6">
        <w:t>Spatafora</w:t>
      </w:r>
      <w:proofErr w:type="spellEnd"/>
      <w:r w:rsidR="000D5DD6">
        <w:t xml:space="preserve">, oraz </w:t>
      </w:r>
      <w:r w:rsidR="007E48CB">
        <w:t>zastępcę</w:t>
      </w:r>
      <w:r w:rsidR="000D5DD6">
        <w:t xml:space="preserve"> pełnomocnika, Panią P. </w:t>
      </w:r>
      <w:proofErr w:type="spellStart"/>
      <w:r w:rsidR="000D5DD6">
        <w:t>Accardo</w:t>
      </w:r>
      <w:proofErr w:type="spellEnd"/>
      <w:r w:rsidR="000D5DD6">
        <w:t>.</w:t>
      </w:r>
    </w:p>
    <w:p w14:paraId="5CB1961B" w14:textId="42E22A4A" w:rsidR="000D5DD6" w:rsidRPr="00110749" w:rsidRDefault="00346F6F" w:rsidP="000D5DD6">
      <w:pPr>
        <w:pStyle w:val="ECHRPara"/>
      </w:pPr>
      <w:fldSimple w:instr=" SEQ level0 \*arabic ">
        <w:r w:rsidR="00AB4482">
          <w:rPr>
            <w:noProof/>
          </w:rPr>
          <w:t>3</w:t>
        </w:r>
      </w:fldSimple>
      <w:r w:rsidR="000D5DD6">
        <w:t xml:space="preserve">.  Skarżący zarzucili w szczególności, że postępowanie sądowe wszczęte przeciwko nim nie było </w:t>
      </w:r>
      <w:r w:rsidR="007E48CB">
        <w:t>rzetelne</w:t>
      </w:r>
      <w:r w:rsidR="000D5DD6">
        <w:t xml:space="preserve"> i nie zostało przeprowadzone przed niezawisłym i bezstronnym „</w:t>
      </w:r>
      <w:r w:rsidR="007E48CB">
        <w:t>sądem</w:t>
      </w:r>
      <w:r w:rsidR="000D5DD6">
        <w:t xml:space="preserve">”, że nastąpiło naruszenie ich prawa do </w:t>
      </w:r>
      <w:r w:rsidR="007E48CB">
        <w:t xml:space="preserve">poszanowania swego </w:t>
      </w:r>
      <w:r w:rsidR="000D5DD6">
        <w:t xml:space="preserve">mienia oraz że nastąpiło naruszenie </w:t>
      </w:r>
      <w:r w:rsidR="007E48CB">
        <w:t xml:space="preserve">w stosunku do nich </w:t>
      </w:r>
      <w:r w:rsidR="000D5DD6">
        <w:t xml:space="preserve">zasady </w:t>
      </w:r>
      <w:proofErr w:type="spellStart"/>
      <w:r w:rsidR="000D5DD6">
        <w:rPr>
          <w:i/>
        </w:rPr>
        <w:t>ne</w:t>
      </w:r>
      <w:proofErr w:type="spellEnd"/>
      <w:r w:rsidR="000D5DD6">
        <w:rPr>
          <w:i/>
        </w:rPr>
        <w:t xml:space="preserve"> bis in </w:t>
      </w:r>
      <w:proofErr w:type="spellStart"/>
      <w:r w:rsidR="000D5DD6">
        <w:rPr>
          <w:i/>
        </w:rPr>
        <w:t>idem</w:t>
      </w:r>
      <w:proofErr w:type="spellEnd"/>
      <w:r w:rsidR="000D5DD6">
        <w:t>.</w:t>
      </w:r>
    </w:p>
    <w:p w14:paraId="23D87196" w14:textId="72D852DB" w:rsidR="000D5DD6" w:rsidRPr="00110749" w:rsidRDefault="00346F6F" w:rsidP="000D5DD6">
      <w:pPr>
        <w:pStyle w:val="ECHRPara"/>
        <w:rPr>
          <w:szCs w:val="24"/>
        </w:rPr>
      </w:pPr>
      <w:fldSimple w:instr=" SEQ level0 \*arabic ">
        <w:r w:rsidR="00AB4482">
          <w:rPr>
            <w:noProof/>
          </w:rPr>
          <w:t>4</w:t>
        </w:r>
      </w:fldSimple>
      <w:r w:rsidR="000D5DD6">
        <w:t xml:space="preserve">.  W dniu 15 stycznia 2013 roku skargi zostały uznane za częściowo niedopuszczalne, natomiast skargi </w:t>
      </w:r>
      <w:r w:rsidR="007E48CB">
        <w:t>na podstawie artykułu 6 Konwencji, artykułu 1 Protokołu Nr 1 i artykułu</w:t>
      </w:r>
      <w:r w:rsidR="000D5DD6">
        <w:t xml:space="preserve"> 4 Protokołu </w:t>
      </w:r>
      <w:r w:rsidR="00B841DA">
        <w:t xml:space="preserve">nr </w:t>
      </w:r>
      <w:r w:rsidR="000D5DD6">
        <w:t>7 zostały zakomunikowane Rządowi. Postanowiono</w:t>
      </w:r>
      <w:r w:rsidR="007E48CB">
        <w:t xml:space="preserve">, że </w:t>
      </w:r>
      <w:r w:rsidR="000D5DD6">
        <w:t xml:space="preserve">orzeczenie w sprawie </w:t>
      </w:r>
      <w:r w:rsidR="000D5DD6">
        <w:lastRenderedPageBreak/>
        <w:t>dopuszczalności i</w:t>
      </w:r>
      <w:r w:rsidR="00D02BDD">
        <w:t xml:space="preserve"> przedmiotu skargi </w:t>
      </w:r>
      <w:r w:rsidR="007E48CB">
        <w:t xml:space="preserve">zostanie wydane jednocześnie </w:t>
      </w:r>
      <w:r w:rsidR="00D02BDD">
        <w:t>(artykuł 29 ust.</w:t>
      </w:r>
      <w:r w:rsidR="000D5DD6">
        <w:t xml:space="preserve"> 1 Konwencji).</w:t>
      </w:r>
    </w:p>
    <w:p w14:paraId="724F47DF" w14:textId="77777777" w:rsidR="000D5DD6" w:rsidRPr="00110749" w:rsidRDefault="007E48CB" w:rsidP="000D5DD6">
      <w:pPr>
        <w:pStyle w:val="ECHRTitle1"/>
        <w:tabs>
          <w:tab w:val="left" w:pos="5387"/>
        </w:tabs>
      </w:pPr>
      <w:r>
        <w:t>FAKTY</w:t>
      </w:r>
    </w:p>
    <w:p w14:paraId="6685238E" w14:textId="77777777" w:rsidR="000D5DD6" w:rsidRPr="00110749" w:rsidRDefault="000D5DD6" w:rsidP="000D5DD6">
      <w:pPr>
        <w:pStyle w:val="ECHRHeading1"/>
      </w:pPr>
      <w:r>
        <w:t>I.  OKOLICZNOŚCI SPRAWY</w:t>
      </w:r>
    </w:p>
    <w:p w14:paraId="1CB1EE02" w14:textId="77777777" w:rsidR="000D5DD6" w:rsidRPr="00110749" w:rsidRDefault="00346F6F" w:rsidP="000D5DD6">
      <w:pPr>
        <w:pStyle w:val="ECHRPara"/>
      </w:pPr>
      <w:fldSimple w:instr=" SEQ level0 \*arabic ">
        <w:r w:rsidR="00AB4482">
          <w:rPr>
            <w:noProof/>
          </w:rPr>
          <w:t>5</w:t>
        </w:r>
      </w:fldSimple>
      <w:r w:rsidR="000D5DD6">
        <w:t>.  Lista skarżących znajduje się w załączeniu.</w:t>
      </w:r>
    </w:p>
    <w:p w14:paraId="71047A05" w14:textId="77777777" w:rsidR="000D5DD6" w:rsidRPr="00110749" w:rsidRDefault="000D5DD6" w:rsidP="000D5DD6">
      <w:pPr>
        <w:pStyle w:val="ECHRHeading2"/>
      </w:pPr>
      <w:r>
        <w:t>I.  Kontekst sprawy</w:t>
      </w:r>
    </w:p>
    <w:p w14:paraId="53CA13F7" w14:textId="77777777" w:rsidR="000D5DD6" w:rsidRPr="00110749" w:rsidRDefault="00346F6F" w:rsidP="000D5DD6">
      <w:pPr>
        <w:pStyle w:val="ECHRPara"/>
      </w:pPr>
      <w:fldSimple w:instr=" SEQ level0 \*arabic ">
        <w:r w:rsidR="00AB4482">
          <w:rPr>
            <w:noProof/>
          </w:rPr>
          <w:t>6</w:t>
        </w:r>
      </w:fldSimple>
      <w:r w:rsidR="000D5DD6">
        <w:t xml:space="preserve">.  W przedmiotowym czasie, Pan </w:t>
      </w:r>
      <w:proofErr w:type="spellStart"/>
      <w:r w:rsidR="000D5DD6">
        <w:t>Gianluigi</w:t>
      </w:r>
      <w:proofErr w:type="spellEnd"/>
      <w:r w:rsidR="000D5DD6">
        <w:t xml:space="preserve"> </w:t>
      </w:r>
      <w:proofErr w:type="spellStart"/>
      <w:r w:rsidR="000D5DD6">
        <w:t>Gabetti</w:t>
      </w:r>
      <w:proofErr w:type="spellEnd"/>
      <w:r w:rsidR="000D5DD6">
        <w:t xml:space="preserve"> był prezesem dwóch skarżących spółek, a Pan </w:t>
      </w:r>
      <w:proofErr w:type="spellStart"/>
      <w:r w:rsidR="000D5DD6">
        <w:t>Virgilio</w:t>
      </w:r>
      <w:proofErr w:type="spellEnd"/>
      <w:r w:rsidR="000D5DD6">
        <w:t xml:space="preserve"> </w:t>
      </w:r>
      <w:proofErr w:type="spellStart"/>
      <w:r w:rsidR="000D5DD6">
        <w:t>Marrone</w:t>
      </w:r>
      <w:proofErr w:type="spellEnd"/>
      <w:r w:rsidR="000D5DD6">
        <w:t xml:space="preserve"> był upoważnionym przedstawicielem (prokurentem) skarżącej spółki Giovanni Agnelli &amp; C. </w:t>
      </w:r>
      <w:proofErr w:type="spellStart"/>
      <w:r w:rsidR="000D5DD6">
        <w:t>s.a.a</w:t>
      </w:r>
      <w:proofErr w:type="spellEnd"/>
      <w:r w:rsidR="000D5DD6">
        <w:t>.</w:t>
      </w:r>
    </w:p>
    <w:bookmarkStart w:id="2" w:name="perspectivebanques"/>
    <w:p w14:paraId="0A6CD834" w14:textId="568AB5C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7</w:t>
      </w:r>
      <w:r w:rsidRPr="00110749">
        <w:fldChar w:fldCharType="end"/>
      </w:r>
      <w:bookmarkEnd w:id="2"/>
      <w:r>
        <w:t>.  W dniu 26 lipca</w:t>
      </w:r>
      <w:r w:rsidR="0013422D">
        <w:t xml:space="preserve"> </w:t>
      </w:r>
      <w:r>
        <w:t>2002 roku, publiczna spółka akcyjna FIAT (</w:t>
      </w:r>
      <w:proofErr w:type="spellStart"/>
      <w:r>
        <w:rPr>
          <w:i/>
        </w:rPr>
        <w:t>Fabbrica</w:t>
      </w:r>
      <w:proofErr w:type="spellEnd"/>
      <w:r>
        <w:rPr>
          <w:i/>
        </w:rPr>
        <w:t xml:space="preserve"> </w:t>
      </w:r>
      <w:proofErr w:type="spellStart"/>
      <w:r>
        <w:rPr>
          <w:i/>
        </w:rPr>
        <w:t>Italiana</w:t>
      </w:r>
      <w:proofErr w:type="spellEnd"/>
      <w:r>
        <w:rPr>
          <w:i/>
        </w:rPr>
        <w:t xml:space="preserve"> Automobili </w:t>
      </w:r>
      <w:proofErr w:type="spellStart"/>
      <w:r>
        <w:rPr>
          <w:i/>
        </w:rPr>
        <w:t>Torino</w:t>
      </w:r>
      <w:proofErr w:type="spellEnd"/>
      <w:r>
        <w:t>)</w:t>
      </w:r>
      <w:r>
        <w:rPr>
          <w:i/>
        </w:rPr>
        <w:t xml:space="preserve"> </w:t>
      </w:r>
      <w:r>
        <w:t>podpisała umowę o finansowani</w:t>
      </w:r>
      <w:r w:rsidR="00093927">
        <w:t>e</w:t>
      </w:r>
      <w:r>
        <w:t xml:space="preserve"> (</w:t>
      </w:r>
      <w:proofErr w:type="spellStart"/>
      <w:r>
        <w:rPr>
          <w:i/>
        </w:rPr>
        <w:t>prestito</w:t>
      </w:r>
      <w:proofErr w:type="spellEnd"/>
      <w:r>
        <w:rPr>
          <w:i/>
        </w:rPr>
        <w:t xml:space="preserve"> </w:t>
      </w:r>
      <w:proofErr w:type="spellStart"/>
      <w:r>
        <w:rPr>
          <w:i/>
        </w:rPr>
        <w:t>convertendo</w:t>
      </w:r>
      <w:proofErr w:type="spellEnd"/>
      <w:r>
        <w:t>)</w:t>
      </w:r>
      <w:r>
        <w:rPr>
          <w:i/>
        </w:rPr>
        <w:t xml:space="preserve"> </w:t>
      </w:r>
      <w:r>
        <w:t>z ośmioma bankami. Umowa ta miała wygasnąć w dniu 20 września 2005 roku i przewidywała, że w przypadku, gdy FIAT nie spłaci pożyczki, banki mogą odliczyć swoje roszczenia przez subskrypcję akcji w podwyższonym kapitale spółki. W ten sposób, banki otrzymałyby 28% kapitału akcyjnego FIAT</w:t>
      </w:r>
      <w:r w:rsidR="0013422D">
        <w:t>-</w:t>
      </w:r>
      <w:r>
        <w:t xml:space="preserve">a, podczas gdy liczba akcji w posiadaniu publicznej spółki akcyjnej IFIL </w:t>
      </w:r>
      <w:proofErr w:type="spellStart"/>
      <w:r>
        <w:t>Investments</w:t>
      </w:r>
      <w:proofErr w:type="spellEnd"/>
      <w:r>
        <w:t xml:space="preserve"> (która następnie, w dniu 20 lutego 2009 roku, przekształciła się w </w:t>
      </w:r>
      <w:proofErr w:type="spellStart"/>
      <w:r>
        <w:t>Exor</w:t>
      </w:r>
      <w:proofErr w:type="spellEnd"/>
      <w:r>
        <w:t xml:space="preserve"> </w:t>
      </w:r>
      <w:proofErr w:type="spellStart"/>
      <w:r>
        <w:t>s.p.a</w:t>
      </w:r>
      <w:proofErr w:type="spellEnd"/>
      <w:r>
        <w:t>., którą to nazwą będzie nazywana w dalszej części) spadłaby z 30,06% do około 22%.</w:t>
      </w:r>
    </w:p>
    <w:p w14:paraId="0CAF04D5" w14:textId="1CEC9429" w:rsidR="00AB4482" w:rsidRDefault="00346F6F" w:rsidP="000D5DD6">
      <w:pPr>
        <w:pStyle w:val="ECHRPara"/>
      </w:pPr>
      <w:fldSimple w:instr=" SEQ level0 \*arabic ">
        <w:r w:rsidR="00AB4482">
          <w:rPr>
            <w:noProof/>
          </w:rPr>
          <w:t>8</w:t>
        </w:r>
      </w:fldSimple>
      <w:r w:rsidR="000D5DD6">
        <w:t xml:space="preserve">.  Pan </w:t>
      </w:r>
      <w:proofErr w:type="spellStart"/>
      <w:r w:rsidR="000D5DD6">
        <w:t>Gabetti</w:t>
      </w:r>
      <w:proofErr w:type="spellEnd"/>
      <w:r w:rsidR="000D5DD6">
        <w:t xml:space="preserve"> chciał uzyskać poradę prawną w sprawie najlepszego sposobu </w:t>
      </w:r>
      <w:r w:rsidR="00153CA8">
        <w:t>zapewnienia</w:t>
      </w:r>
      <w:r w:rsidR="000D5DD6">
        <w:t xml:space="preserve">, </w:t>
      </w:r>
      <w:r w:rsidR="00563ED6">
        <w:t xml:space="preserve">by </w:t>
      </w:r>
      <w:proofErr w:type="spellStart"/>
      <w:r w:rsidR="00563ED6">
        <w:t>Exor</w:t>
      </w:r>
      <w:proofErr w:type="spellEnd"/>
      <w:r w:rsidR="00563ED6">
        <w:t xml:space="preserve"> pozostał</w:t>
      </w:r>
      <w:r w:rsidR="000D5DD6">
        <w:t xml:space="preserve"> kontrolującym akcjonariuszem spółki FIAT, a w tym celu skontaktował się z prawnikiem specjalizującym się w prawie spółek, Panem Grande Stevensem. Uznał, że jedną z możliwości byłoby renegocjowanie kapitałowej transakcji </w:t>
      </w:r>
      <w:proofErr w:type="spellStart"/>
      <w:r w:rsidR="000D5DD6" w:rsidRPr="002D361F">
        <w:t>swap</w:t>
      </w:r>
      <w:proofErr w:type="spellEnd"/>
      <w:r w:rsidR="000D5DD6">
        <w:rPr>
          <w:i/>
        </w:rPr>
        <w:t xml:space="preserve"> </w:t>
      </w:r>
      <w:r w:rsidR="000D5DD6">
        <w:t xml:space="preserve">(to znaczy umowy pozwalającej na skompensowanie stopy oprocentowania wynikiem osiągniętym przez akcję, bez konieczności przekazywania środków pieniężnych), z dnia 26 kwietnia 2005 roku, w oparciu o około 90 milionów akcji w spółce FIAT, zawartej przez </w:t>
      </w:r>
      <w:proofErr w:type="spellStart"/>
      <w:r w:rsidR="000D5DD6">
        <w:t>Exor</w:t>
      </w:r>
      <w:proofErr w:type="spellEnd"/>
      <w:r w:rsidR="000D5DD6">
        <w:t xml:space="preserve"> z angielskim bankiem handlowym, Merrill Lynch International </w:t>
      </w:r>
      <w:proofErr w:type="spellStart"/>
      <w:r w:rsidR="000D5DD6">
        <w:t>Ltd</w:t>
      </w:r>
      <w:proofErr w:type="spellEnd"/>
      <w:r w:rsidR="000D5DD6">
        <w:t xml:space="preserve">, która miała wygasnąć 26 grudnia 2006 roku. Zdaniem Pana </w:t>
      </w:r>
      <w:r w:rsidR="000D5DD6">
        <w:rPr>
          <w:vertAlign w:val="superscript"/>
        </w:rPr>
        <w:t> </w:t>
      </w:r>
      <w:r w:rsidR="000D5DD6">
        <w:t>Grande Stevensa, byłby to jeden ze sposobów na zapobieżenie wszczęciu postępowania przetargowego mającego na celu przejęcie akcji FIAT</w:t>
      </w:r>
      <w:r w:rsidR="0013422D">
        <w:t>-</w:t>
      </w:r>
      <w:r w:rsidR="000D5DD6">
        <w:t>a.</w:t>
      </w:r>
    </w:p>
    <w:bookmarkStart w:id="3" w:name="fonctonsCONSOB"/>
    <w:p w14:paraId="31590CDD" w14:textId="0CFE4106" w:rsidR="000D5DD6" w:rsidRPr="00110749" w:rsidRDefault="000D5DD6" w:rsidP="000D5DD6">
      <w:pPr>
        <w:pStyle w:val="ECHRPara"/>
        <w:rPr>
          <w:color w:val="000000"/>
        </w:rPr>
      </w:pPr>
      <w:r w:rsidRPr="00110749">
        <w:fldChar w:fldCharType="begin"/>
      </w:r>
      <w:r w:rsidRPr="00110749">
        <w:instrText xml:space="preserve"> SEQ level0 \*arabic </w:instrText>
      </w:r>
      <w:r w:rsidRPr="00110749">
        <w:fldChar w:fldCharType="separate"/>
      </w:r>
      <w:r w:rsidR="00AB4482">
        <w:rPr>
          <w:noProof/>
        </w:rPr>
        <w:t>9</w:t>
      </w:r>
      <w:r w:rsidRPr="00110749">
        <w:fldChar w:fldCharType="end"/>
      </w:r>
      <w:bookmarkEnd w:id="3"/>
      <w:r>
        <w:t xml:space="preserve">.  Bez </w:t>
      </w:r>
      <w:r w:rsidR="00563ED6">
        <w:t>wspominania</w:t>
      </w:r>
      <w:r>
        <w:t xml:space="preserve"> Merrill Lynch International </w:t>
      </w:r>
      <w:proofErr w:type="spellStart"/>
      <w:r>
        <w:t>Ltd</w:t>
      </w:r>
      <w:proofErr w:type="spellEnd"/>
      <w:r>
        <w:t xml:space="preserve"> z </w:t>
      </w:r>
      <w:r w:rsidR="0013422D">
        <w:t>obawy</w:t>
      </w:r>
      <w:r>
        <w:t xml:space="preserve"> przed naruszeniem jego obowiązku zachowania poufności, w dniu 12 sierpnia 2005 roku Pan Grande Stevens wystąpił do Komisji Spółek Krajowych i Giełd </w:t>
      </w:r>
      <w:r>
        <w:rPr>
          <w:color w:val="000000"/>
        </w:rPr>
        <w:t>(</w:t>
      </w:r>
      <w:proofErr w:type="spellStart"/>
      <w:r>
        <w:rPr>
          <w:i/>
          <w:color w:val="000000"/>
        </w:rPr>
        <w:t>Commissione</w:t>
      </w:r>
      <w:proofErr w:type="spellEnd"/>
      <w:r>
        <w:rPr>
          <w:i/>
          <w:color w:val="000000"/>
        </w:rPr>
        <w:t xml:space="preserve"> </w:t>
      </w:r>
      <w:proofErr w:type="spellStart"/>
      <w:r>
        <w:rPr>
          <w:i/>
          <w:color w:val="000000"/>
        </w:rPr>
        <w:t>Nazionale</w:t>
      </w:r>
      <w:proofErr w:type="spellEnd"/>
      <w:r>
        <w:rPr>
          <w:i/>
          <w:color w:val="000000"/>
        </w:rPr>
        <w:t xml:space="preserve"> per le </w:t>
      </w:r>
      <w:proofErr w:type="spellStart"/>
      <w:r>
        <w:rPr>
          <w:i/>
          <w:color w:val="000000"/>
        </w:rPr>
        <w:t>Società</w:t>
      </w:r>
      <w:proofErr w:type="spellEnd"/>
      <w:r>
        <w:rPr>
          <w:i/>
          <w:color w:val="000000"/>
        </w:rPr>
        <w:t xml:space="preserve"> e la </w:t>
      </w:r>
      <w:proofErr w:type="spellStart"/>
      <w:r>
        <w:rPr>
          <w:i/>
          <w:color w:val="000000"/>
        </w:rPr>
        <w:t>Borsa</w:t>
      </w:r>
      <w:proofErr w:type="spellEnd"/>
      <w:r>
        <w:rPr>
          <w:i/>
          <w:color w:val="000000"/>
        </w:rPr>
        <w:t xml:space="preserve"> –</w:t>
      </w:r>
      <w:r>
        <w:rPr>
          <w:color w:val="000000"/>
        </w:rPr>
        <w:t xml:space="preserve"> „CONSOB”, która, </w:t>
      </w:r>
      <w:r>
        <w:rPr>
          <w:color w:val="000000"/>
        </w:rPr>
        <w:lastRenderedPageBreak/>
        <w:t xml:space="preserve">zgodnie z włoskim systemem prawnym, ma za zadanie m.in. ochronę inwestorów oraz zapewnienie przejrzystości i rozwoju rynków giełdowych) z pytaniem, czy w przewidywanym przez niego scenariuszu można uniknąć składania oferty na przejęcie akcji. </w:t>
      </w:r>
      <w:r>
        <w:t xml:space="preserve">Jednocześnie, Pan </w:t>
      </w:r>
      <w:r>
        <w:rPr>
          <w:color w:val="000000"/>
        </w:rPr>
        <w:t xml:space="preserve">Grande Stevens wszczął rozmowy z </w:t>
      </w:r>
      <w:r>
        <w:t xml:space="preserve">Merrill Lynch International </w:t>
      </w:r>
      <w:proofErr w:type="spellStart"/>
      <w:r>
        <w:t>Ltd</w:t>
      </w:r>
      <w:proofErr w:type="spellEnd"/>
      <w:r>
        <w:t xml:space="preserve"> na temat możliwości zmiany umowy na kapitałową transakcję </w:t>
      </w:r>
      <w:proofErr w:type="spellStart"/>
      <w:r>
        <w:t>swap</w:t>
      </w:r>
      <w:proofErr w:type="spellEnd"/>
      <w:r>
        <w:t>.</w:t>
      </w:r>
    </w:p>
    <w:p w14:paraId="404F3794" w14:textId="5F55FB14" w:rsidR="000D5DD6" w:rsidRPr="00110749" w:rsidRDefault="000D5DD6" w:rsidP="000D5DD6">
      <w:pPr>
        <w:pStyle w:val="ECHRPara"/>
        <w:rPr>
          <w:color w:val="000000"/>
        </w:rPr>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10</w:t>
      </w:r>
      <w:r w:rsidRPr="00110749">
        <w:rPr>
          <w:color w:val="000000"/>
        </w:rPr>
        <w:fldChar w:fldCharType="end"/>
      </w:r>
      <w:r>
        <w:rPr>
          <w:color w:val="000000"/>
        </w:rPr>
        <w:t xml:space="preserve">.  W dniu 23 sierpnia 2005 roku, CONSOB poprosił </w:t>
      </w:r>
      <w:proofErr w:type="spellStart"/>
      <w:r>
        <w:rPr>
          <w:color w:val="000000"/>
        </w:rPr>
        <w:t>Exor</w:t>
      </w:r>
      <w:proofErr w:type="spellEnd"/>
      <w:r>
        <w:rPr>
          <w:color w:val="000000"/>
        </w:rPr>
        <w:t xml:space="preserve"> i Giovanni Agnelli o wy</w:t>
      </w:r>
      <w:r w:rsidR="00563ED6">
        <w:rPr>
          <w:color w:val="000000"/>
        </w:rPr>
        <w:t>danie komunikatu prasowego opisującego</w:t>
      </w:r>
      <w:r>
        <w:rPr>
          <w:color w:val="000000"/>
        </w:rPr>
        <w:t xml:space="preserve"> dane dotyczące inicjatywy podejmowanej w świetle nadchodzącego wygaśnięcia umowy </w:t>
      </w:r>
      <w:r w:rsidR="00093927">
        <w:rPr>
          <w:color w:val="000000"/>
        </w:rPr>
        <w:t>o finansowanie</w:t>
      </w:r>
      <w:r>
        <w:rPr>
          <w:color w:val="000000"/>
        </w:rPr>
        <w:t xml:space="preserve"> z bankami, wszelkie nowe fakty dotyczące spółki FIAT oraz wszelkie elementy, które mogłyby wyjaśnić wahania rynkowe w odniesieniu do akcji FIAT</w:t>
      </w:r>
      <w:r w:rsidR="00E1168C">
        <w:rPr>
          <w:color w:val="000000"/>
        </w:rPr>
        <w:t>-</w:t>
      </w:r>
      <w:r>
        <w:rPr>
          <w:color w:val="000000"/>
        </w:rPr>
        <w:t>a.</w:t>
      </w:r>
    </w:p>
    <w:p w14:paraId="3A13F292" w14:textId="77777777" w:rsidR="000D5DD6" w:rsidRPr="00110749" w:rsidRDefault="000D5DD6" w:rsidP="000D5DD6">
      <w:pPr>
        <w:pStyle w:val="ECHRPara"/>
        <w:rPr>
          <w:color w:val="000000"/>
        </w:rPr>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11</w:t>
      </w:r>
      <w:r w:rsidRPr="00110749">
        <w:rPr>
          <w:color w:val="000000"/>
        </w:rPr>
        <w:fldChar w:fldCharType="end"/>
      </w:r>
      <w:r>
        <w:rPr>
          <w:color w:val="000000"/>
        </w:rPr>
        <w:t xml:space="preserve">.  Pan </w:t>
      </w:r>
      <w:proofErr w:type="spellStart"/>
      <w:r>
        <w:rPr>
          <w:color w:val="000000"/>
        </w:rPr>
        <w:t>Marrone</w:t>
      </w:r>
      <w:proofErr w:type="spellEnd"/>
      <w:r>
        <w:rPr>
          <w:color w:val="000000"/>
        </w:rPr>
        <w:t xml:space="preserve"> twierdzi, że tego dnia miał urlop. Poinformował Pana Grande Stevensa o wniosku CONSOB i przesłał mu jego kopię. Pan </w:t>
      </w:r>
      <w:proofErr w:type="spellStart"/>
      <w:r>
        <w:rPr>
          <w:color w:val="000000"/>
        </w:rPr>
        <w:t>Marrone</w:t>
      </w:r>
      <w:proofErr w:type="spellEnd"/>
      <w:r>
        <w:rPr>
          <w:color w:val="000000"/>
        </w:rPr>
        <w:t xml:space="preserve"> zeznaje, że nie był zaangażowany w sporządzanie informacji prasowych opisanych w paragrafach 13 i 14 poniżej.</w:t>
      </w:r>
    </w:p>
    <w:p w14:paraId="2A4DA1A8" w14:textId="008E0A5B" w:rsidR="00AB4482" w:rsidRDefault="000D5DD6" w:rsidP="000D5DD6">
      <w:pPr>
        <w:pStyle w:val="ECHRPara"/>
        <w:rPr>
          <w:color w:val="000000"/>
        </w:rPr>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12</w:t>
      </w:r>
      <w:r w:rsidRPr="00110749">
        <w:rPr>
          <w:color w:val="000000"/>
        </w:rPr>
        <w:fldChar w:fldCharType="end"/>
      </w:r>
      <w:r>
        <w:rPr>
          <w:color w:val="000000"/>
        </w:rPr>
        <w:t xml:space="preserve">.  Pan </w:t>
      </w:r>
      <w:proofErr w:type="spellStart"/>
      <w:r>
        <w:rPr>
          <w:color w:val="000000"/>
        </w:rPr>
        <w:t>Gabetti</w:t>
      </w:r>
      <w:proofErr w:type="spellEnd"/>
      <w:r>
        <w:rPr>
          <w:color w:val="000000"/>
        </w:rPr>
        <w:t xml:space="preserve"> zeznaje, że w dniu 23 sierpnia 2005 roku był w szpitalu w Stanach Zjednoczonych. Otrzymał projekt informacji prasowej i skontaktował się z Panem  Grande Stevensem drogą telefoniczną; prawnik potwierdził mu, że zważywszy na szereg elementów, które pozostawały niepewne, nie można uznać renegocjowania kapitałowej transakcji </w:t>
      </w:r>
      <w:proofErr w:type="spellStart"/>
      <w:r>
        <w:rPr>
          <w:color w:val="000000"/>
        </w:rPr>
        <w:t>swap</w:t>
      </w:r>
      <w:proofErr w:type="spellEnd"/>
      <w:r>
        <w:rPr>
          <w:color w:val="000000"/>
        </w:rPr>
        <w:t xml:space="preserve"> za istotną i dostępną obecnie opcję. W tych okolicznościach Pan </w:t>
      </w:r>
      <w:proofErr w:type="spellStart"/>
      <w:r>
        <w:rPr>
          <w:color w:val="000000"/>
        </w:rPr>
        <w:t>Gabetti</w:t>
      </w:r>
      <w:proofErr w:type="spellEnd"/>
      <w:r>
        <w:rPr>
          <w:color w:val="000000"/>
        </w:rPr>
        <w:t xml:space="preserve"> zatwierdził projekt</w:t>
      </w:r>
      <w:r w:rsidR="00563ED6">
        <w:rPr>
          <w:color w:val="000000"/>
        </w:rPr>
        <w:t xml:space="preserve"> komunikatu prasowego</w:t>
      </w:r>
      <w:r>
        <w:rPr>
          <w:color w:val="000000"/>
        </w:rPr>
        <w:t>.</w:t>
      </w:r>
    </w:p>
    <w:bookmarkStart w:id="4" w:name="communiqué1"/>
    <w:p w14:paraId="7F3F82F8" w14:textId="70386A76" w:rsidR="000D5DD6" w:rsidRPr="00110749" w:rsidRDefault="000D5DD6" w:rsidP="000D5DD6">
      <w:pPr>
        <w:pStyle w:val="ECHRPara"/>
        <w:rPr>
          <w:color w:val="000000"/>
        </w:rPr>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13</w:t>
      </w:r>
      <w:r w:rsidRPr="00110749">
        <w:rPr>
          <w:color w:val="000000"/>
        </w:rPr>
        <w:fldChar w:fldCharType="end"/>
      </w:r>
      <w:bookmarkEnd w:id="4"/>
      <w:r>
        <w:rPr>
          <w:color w:val="000000"/>
        </w:rPr>
        <w:t>.  </w:t>
      </w:r>
      <w:r w:rsidR="00563ED6">
        <w:rPr>
          <w:color w:val="000000"/>
        </w:rPr>
        <w:t xml:space="preserve">Komunikat prasowy wydany </w:t>
      </w:r>
      <w:r>
        <w:rPr>
          <w:color w:val="000000"/>
        </w:rPr>
        <w:t>w odpowiedzi [na wniosek CONSOB], zatwierdzon</w:t>
      </w:r>
      <w:r w:rsidR="00563ED6">
        <w:rPr>
          <w:color w:val="000000"/>
        </w:rPr>
        <w:t>y</w:t>
      </w:r>
      <w:r>
        <w:rPr>
          <w:color w:val="000000"/>
        </w:rPr>
        <w:t xml:space="preserve"> przez Pana </w:t>
      </w:r>
      <w:r>
        <w:t xml:space="preserve"> Grande Stevensa, wskazywał jedynie, że </w:t>
      </w:r>
      <w:proofErr w:type="spellStart"/>
      <w:r>
        <w:t>Exor</w:t>
      </w:r>
      <w:proofErr w:type="spellEnd"/>
      <w:r>
        <w:t xml:space="preserve"> „ani nie wszczynał, ani nie badał inicjatyw odnoszących się do wygaśnięcia umowy </w:t>
      </w:r>
      <w:r w:rsidR="00093927">
        <w:t xml:space="preserve">o </w:t>
      </w:r>
      <w:r>
        <w:t>finansowanie” oraz pragnął „pozostać referencyjnym akcjonariuszem FIAT</w:t>
      </w:r>
      <w:r w:rsidR="00E1168C">
        <w:t>-</w:t>
      </w:r>
      <w:r>
        <w:t xml:space="preserve">a”. Nie wspomniano o potencjalnej renegocjacji umowy kapitałowej transakcji </w:t>
      </w:r>
      <w:proofErr w:type="spellStart"/>
      <w:r>
        <w:t>swap</w:t>
      </w:r>
      <w:proofErr w:type="spellEnd"/>
      <w:r>
        <w:t xml:space="preserve"> z Merrill Lynch International </w:t>
      </w:r>
      <w:proofErr w:type="spellStart"/>
      <w:r>
        <w:t>Ltd</w:t>
      </w:r>
      <w:proofErr w:type="spellEnd"/>
      <w:r>
        <w:t>, którą, w braku wyraźnej podstawy</w:t>
      </w:r>
      <w:r w:rsidR="00563ED6" w:rsidRPr="00563ED6">
        <w:t xml:space="preserve"> </w:t>
      </w:r>
      <w:r w:rsidR="00563ED6">
        <w:t>faktycznej i prawnej</w:t>
      </w:r>
      <w:r>
        <w:t>, skarżący uznawali jedynie za jeden z możliwych przyszłych scenariuszy.</w:t>
      </w:r>
    </w:p>
    <w:bookmarkStart w:id="5" w:name="communiqué2"/>
    <w:p w14:paraId="4290553C" w14:textId="3F59368A" w:rsidR="000D5DD6" w:rsidRPr="00110749" w:rsidRDefault="000D5DD6" w:rsidP="000D5DD6">
      <w:pPr>
        <w:pStyle w:val="ECHRPara"/>
        <w:rPr>
          <w:color w:val="000000"/>
        </w:rPr>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14</w:t>
      </w:r>
      <w:r w:rsidRPr="00110749">
        <w:rPr>
          <w:color w:val="000000"/>
        </w:rPr>
        <w:fldChar w:fldCharType="end"/>
      </w:r>
      <w:bookmarkEnd w:id="5"/>
      <w:r>
        <w:rPr>
          <w:color w:val="000000"/>
        </w:rPr>
        <w:t xml:space="preserve">.  Spółka Giovanni Agnelli potwierdziła </w:t>
      </w:r>
      <w:r w:rsidR="00563ED6">
        <w:rPr>
          <w:color w:val="000000"/>
        </w:rPr>
        <w:t>komunikat prasowy</w:t>
      </w:r>
      <w:r>
        <w:rPr>
          <w:color w:val="000000"/>
        </w:rPr>
        <w:t xml:space="preserve"> </w:t>
      </w:r>
      <w:proofErr w:type="spellStart"/>
      <w:r>
        <w:rPr>
          <w:color w:val="000000"/>
        </w:rPr>
        <w:t>Exor</w:t>
      </w:r>
      <w:proofErr w:type="spellEnd"/>
      <w:r>
        <w:rPr>
          <w:color w:val="000000"/>
        </w:rPr>
        <w:t>.</w:t>
      </w:r>
    </w:p>
    <w:p w14:paraId="3622C36D" w14:textId="77777777" w:rsidR="000D5DD6" w:rsidRPr="00110749" w:rsidRDefault="000D5DD6" w:rsidP="000D5DD6">
      <w:pPr>
        <w:pStyle w:val="ECHRPara"/>
      </w:pPr>
      <w:r w:rsidRPr="00110749">
        <w:rPr>
          <w:color w:val="000000"/>
        </w:rPr>
        <w:fldChar w:fldCharType="begin"/>
      </w:r>
      <w:r w:rsidRPr="00110749">
        <w:rPr>
          <w:color w:val="000000"/>
        </w:rPr>
        <w:instrText xml:space="preserve"> SEQ level0 \*arabic </w:instrText>
      </w:r>
      <w:r w:rsidRPr="00110749">
        <w:rPr>
          <w:color w:val="000000"/>
        </w:rPr>
        <w:fldChar w:fldCharType="separate"/>
      </w:r>
      <w:r w:rsidR="00AB4482">
        <w:rPr>
          <w:noProof/>
          <w:color w:val="000000"/>
        </w:rPr>
        <w:t>15</w:t>
      </w:r>
      <w:r w:rsidRPr="00110749">
        <w:rPr>
          <w:color w:val="000000"/>
        </w:rPr>
        <w:fldChar w:fldCharType="end"/>
      </w:r>
      <w:r>
        <w:rPr>
          <w:color w:val="000000"/>
        </w:rPr>
        <w:t xml:space="preserve">.  W okresie od 30 sierpnia do 15 września 2005 roku, Pan </w:t>
      </w:r>
      <w:r>
        <w:t xml:space="preserve">Grande Stevens kontynuował swoje negocjacje z Merrill Lynch International </w:t>
      </w:r>
      <w:proofErr w:type="spellStart"/>
      <w:r>
        <w:t>Ltd</w:t>
      </w:r>
      <w:proofErr w:type="spellEnd"/>
      <w:r>
        <w:t xml:space="preserve">, badając możliwości zmiany umowy kapitałowej transakcji </w:t>
      </w:r>
      <w:proofErr w:type="spellStart"/>
      <w:r>
        <w:t>swap</w:t>
      </w:r>
      <w:proofErr w:type="spellEnd"/>
      <w:r>
        <w:t>.</w:t>
      </w:r>
    </w:p>
    <w:p w14:paraId="6EB00443" w14:textId="145CAED8" w:rsidR="000D5DD6" w:rsidRPr="00110749" w:rsidRDefault="00346F6F" w:rsidP="000D5DD6">
      <w:pPr>
        <w:pStyle w:val="ECHRPara"/>
      </w:pPr>
      <w:fldSimple w:instr=" SEQ level0 \*arabic ">
        <w:r w:rsidR="00AB4482">
          <w:rPr>
            <w:noProof/>
          </w:rPr>
          <w:t>16</w:t>
        </w:r>
      </w:fldSimple>
      <w:r w:rsidR="000D5DD6">
        <w:t xml:space="preserve">.  W dniu 14 września 2005 roku, podczas spotkania rodziny Agnelli, podjęto decyzję, że projekt tekstu analizowanego przez Pana Grande Stevensa powinien być złożony do akceptacji </w:t>
      </w:r>
      <w:r w:rsidR="00E1168C">
        <w:t>zarząd</w:t>
      </w:r>
      <w:r w:rsidR="00563ED6">
        <w:t>u</w:t>
      </w:r>
      <w:r w:rsidR="00E1168C">
        <w:t xml:space="preserve"> </w:t>
      </w:r>
      <w:proofErr w:type="spellStart"/>
      <w:r w:rsidR="00E1168C">
        <w:t>Exor</w:t>
      </w:r>
      <w:proofErr w:type="spellEnd"/>
      <w:r w:rsidR="00E1168C">
        <w:t xml:space="preserve">. Tego samego dnia, </w:t>
      </w:r>
      <w:r w:rsidR="000D5DD6">
        <w:t>CONSOB otrzymał</w:t>
      </w:r>
      <w:r w:rsidR="00563ED6">
        <w:t>a</w:t>
      </w:r>
      <w:r w:rsidR="000D5DD6">
        <w:t xml:space="preserve"> kopię umowy kapitałowej transakcji </w:t>
      </w:r>
      <w:proofErr w:type="spellStart"/>
      <w:r w:rsidR="000D5DD6">
        <w:t>swap</w:t>
      </w:r>
      <w:proofErr w:type="spellEnd"/>
      <w:r w:rsidR="000D5DD6">
        <w:t xml:space="preserve"> i został</w:t>
      </w:r>
      <w:r w:rsidR="00563ED6">
        <w:t>a</w:t>
      </w:r>
      <w:r w:rsidR="000D5DD6">
        <w:t xml:space="preserve"> poinformowan</w:t>
      </w:r>
      <w:r w:rsidR="00563ED6">
        <w:t>a</w:t>
      </w:r>
      <w:r w:rsidR="000D5DD6">
        <w:t xml:space="preserve"> o </w:t>
      </w:r>
      <w:r w:rsidR="00563ED6">
        <w:t xml:space="preserve">trwających </w:t>
      </w:r>
      <w:r w:rsidR="000D5DD6">
        <w:t>negocjacjach w celu wykorzystania tej umo</w:t>
      </w:r>
      <w:r w:rsidR="00E1168C">
        <w:t xml:space="preserve">wy dla umożliwienia </w:t>
      </w:r>
      <w:proofErr w:type="spellStart"/>
      <w:r w:rsidR="00E1168C">
        <w:t>Exor</w:t>
      </w:r>
      <w:proofErr w:type="spellEnd"/>
      <w:r w:rsidR="00E1168C">
        <w:t xml:space="preserve"> nabycia</w:t>
      </w:r>
      <w:r w:rsidR="000D5DD6">
        <w:t xml:space="preserve"> akcji FIAT</w:t>
      </w:r>
      <w:r w:rsidR="00E1168C">
        <w:t>-</w:t>
      </w:r>
      <w:r w:rsidR="000D5DD6">
        <w:t>a.</w:t>
      </w:r>
    </w:p>
    <w:p w14:paraId="71A06C1B" w14:textId="77777777" w:rsidR="000D5DD6" w:rsidRPr="00110749" w:rsidRDefault="00346F6F" w:rsidP="000D5DD6">
      <w:pPr>
        <w:pStyle w:val="ECHRPara"/>
      </w:pPr>
      <w:fldSimple w:instr=" SEQ level0 \*arabic ">
        <w:r w:rsidR="00AB4482">
          <w:rPr>
            <w:noProof/>
          </w:rPr>
          <w:t>17</w:t>
        </w:r>
      </w:fldSimple>
      <w:r w:rsidR="000D5DD6">
        <w:t xml:space="preserve">.  W dniu 15 września 2005 roku, w ramach realizacji decyzji wydanych przez ich odpowiednie zarządy, </w:t>
      </w:r>
      <w:proofErr w:type="spellStart"/>
      <w:r w:rsidR="000D5DD6">
        <w:t>Exor</w:t>
      </w:r>
      <w:proofErr w:type="spellEnd"/>
      <w:r w:rsidR="000D5DD6">
        <w:t xml:space="preserve"> i Merrill Lynch International </w:t>
      </w:r>
      <w:proofErr w:type="spellStart"/>
      <w:r w:rsidR="000D5DD6">
        <w:t>Ltd</w:t>
      </w:r>
      <w:proofErr w:type="spellEnd"/>
      <w:r w:rsidR="000D5DD6">
        <w:t xml:space="preserve"> zawarły umowę dotyczącą zmiany umowy kapitałowej transakcji </w:t>
      </w:r>
      <w:proofErr w:type="spellStart"/>
      <w:r w:rsidR="000D5DD6">
        <w:t>swap</w:t>
      </w:r>
      <w:proofErr w:type="spellEnd"/>
      <w:r w:rsidR="000D5DD6">
        <w:t>.</w:t>
      </w:r>
    </w:p>
    <w:p w14:paraId="32604C0F" w14:textId="42AC3E5B" w:rsidR="00AB4482" w:rsidRDefault="00346F6F" w:rsidP="000D5DD6">
      <w:pPr>
        <w:pStyle w:val="ECHRPara"/>
      </w:pPr>
      <w:fldSimple w:instr=" SEQ level0 \*arabic ">
        <w:r w:rsidR="00AB4482">
          <w:rPr>
            <w:noProof/>
          </w:rPr>
          <w:t>18</w:t>
        </w:r>
      </w:fldSimple>
      <w:r w:rsidR="000D5DD6">
        <w:t xml:space="preserve">.  W dniu 17 września 2005 roku, w odpowiedzi na pytania zadane przez Pana  Grande Stevensa w dniu 12 sierpnia 2005 </w:t>
      </w:r>
      <w:r w:rsidR="00E1168C">
        <w:t xml:space="preserve">roku (zobacz punkt 9 powyżej), </w:t>
      </w:r>
      <w:r w:rsidR="000D5DD6">
        <w:t>CONSOB wskazał</w:t>
      </w:r>
      <w:r w:rsidR="00563ED6">
        <w:t>a</w:t>
      </w:r>
      <w:r w:rsidR="000D5DD6">
        <w:t>, że w przewidywanym scenariuszu nie było zobowiązania do wszczęcia postępowania w sprawie złożenia oferty na przejęcie akcji.</w:t>
      </w:r>
    </w:p>
    <w:bookmarkStart w:id="6" w:name="exormaintient"/>
    <w:p w14:paraId="3352A5DB" w14:textId="64E0F12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19</w:t>
      </w:r>
      <w:r w:rsidRPr="00110749">
        <w:fldChar w:fldCharType="end"/>
      </w:r>
      <w:bookmarkEnd w:id="6"/>
      <w:r w:rsidR="00E1168C">
        <w:t>. </w:t>
      </w:r>
      <w:r>
        <w:t xml:space="preserve">W dniu 20 września 2005 roku, FIAT podwyższył swój kapitał akcyjny; nowe akcje zostały nabyte przez osiem banków w ramach </w:t>
      </w:r>
      <w:r w:rsidR="00FF5C1D">
        <w:t>odszkodowania</w:t>
      </w:r>
      <w:r>
        <w:t xml:space="preserve"> za sumy im należne. Tego samego dnia weszła w życie umowa zmieniająca umowę kapitałowej transakcji </w:t>
      </w:r>
      <w:proofErr w:type="spellStart"/>
      <w:r>
        <w:t>swap</w:t>
      </w:r>
      <w:proofErr w:type="spellEnd"/>
      <w:r>
        <w:t xml:space="preserve">. W konsekwencji, </w:t>
      </w:r>
      <w:proofErr w:type="spellStart"/>
      <w:r>
        <w:t>Exor</w:t>
      </w:r>
      <w:proofErr w:type="spellEnd"/>
      <w:r>
        <w:t xml:space="preserve"> nadal posiadał 30% udziału w spółce FIAT.</w:t>
      </w:r>
    </w:p>
    <w:p w14:paraId="04B18433" w14:textId="77777777" w:rsidR="000D5DD6" w:rsidRPr="00110749" w:rsidRDefault="00E1168C" w:rsidP="000D5DD6">
      <w:pPr>
        <w:pStyle w:val="ECHRHeading2"/>
      </w:pPr>
      <w:r>
        <w:t>B. </w:t>
      </w:r>
      <w:r w:rsidR="000D5DD6">
        <w:t>Postępowanie przed CONSOB</w:t>
      </w:r>
    </w:p>
    <w:bookmarkStart w:id="7" w:name="art187ter"/>
    <w:p w14:paraId="29295080" w14:textId="77777777"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20</w:t>
      </w:r>
      <w:r w:rsidRPr="00110749">
        <w:fldChar w:fldCharType="end"/>
      </w:r>
      <w:bookmarkEnd w:id="7"/>
      <w:r w:rsidR="00E1168C">
        <w:t>. </w:t>
      </w:r>
      <w:r>
        <w:t xml:space="preserve">W dniu 20 lutego 2006 roku, Dział ds. Opinii Rynkowych i Gospodarczych CONSOB – Biuro </w:t>
      </w:r>
      <w:proofErr w:type="spellStart"/>
      <w:r w:rsidRPr="00FF5C1D">
        <w:rPr>
          <w:i/>
        </w:rPr>
        <w:t>Insider</w:t>
      </w:r>
      <w:proofErr w:type="spellEnd"/>
      <w:r w:rsidRPr="00FF5C1D">
        <w:rPr>
          <w:i/>
        </w:rPr>
        <w:t xml:space="preserve"> Trading</w:t>
      </w:r>
      <w:r>
        <w:t xml:space="preserve"> (</w:t>
      </w:r>
      <w:proofErr w:type="spellStart"/>
      <w:r>
        <w:rPr>
          <w:i/>
        </w:rPr>
        <w:t>Divisione</w:t>
      </w:r>
      <w:proofErr w:type="spellEnd"/>
      <w:r>
        <w:rPr>
          <w:i/>
        </w:rPr>
        <w:t xml:space="preserve"> </w:t>
      </w:r>
      <w:proofErr w:type="spellStart"/>
      <w:r>
        <w:rPr>
          <w:i/>
        </w:rPr>
        <w:t>mercati</w:t>
      </w:r>
      <w:proofErr w:type="spellEnd"/>
      <w:r>
        <w:rPr>
          <w:i/>
        </w:rPr>
        <w:t xml:space="preserve"> e </w:t>
      </w:r>
      <w:proofErr w:type="spellStart"/>
      <w:r>
        <w:rPr>
          <w:i/>
        </w:rPr>
        <w:t>consulenza</w:t>
      </w:r>
      <w:proofErr w:type="spellEnd"/>
      <w:r>
        <w:rPr>
          <w:i/>
        </w:rPr>
        <w:t xml:space="preserve"> </w:t>
      </w:r>
      <w:proofErr w:type="spellStart"/>
      <w:r>
        <w:rPr>
          <w:i/>
        </w:rPr>
        <w:t>economica</w:t>
      </w:r>
      <w:proofErr w:type="spellEnd"/>
      <w:r>
        <w:rPr>
          <w:i/>
        </w:rPr>
        <w:t xml:space="preserve"> – </w:t>
      </w:r>
      <w:proofErr w:type="spellStart"/>
      <w:r>
        <w:rPr>
          <w:i/>
        </w:rPr>
        <w:t>ufficio</w:t>
      </w:r>
      <w:proofErr w:type="spellEnd"/>
      <w:r>
        <w:t xml:space="preserve"> </w:t>
      </w:r>
      <w:proofErr w:type="spellStart"/>
      <w:r>
        <w:rPr>
          <w:i/>
        </w:rPr>
        <w:t>Insider</w:t>
      </w:r>
      <w:proofErr w:type="spellEnd"/>
      <w:r>
        <w:rPr>
          <w:i/>
        </w:rPr>
        <w:t xml:space="preserve"> Trading </w:t>
      </w:r>
      <w:r>
        <w:t xml:space="preserve">– w dalszej części zwane „Biurem IT”) oskarżyło skarżących o naruszenie artykułu 187 </w:t>
      </w:r>
      <w:r>
        <w:rPr>
          <w:i/>
        </w:rPr>
        <w:t xml:space="preserve">ter </w:t>
      </w:r>
      <w:r>
        <w:t>§ 1 Dekretu Legislacyjnego nr 58 z dnia 24 lutego 1998 roku. Artykuł ten, zatytułowany „Manipulacje rynkowe”, brzmi:</w:t>
      </w:r>
    </w:p>
    <w:p w14:paraId="31020C47" w14:textId="248FC1E1" w:rsidR="000D5DD6" w:rsidRPr="00110749" w:rsidRDefault="000D5DD6" w:rsidP="00052535">
      <w:pPr>
        <w:pStyle w:val="ECHRParaQuote"/>
        <w:ind w:firstLine="0"/>
      </w:pPr>
      <w:r>
        <w:t>„Niezależnie od kar o charakterze karnym</w:t>
      </w:r>
      <w:r w:rsidR="00FF5C1D">
        <w:t>,</w:t>
      </w:r>
      <w:r>
        <w:t xml:space="preserve"> w przypadku, gdy dane </w:t>
      </w:r>
      <w:r w:rsidR="002430EA">
        <w:t>zachowanie</w:t>
      </w:r>
      <w:r>
        <w:t xml:space="preserve"> stanowi przestępstwo, każdy, kto za pośrednictwem środków przekazu informacji, w tym Internetu lub wszelkich innych środków, rozprowadza fałszywe lub wprowadzające w błąd informacje, wiadomości lub plotki wskazujące na fałszywe lub wprowadzające w błąd informacje dotyczące instrumentów finansowych, podlega karze administracyjnej wynoszącej od 20.000 do 5.000.000 Euro (EUR).”</w:t>
      </w:r>
      <w:r w:rsidR="00454E13">
        <w:rPr>
          <w:rStyle w:val="Odwoanieprzypisudolnego"/>
        </w:rPr>
        <w:footnoteReference w:id="3"/>
      </w:r>
    </w:p>
    <w:bookmarkStart w:id="8" w:name="requsinvitésdefendre"/>
    <w:p w14:paraId="369DC81A" w14:textId="36C1BA0A"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21</w:t>
      </w:r>
      <w:r w:rsidRPr="00110749">
        <w:fldChar w:fldCharType="end"/>
      </w:r>
      <w:bookmarkEnd w:id="8"/>
      <w:r w:rsidR="00052535">
        <w:t>. </w:t>
      </w:r>
      <w:r>
        <w:t xml:space="preserve">Zgodnie z opinią Biura IT, umowa zmieniająca transakcję kapitałową </w:t>
      </w:r>
      <w:proofErr w:type="spellStart"/>
      <w:r>
        <w:t>swap</w:t>
      </w:r>
      <w:proofErr w:type="spellEnd"/>
      <w:r>
        <w:t xml:space="preserve"> została zawarta lub znajdowała się na etapie zawierania, zanim zostały wydane </w:t>
      </w:r>
      <w:r w:rsidR="00FF5C1D">
        <w:t>komunikaty</w:t>
      </w:r>
      <w:r>
        <w:t xml:space="preserve"> prasowe z dnia 24 sierpnia 2005 roku, a zatem nienormalne było, że nie zawierały one o niej żadnej wzmianki. Skarżących wezwano do przedstawienia </w:t>
      </w:r>
      <w:r w:rsidR="00FF5C1D">
        <w:t xml:space="preserve">argumentów na </w:t>
      </w:r>
      <w:r>
        <w:t>sw</w:t>
      </w:r>
      <w:r w:rsidR="00FF5C1D">
        <w:t>ą obronę</w:t>
      </w:r>
      <w:r>
        <w:t>.</w:t>
      </w:r>
    </w:p>
    <w:p w14:paraId="5E124BC9" w14:textId="77777777" w:rsidR="000D5DD6" w:rsidRPr="00110749" w:rsidRDefault="00346F6F" w:rsidP="000D5DD6">
      <w:pPr>
        <w:pStyle w:val="ECHRPara"/>
      </w:pPr>
      <w:fldSimple w:instr=" SEQ level0 \*arabic ">
        <w:r w:rsidR="00AB4482">
          <w:rPr>
            <w:noProof/>
          </w:rPr>
          <w:t>22</w:t>
        </w:r>
      </w:fldSimple>
      <w:r w:rsidR="00052535">
        <w:t>. </w:t>
      </w:r>
      <w:r w:rsidR="000D5DD6">
        <w:t>Biuro IT przesłało następnie akta do Dyrekcji ds. Sankcji Administracyjnych CONSOB (</w:t>
      </w:r>
      <w:proofErr w:type="spellStart"/>
      <w:r w:rsidR="000D5DD6">
        <w:rPr>
          <w:i/>
        </w:rPr>
        <w:t>ufficio</w:t>
      </w:r>
      <w:proofErr w:type="spellEnd"/>
      <w:r w:rsidR="000D5DD6">
        <w:rPr>
          <w:i/>
        </w:rPr>
        <w:t xml:space="preserve"> </w:t>
      </w:r>
      <w:proofErr w:type="spellStart"/>
      <w:r w:rsidR="000D5DD6">
        <w:rPr>
          <w:i/>
        </w:rPr>
        <w:t>sanzioni</w:t>
      </w:r>
      <w:proofErr w:type="spellEnd"/>
      <w:r w:rsidR="000D5DD6">
        <w:rPr>
          <w:i/>
        </w:rPr>
        <w:t xml:space="preserve"> </w:t>
      </w:r>
      <w:proofErr w:type="spellStart"/>
      <w:r w:rsidR="000D5DD6">
        <w:rPr>
          <w:i/>
        </w:rPr>
        <w:t>amministrative</w:t>
      </w:r>
      <w:proofErr w:type="spellEnd"/>
      <w:r w:rsidR="000D5DD6">
        <w:rPr>
          <w:i/>
        </w:rPr>
        <w:t xml:space="preserve"> </w:t>
      </w:r>
      <w:r w:rsidR="000D5DD6">
        <w:t>– w dalszej części zwanej „Dyrekcją”), wraz z raportem (</w:t>
      </w:r>
      <w:proofErr w:type="spellStart"/>
      <w:r w:rsidR="000D5DD6">
        <w:rPr>
          <w:i/>
        </w:rPr>
        <w:t>relazione</w:t>
      </w:r>
      <w:proofErr w:type="spellEnd"/>
      <w:r w:rsidR="000D5DD6">
        <w:rPr>
          <w:i/>
        </w:rPr>
        <w:t xml:space="preserve"> </w:t>
      </w:r>
      <w:proofErr w:type="spellStart"/>
      <w:r w:rsidR="000D5DD6">
        <w:rPr>
          <w:i/>
        </w:rPr>
        <w:t>istruttoria</w:t>
      </w:r>
      <w:proofErr w:type="spellEnd"/>
      <w:r w:rsidR="000D5DD6">
        <w:t>) z dnia 13 września 2006 roku, który przedstawiał dowody zebrane przeciwko oskarżonym, a także ich argumenty złożone w odpowiedzi. Zgodnie z tym raportem, argumenty złożone na swoją obronę przez skarżących nie były wystarczające do zamknięcia sprawy.</w:t>
      </w:r>
    </w:p>
    <w:bookmarkStart w:id="9" w:name="notecomplementaire"/>
    <w:p w14:paraId="7EF23CA7" w14:textId="07F4E8FE"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23</w:t>
      </w:r>
      <w:r w:rsidRPr="00110749">
        <w:fldChar w:fldCharType="end"/>
      </w:r>
      <w:bookmarkEnd w:id="9"/>
      <w:r w:rsidR="00E724F2">
        <w:t>. </w:t>
      </w:r>
      <w:r>
        <w:t>Dyrekcja p</w:t>
      </w:r>
      <w:r w:rsidR="0018756A">
        <w:t>rzekazała</w:t>
      </w:r>
      <w:r>
        <w:t xml:space="preserve"> ten raport do wiadomości skarżących i wezwała ich do przedstawienia w formie pisemnej, w </w:t>
      </w:r>
      <w:r w:rsidR="00FF5C1D">
        <w:t xml:space="preserve">terminie </w:t>
      </w:r>
      <w:r>
        <w:t xml:space="preserve">trzydziestu dni, który </w:t>
      </w:r>
      <w:r w:rsidR="00FF5C1D">
        <w:t>upływał</w:t>
      </w:r>
      <w:r>
        <w:t xml:space="preserve"> 23 października 2006 roku, argumentów, które uznawali za </w:t>
      </w:r>
      <w:r>
        <w:lastRenderedPageBreak/>
        <w:t>niezbędne dla swojej obrony. W międzyczasie, Biuro IT kontynuowało analizę sprawy skarżących, uzyskując ustne oświadczenia i analizując dokumenty otrzymane w dniu 7 lipca 2006 roku z Merrill Lynch International Ltd. W dniu 19 października 2006 roku, przekazało „notę uzupełniającą” do Dyrekcji, w której stwierdzało, że nowe, analizowane przez nie dokumenty nie miały charakteru, który uzasadniłby zmianę jego wniosków. W dniu 26 października 2006 roku, skarżący otrzymali kopię noty uzupełniającej z dnia 19 października 2006 roku wraz z załącznikami; otrzymali kolejny termin trzydziestu dni, w ciągu którego musieli przedstawić swoje uwagi.</w:t>
      </w:r>
    </w:p>
    <w:p w14:paraId="2E0DBC51" w14:textId="2AB466B8" w:rsidR="000D5DD6" w:rsidRPr="00110749" w:rsidRDefault="00346F6F" w:rsidP="000D5DD6">
      <w:pPr>
        <w:pStyle w:val="ECHRPara"/>
      </w:pPr>
      <w:fldSimple w:instr=" SEQ level0 \*arabic ">
        <w:r w:rsidR="00AB4482">
          <w:rPr>
            <w:noProof/>
          </w:rPr>
          <w:t>24</w:t>
        </w:r>
      </w:fldSimple>
      <w:r w:rsidR="00E724F2">
        <w:t>. </w:t>
      </w:r>
      <w:r w:rsidR="00A507AB">
        <w:t>Bez p</w:t>
      </w:r>
      <w:r w:rsidR="0018756A">
        <w:t>rzekazywania</w:t>
      </w:r>
      <w:r w:rsidR="00A507AB">
        <w:t xml:space="preserve"> do wiadomości skarżących, Dyrekcja przedstawiła swój raport (z dnia 19 stycznia 2007 roku, </w:t>
      </w:r>
      <w:r w:rsidR="0018756A">
        <w:t>zawierający</w:t>
      </w:r>
      <w:r w:rsidR="00A507AB">
        <w:t xml:space="preserve"> jej wniosk</w:t>
      </w:r>
      <w:r w:rsidR="00E724F2">
        <w:t>i) do Komisji – samego CONSOB –</w:t>
      </w:r>
      <w:r w:rsidR="00A507AB">
        <w:t xml:space="preserve"> to znaczy do organu odpowiedzialnego za podejmowanie decyzji w sprawie ewentualnych kar. W tym czasie Komisja składała się z przewodniczącego i czterech członków,</w:t>
      </w:r>
      <w:r w:rsidR="00E724F2">
        <w:t xml:space="preserve"> wyznaczonych przez Prezydenta R</w:t>
      </w:r>
      <w:r w:rsidR="00A507AB">
        <w:t>epubliki na podstawie propozycji (</w:t>
      </w:r>
      <w:proofErr w:type="spellStart"/>
      <w:r w:rsidR="00A507AB">
        <w:rPr>
          <w:i/>
        </w:rPr>
        <w:t>su</w:t>
      </w:r>
      <w:proofErr w:type="spellEnd"/>
      <w:r w:rsidR="00A507AB">
        <w:rPr>
          <w:i/>
        </w:rPr>
        <w:t xml:space="preserve"> proposta</w:t>
      </w:r>
      <w:r w:rsidR="00A507AB">
        <w:t>) zgłoszonej przez Prezesa Rady Ministrów. Ich kadencja trwała pięć lat i mogła być przedłużona tylko jednokrotnie.</w:t>
      </w:r>
    </w:p>
    <w:bookmarkStart w:id="10" w:name="amendesCONSOB"/>
    <w:p w14:paraId="5FFE4DC2" w14:textId="4712FCCD"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25</w:t>
      </w:r>
      <w:r w:rsidRPr="00110749">
        <w:fldChar w:fldCharType="end"/>
      </w:r>
      <w:bookmarkEnd w:id="10"/>
      <w:r w:rsidR="00E724F2">
        <w:t>. </w:t>
      </w:r>
      <w:r>
        <w:t>Na mocy uchwały nr 15760 z dnia 9 lutego 2007 roku, CONSOB nałożył</w:t>
      </w:r>
      <w:r w:rsidR="003946C1">
        <w:t>a</w:t>
      </w:r>
      <w:r>
        <w:t xml:space="preserve"> następujące kary administracyjne na skarżących:</w:t>
      </w:r>
    </w:p>
    <w:p w14:paraId="39F9FF9E" w14:textId="77777777" w:rsidR="000D5DD6" w:rsidRPr="00110749" w:rsidRDefault="000D5DD6" w:rsidP="00EC291C">
      <w:pPr>
        <w:pStyle w:val="ECHRPara"/>
        <w:numPr>
          <w:ilvl w:val="0"/>
          <w:numId w:val="14"/>
        </w:numPr>
      </w:pPr>
      <w:r>
        <w:t xml:space="preserve">5.000.000 EUR na Pana </w:t>
      </w:r>
      <w:proofErr w:type="spellStart"/>
      <w:r>
        <w:t>Gabettiego</w:t>
      </w:r>
      <w:proofErr w:type="spellEnd"/>
      <w:r>
        <w:t>,</w:t>
      </w:r>
    </w:p>
    <w:p w14:paraId="46D018B4" w14:textId="77777777" w:rsidR="000D5DD6" w:rsidRPr="00110749" w:rsidRDefault="000D5DD6" w:rsidP="00EC291C">
      <w:pPr>
        <w:pStyle w:val="ECHRPara"/>
        <w:numPr>
          <w:ilvl w:val="0"/>
          <w:numId w:val="14"/>
        </w:numPr>
      </w:pPr>
      <w:r>
        <w:t>3.000.000 EUR na Pana Grande Stevensa,</w:t>
      </w:r>
    </w:p>
    <w:p w14:paraId="38509618" w14:textId="77777777" w:rsidR="000D5DD6" w:rsidRPr="00110749" w:rsidRDefault="000D5DD6" w:rsidP="00EC291C">
      <w:pPr>
        <w:pStyle w:val="ECHRPara"/>
        <w:numPr>
          <w:ilvl w:val="0"/>
          <w:numId w:val="14"/>
        </w:numPr>
      </w:pPr>
      <w:r>
        <w:t xml:space="preserve">500.000 EUR na Pana </w:t>
      </w:r>
      <w:proofErr w:type="spellStart"/>
      <w:r>
        <w:t>Marrone</w:t>
      </w:r>
      <w:proofErr w:type="spellEnd"/>
      <w:r>
        <w:t>,</w:t>
      </w:r>
    </w:p>
    <w:p w14:paraId="069AF55B" w14:textId="77777777" w:rsidR="000D5DD6" w:rsidRPr="00110749" w:rsidRDefault="000D5DD6" w:rsidP="00EC291C">
      <w:pPr>
        <w:pStyle w:val="ECHRPara"/>
        <w:numPr>
          <w:ilvl w:val="0"/>
          <w:numId w:val="14"/>
        </w:numPr>
      </w:pPr>
      <w:r>
        <w:t xml:space="preserve">4.500.000 EUR na spółkę </w:t>
      </w:r>
      <w:proofErr w:type="spellStart"/>
      <w:r>
        <w:t>Exor</w:t>
      </w:r>
      <w:proofErr w:type="spellEnd"/>
      <w:r>
        <w:t>,</w:t>
      </w:r>
    </w:p>
    <w:p w14:paraId="01C36759" w14:textId="77777777" w:rsidR="000D5DD6" w:rsidRPr="0013422D" w:rsidRDefault="000D5DD6" w:rsidP="00EC291C">
      <w:pPr>
        <w:pStyle w:val="ECHRPara"/>
        <w:numPr>
          <w:ilvl w:val="0"/>
          <w:numId w:val="14"/>
        </w:numPr>
        <w:rPr>
          <w:lang w:val="it-IT"/>
        </w:rPr>
      </w:pPr>
      <w:r w:rsidRPr="0013422D">
        <w:rPr>
          <w:lang w:val="it-IT"/>
        </w:rPr>
        <w:t>3.000.000 EUR na spółkę Giovanni Agnelli.</w:t>
      </w:r>
    </w:p>
    <w:bookmarkStart w:id="11" w:name="interdictionsCONSOB"/>
    <w:p w14:paraId="40607927" w14:textId="3E7925F4"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26</w:t>
      </w:r>
      <w:r w:rsidRPr="00110749">
        <w:fldChar w:fldCharType="end"/>
      </w:r>
      <w:bookmarkEnd w:id="11"/>
      <w:r w:rsidR="00E724F2">
        <w:t>. </w:t>
      </w:r>
      <w:r>
        <w:t xml:space="preserve">Pan </w:t>
      </w:r>
      <w:proofErr w:type="spellStart"/>
      <w:r>
        <w:t>Gabetti</w:t>
      </w:r>
      <w:proofErr w:type="spellEnd"/>
      <w:r>
        <w:t xml:space="preserve">, Pan Grande Stevens i Pan </w:t>
      </w:r>
      <w:proofErr w:type="spellStart"/>
      <w:r>
        <w:t>Marrone</w:t>
      </w:r>
      <w:proofErr w:type="spellEnd"/>
      <w:r>
        <w:t xml:space="preserve"> otrzymali zakaz administrowania, zarządzania lub nadzorowania spółkami </w:t>
      </w:r>
      <w:r w:rsidR="0031267D">
        <w:t xml:space="preserve">notowanymi na giełdzie </w:t>
      </w:r>
      <w:r>
        <w:t>przez okres, odpowiednio, sześciu, czterech i dwóch miesięcy.</w:t>
      </w:r>
    </w:p>
    <w:bookmarkStart w:id="12" w:name="dolreqCONSOB"/>
    <w:p w14:paraId="5014B35F" w14:textId="68E42D4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27</w:t>
      </w:r>
      <w:r w:rsidRPr="00110749">
        <w:fldChar w:fldCharType="end"/>
      </w:r>
      <w:bookmarkEnd w:id="12"/>
      <w:r w:rsidR="00E724F2">
        <w:t>. </w:t>
      </w:r>
      <w:r>
        <w:t>CONSOB stwierdził</w:t>
      </w:r>
      <w:r w:rsidR="003946C1">
        <w:t>a</w:t>
      </w:r>
      <w:r>
        <w:t>, w szczególności, że zgodnie z aktami sprawy</w:t>
      </w:r>
      <w:r w:rsidR="003946C1">
        <w:t>,</w:t>
      </w:r>
      <w:r>
        <w:t xml:space="preserve"> w dniu 24 sierpnia 2005 </w:t>
      </w:r>
      <w:r w:rsidR="003946C1">
        <w:t>roku, tzn. w dniu kwestionowanych komunikatów prasowych</w:t>
      </w:r>
      <w:r>
        <w:t xml:space="preserve">, plany utrzymania 30% udziału w kapitale spółki FIAT na podstawie renegocjacji umowy kapitałowej </w:t>
      </w:r>
      <w:proofErr w:type="spellStart"/>
      <w:r>
        <w:t>swap</w:t>
      </w:r>
      <w:proofErr w:type="spellEnd"/>
      <w:r>
        <w:t xml:space="preserve"> zawartej z Merrill Lynch International </w:t>
      </w:r>
      <w:proofErr w:type="spellStart"/>
      <w:r>
        <w:t>Ltd</w:t>
      </w:r>
      <w:proofErr w:type="spellEnd"/>
      <w:r>
        <w:t xml:space="preserve"> były już przeanalizowane i znajdowały się w trakcie realizacji. Dalej stwierdzał</w:t>
      </w:r>
      <w:r w:rsidR="003946C1">
        <w:t>a</w:t>
      </w:r>
      <w:r>
        <w:t xml:space="preserve">, że </w:t>
      </w:r>
      <w:r w:rsidR="003946C1">
        <w:t>komunikaty</w:t>
      </w:r>
      <w:r>
        <w:t xml:space="preserve"> prasowe w sposób fałszywy odzwierciedlały (</w:t>
      </w:r>
      <w:proofErr w:type="spellStart"/>
      <w:r>
        <w:rPr>
          <w:i/>
        </w:rPr>
        <w:t>rappresentazione</w:t>
      </w:r>
      <w:proofErr w:type="spellEnd"/>
      <w:r>
        <w:rPr>
          <w:i/>
        </w:rPr>
        <w:t xml:space="preserve"> </w:t>
      </w:r>
      <w:proofErr w:type="spellStart"/>
      <w:r>
        <w:rPr>
          <w:i/>
        </w:rPr>
        <w:t>falsa</w:t>
      </w:r>
      <w:proofErr w:type="spellEnd"/>
      <w:r>
        <w:t>) sytuację panującą w danym czasie. CONSOB podkreślał</w:t>
      </w:r>
      <w:r w:rsidR="003946C1">
        <w:t>a</w:t>
      </w:r>
      <w:r>
        <w:t xml:space="preserve"> również stanowiska piastowane przez dane osoby, „obiektywną powagę” przestępstwa oraz fakt istnienia złego zamiaru.</w:t>
      </w:r>
    </w:p>
    <w:p w14:paraId="45322B10" w14:textId="77777777" w:rsidR="00AB4482" w:rsidRDefault="000D5DD6" w:rsidP="000D5DD6">
      <w:pPr>
        <w:pStyle w:val="ECHRHeading2"/>
      </w:pPr>
      <w:r>
        <w:t>C.  </w:t>
      </w:r>
      <w:r w:rsidR="00724226">
        <w:t xml:space="preserve">Skarga do sądu apelacyjnego o </w:t>
      </w:r>
      <w:r>
        <w:t>uchylenie kar</w:t>
      </w:r>
    </w:p>
    <w:bookmarkStart w:id="13" w:name="appelcontreCONSOB"/>
    <w:p w14:paraId="30AADFB4" w14:textId="77777777"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28</w:t>
      </w:r>
      <w:r w:rsidRPr="00110749">
        <w:fldChar w:fldCharType="end"/>
      </w:r>
      <w:bookmarkEnd w:id="13"/>
      <w:r w:rsidR="00D82641">
        <w:t>.</w:t>
      </w:r>
      <w:r>
        <w:t xml:space="preserve"> Skarżący wystąpili do Sądu Apelacyjnego w Turynie o uchylenie kar. Zarzucali między innymi, że orzeczenia CONSOB były niezgodne z prawem, gdyż, w przeciwieństwie do wymagań nałożonych przez artykuł 187 </w:t>
      </w:r>
      <w:proofErr w:type="spellStart"/>
      <w:r>
        <w:rPr>
          <w:i/>
        </w:rPr>
        <w:t>septies</w:t>
      </w:r>
      <w:proofErr w:type="spellEnd"/>
      <w:r>
        <w:rPr>
          <w:i/>
        </w:rPr>
        <w:t xml:space="preserve"> </w:t>
      </w:r>
      <w:r>
        <w:t xml:space="preserve">Dekretu Legislacyjnego nr 58 z 1998 roku (patrz punkt 57 poniżej), nie były zgodne z zasadą </w:t>
      </w:r>
      <w:r w:rsidR="00841735">
        <w:t>kontradykto</w:t>
      </w:r>
      <w:r>
        <w:t>ryjnego rozpatrzenia sprawy.</w:t>
      </w:r>
    </w:p>
    <w:bookmarkStart w:id="14" w:name="GSadministrateur"/>
    <w:p w14:paraId="2654BC88" w14:textId="1CCD7D9F" w:rsidR="00AB4482" w:rsidRDefault="000D5DD6" w:rsidP="000D5DD6">
      <w:pPr>
        <w:pStyle w:val="ECHRPara"/>
      </w:pPr>
      <w:r w:rsidRPr="00110749">
        <w:lastRenderedPageBreak/>
        <w:fldChar w:fldCharType="begin"/>
      </w:r>
      <w:r w:rsidRPr="00110749">
        <w:instrText xml:space="preserve"> SEQ level0 \*arabic </w:instrText>
      </w:r>
      <w:r w:rsidRPr="00110749">
        <w:fldChar w:fldCharType="separate"/>
      </w:r>
      <w:r w:rsidR="00AB4482">
        <w:rPr>
          <w:noProof/>
        </w:rPr>
        <w:t>29</w:t>
      </w:r>
      <w:r w:rsidRPr="00110749">
        <w:fldChar w:fldCharType="end"/>
      </w:r>
      <w:bookmarkEnd w:id="14"/>
      <w:r w:rsidR="00D82641">
        <w:t>. </w:t>
      </w:r>
      <w:r>
        <w:t>W dalszej części Pan Grande Stevens zauważył, że CONSOB oskarżył</w:t>
      </w:r>
      <w:r w:rsidR="003946C1">
        <w:t>a</w:t>
      </w:r>
      <w:r>
        <w:t xml:space="preserve"> i ukarał</w:t>
      </w:r>
      <w:r w:rsidR="003946C1">
        <w:t>a</w:t>
      </w:r>
      <w:r>
        <w:t xml:space="preserve"> go za jego zaangażowanie w publikację</w:t>
      </w:r>
      <w:r w:rsidR="003946C1">
        <w:t xml:space="preserve"> komunikatu prasowego</w:t>
      </w:r>
      <w:r>
        <w:t xml:space="preserve"> z dnia 24 sierpnia 2005 roku jako dyrektor wykonawczy </w:t>
      </w:r>
      <w:proofErr w:type="spellStart"/>
      <w:r>
        <w:t>Exor</w:t>
      </w:r>
      <w:proofErr w:type="spellEnd"/>
      <w:r>
        <w:t>. Przed CONSOB argumentował bez powodzenia, że nie pełnił takiej roli oraz że był jedynie prawnikiem i konsultantem grupy Agnelli. Przed sądem apelacyjnym Pan Grande Stevens utrzymywał, że ponieważ nie był dyrektorem wykonawczym, nie mógł uczestniczyć w procesie podejmowania decyzji o publikacji przedmiotowe</w:t>
      </w:r>
      <w:r w:rsidR="003946C1">
        <w:t>go komunikatu prasowego</w:t>
      </w:r>
      <w:r>
        <w:t>. W swoim wystąpieniu z 25 września 2007 roku</w:t>
      </w:r>
      <w:r w:rsidR="003946C1">
        <w:t xml:space="preserve"> </w:t>
      </w:r>
      <w:r>
        <w:t xml:space="preserve">Pan Grande Stevens wniósł, na wypadek, gdyby sąd apelacyjny uznał, że dokumenty znajdujące się w aktach sprawy były niewystarczające lub nieprzydatne, o wezwanie świadków w celu ich przesłuchania „w sprawie okoliczności faktycznych określonych w wyżej wymienionych dokumentach”. Nie wymienił wyraźnie w swoim wystąpieniu nazwisk świadków ani okoliczności, </w:t>
      </w:r>
      <w:r w:rsidR="003946C1">
        <w:t xml:space="preserve">w odniesieniu do </w:t>
      </w:r>
      <w:r>
        <w:t xml:space="preserve">których mieliby oni składać swoje </w:t>
      </w:r>
      <w:r w:rsidR="00563CD5">
        <w:t>zeznania</w:t>
      </w:r>
      <w:r>
        <w:t xml:space="preserve">. W wystąpieniu z tego samego dnia, Pan </w:t>
      </w:r>
      <w:proofErr w:type="spellStart"/>
      <w:r>
        <w:t>Marrone</w:t>
      </w:r>
      <w:proofErr w:type="spellEnd"/>
      <w:r>
        <w:t xml:space="preserve"> wymienił dwóch świadków, których zeznania miały udowodnić, że nie brał on udziału w sporządzaniu </w:t>
      </w:r>
      <w:r w:rsidR="003946C1">
        <w:t>komunikatów</w:t>
      </w:r>
      <w:r>
        <w:t xml:space="preserve"> prasowych, i oświadczył, że sąd apelacyjny może, jeżeli okaże się to konieczne (</w:t>
      </w:r>
      <w:proofErr w:type="spellStart"/>
      <w:r>
        <w:rPr>
          <w:i/>
        </w:rPr>
        <w:t>ove</w:t>
      </w:r>
      <w:proofErr w:type="spellEnd"/>
      <w:r>
        <w:rPr>
          <w:i/>
        </w:rPr>
        <w:t> </w:t>
      </w:r>
      <w:proofErr w:type="spellStart"/>
      <w:r>
        <w:rPr>
          <w:i/>
        </w:rPr>
        <w:t>occorresse</w:t>
      </w:r>
      <w:proofErr w:type="spellEnd"/>
      <w:r>
        <w:t>), ich przesłuchać.</w:t>
      </w:r>
    </w:p>
    <w:bookmarkStart w:id="15" w:name="amendesappel"/>
    <w:p w14:paraId="1BD17377" w14:textId="6A51B7B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30</w:t>
      </w:r>
      <w:r w:rsidRPr="00110749">
        <w:fldChar w:fldCharType="end"/>
      </w:r>
      <w:bookmarkEnd w:id="15"/>
      <w:r w:rsidR="00D82641">
        <w:t>. </w:t>
      </w:r>
      <w:r>
        <w:t xml:space="preserve">W wyrokach zarejestrowanych w </w:t>
      </w:r>
      <w:r w:rsidR="00D82641">
        <w:t>dniu 23 stycznia 2008 roku, Sąd</w:t>
      </w:r>
      <w:r>
        <w:t xml:space="preserve"> Apelacyjny w Turynie obniżył kary </w:t>
      </w:r>
      <w:r w:rsidR="00D82641">
        <w:t xml:space="preserve">administracyjne nałożone przez </w:t>
      </w:r>
      <w:r>
        <w:t xml:space="preserve">CONSOB na niektórych ze skarżących, </w:t>
      </w:r>
      <w:r w:rsidR="003946C1">
        <w:t>w następujący sposób</w:t>
      </w:r>
      <w:r>
        <w:t>:</w:t>
      </w:r>
    </w:p>
    <w:p w14:paraId="4D476FB3" w14:textId="77777777" w:rsidR="000D5DD6" w:rsidRPr="0013422D" w:rsidRDefault="000D5DD6" w:rsidP="000D5DD6">
      <w:pPr>
        <w:pStyle w:val="ECHRPara"/>
        <w:rPr>
          <w:lang w:val="it-IT"/>
        </w:rPr>
      </w:pPr>
      <w:r w:rsidRPr="0013422D">
        <w:rPr>
          <w:lang w:val="it-IT"/>
        </w:rPr>
        <w:t>- 600.000 EUR na spółkę Giovanni Agnelli s.a.a.,</w:t>
      </w:r>
    </w:p>
    <w:p w14:paraId="48950D34" w14:textId="77777777" w:rsidR="000D5DD6" w:rsidRPr="00110749" w:rsidRDefault="000D5DD6" w:rsidP="000D5DD6">
      <w:pPr>
        <w:pStyle w:val="ECHRPara"/>
      </w:pPr>
      <w:r>
        <w:t xml:space="preserve">- 1.000.000 EUR na spółkę </w:t>
      </w:r>
      <w:proofErr w:type="spellStart"/>
      <w:r>
        <w:t>Exor</w:t>
      </w:r>
      <w:proofErr w:type="spellEnd"/>
      <w:r>
        <w:t xml:space="preserve"> </w:t>
      </w:r>
      <w:proofErr w:type="spellStart"/>
      <w:r>
        <w:t>s.p.a</w:t>
      </w:r>
      <w:proofErr w:type="spellEnd"/>
      <w:r>
        <w:t>.,</w:t>
      </w:r>
    </w:p>
    <w:p w14:paraId="1928624E" w14:textId="77777777" w:rsidR="000D5DD6" w:rsidRPr="00110749" w:rsidRDefault="000D5DD6" w:rsidP="000D5DD6">
      <w:pPr>
        <w:pStyle w:val="ECHRPara"/>
      </w:pPr>
      <w:r>
        <w:t xml:space="preserve">- 1.200.000 EUR na Pana </w:t>
      </w:r>
      <w:proofErr w:type="spellStart"/>
      <w:r>
        <w:t>Gabettiego</w:t>
      </w:r>
      <w:proofErr w:type="spellEnd"/>
      <w:r>
        <w:t>.</w:t>
      </w:r>
    </w:p>
    <w:p w14:paraId="3D4FF8B8" w14:textId="77777777" w:rsidR="000D5DD6" w:rsidRPr="00110749" w:rsidRDefault="000D5DD6" w:rsidP="000D5DD6">
      <w:pPr>
        <w:pStyle w:val="ECHRPara"/>
      </w:pPr>
      <w:r>
        <w:t xml:space="preserve">Nagłówek wyroków wydanych w sprawie Pana </w:t>
      </w:r>
      <w:proofErr w:type="spellStart"/>
      <w:r>
        <w:t>Gabettiego</w:t>
      </w:r>
      <w:proofErr w:type="spellEnd"/>
      <w:r>
        <w:t>, Pana  </w:t>
      </w:r>
      <w:proofErr w:type="spellStart"/>
      <w:r>
        <w:t>Marrone</w:t>
      </w:r>
      <w:proofErr w:type="spellEnd"/>
      <w:r>
        <w:t xml:space="preserve"> i spółki </w:t>
      </w:r>
      <w:proofErr w:type="spellStart"/>
      <w:r>
        <w:t>Exor</w:t>
      </w:r>
      <w:proofErr w:type="spellEnd"/>
      <w:r>
        <w:t xml:space="preserve"> </w:t>
      </w:r>
      <w:proofErr w:type="spellStart"/>
      <w:r>
        <w:t>S.p.a</w:t>
      </w:r>
      <w:proofErr w:type="spellEnd"/>
      <w:r>
        <w:t>. wskazywał, że sąd apelacyjny odbył posiedzenie niejawne (</w:t>
      </w:r>
      <w:proofErr w:type="spellStart"/>
      <w:r>
        <w:rPr>
          <w:i/>
        </w:rPr>
        <w:t>riunita</w:t>
      </w:r>
      <w:proofErr w:type="spellEnd"/>
      <w:r>
        <w:rPr>
          <w:i/>
        </w:rPr>
        <w:t xml:space="preserve"> in </w:t>
      </w:r>
      <w:proofErr w:type="spellStart"/>
      <w:r>
        <w:rPr>
          <w:i/>
        </w:rPr>
        <w:t>camera</w:t>
      </w:r>
      <w:proofErr w:type="spellEnd"/>
      <w:r>
        <w:rPr>
          <w:i/>
        </w:rPr>
        <w:t xml:space="preserve"> di </w:t>
      </w:r>
      <w:proofErr w:type="spellStart"/>
      <w:r>
        <w:rPr>
          <w:i/>
        </w:rPr>
        <w:t>consiglio</w:t>
      </w:r>
      <w:proofErr w:type="spellEnd"/>
      <w:r>
        <w:t xml:space="preserve">). „Proceduralna” część wyroków wydanych w odniesieniu do Pana Grande Stevensa i spółki Giovanni Agnelli &amp; C. </w:t>
      </w:r>
      <w:proofErr w:type="spellStart"/>
      <w:r>
        <w:t>S.a.s</w:t>
      </w:r>
      <w:proofErr w:type="spellEnd"/>
      <w:r>
        <w:t>. wskazywała, że strony zostały wezwane do obrad (</w:t>
      </w:r>
      <w:proofErr w:type="spellStart"/>
      <w:r>
        <w:rPr>
          <w:i/>
        </w:rPr>
        <w:t>disposta</w:t>
      </w:r>
      <w:proofErr w:type="spellEnd"/>
      <w:r>
        <w:rPr>
          <w:i/>
        </w:rPr>
        <w:t xml:space="preserve"> la </w:t>
      </w:r>
      <w:proofErr w:type="spellStart"/>
      <w:r>
        <w:rPr>
          <w:i/>
        </w:rPr>
        <w:t>comparizione</w:t>
      </w:r>
      <w:proofErr w:type="spellEnd"/>
      <w:r>
        <w:rPr>
          <w:i/>
        </w:rPr>
        <w:t xml:space="preserve"> </w:t>
      </w:r>
      <w:proofErr w:type="spellStart"/>
      <w:r>
        <w:rPr>
          <w:i/>
        </w:rPr>
        <w:t>delle</w:t>
      </w:r>
      <w:proofErr w:type="spellEnd"/>
      <w:r>
        <w:rPr>
          <w:i/>
        </w:rPr>
        <w:t xml:space="preserve"> </w:t>
      </w:r>
      <w:proofErr w:type="spellStart"/>
      <w:r>
        <w:rPr>
          <w:i/>
        </w:rPr>
        <w:t>parti</w:t>
      </w:r>
      <w:proofErr w:type="spellEnd"/>
      <w:r>
        <w:rPr>
          <w:i/>
        </w:rPr>
        <w:t xml:space="preserve"> in </w:t>
      </w:r>
      <w:proofErr w:type="spellStart"/>
      <w:r>
        <w:rPr>
          <w:i/>
        </w:rPr>
        <w:t>camera</w:t>
      </w:r>
      <w:proofErr w:type="spellEnd"/>
      <w:r>
        <w:rPr>
          <w:i/>
        </w:rPr>
        <w:t xml:space="preserve"> di </w:t>
      </w:r>
      <w:proofErr w:type="spellStart"/>
      <w:r>
        <w:rPr>
          <w:i/>
        </w:rPr>
        <w:t>consiglio</w:t>
      </w:r>
      <w:proofErr w:type="spellEnd"/>
      <w:r>
        <w:t>).</w:t>
      </w:r>
    </w:p>
    <w:bookmarkStart w:id="16" w:name="interdictionsappel"/>
    <w:p w14:paraId="40056F07" w14:textId="77777777"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31</w:t>
      </w:r>
      <w:r w:rsidRPr="00110749">
        <w:fldChar w:fldCharType="end"/>
      </w:r>
      <w:bookmarkEnd w:id="16"/>
      <w:r w:rsidR="00442C51">
        <w:t>. </w:t>
      </w:r>
      <w:r>
        <w:t xml:space="preserve">Długość zakazu przyjmowania na siebie odpowiedzialności za administrowanie, zarządzanie lub nadzór nad spółkami notowanymi na giełdzie papierów wartościowych została zmniejszona z sześciu do czterech miesięcy w odniesieniu do Pana </w:t>
      </w:r>
      <w:proofErr w:type="spellStart"/>
      <w:r>
        <w:t>Gabettiego</w:t>
      </w:r>
      <w:proofErr w:type="spellEnd"/>
      <w:r>
        <w:t>.</w:t>
      </w:r>
    </w:p>
    <w:p w14:paraId="2B81449F" w14:textId="77777777" w:rsidR="000D5DD6" w:rsidRPr="00110749" w:rsidRDefault="00346F6F" w:rsidP="000D5DD6">
      <w:pPr>
        <w:pStyle w:val="ECHRPara"/>
      </w:pPr>
      <w:fldSimple w:instr=" SEQ level0 \*arabic ">
        <w:r w:rsidR="00AB4482">
          <w:rPr>
            <w:noProof/>
          </w:rPr>
          <w:t>32</w:t>
        </w:r>
      </w:fldSimple>
      <w:r w:rsidR="00442C51">
        <w:t>. </w:t>
      </w:r>
      <w:r w:rsidR="000D5DD6">
        <w:t xml:space="preserve">Sąd apelacyjny oddalił pozostałe skargi skarżących w całości. Zauważył m.in., że nawet po przekazaniu akt sprawy do Dyrekcji, Biuro IT ma prawo kontynuować postępowanie dochodzeniowe, gdyż termin 210 dni wyznaczony na obrady CONSOB nie jest wiążący. Ponadto, zasada </w:t>
      </w:r>
      <w:r w:rsidR="00EB26F0">
        <w:t>kontradykto</w:t>
      </w:r>
      <w:r w:rsidR="000D5DD6">
        <w:t>ryjności jest dotrzymana, jeżeli, jak to ma miejsce w niniejszej sprawie, osoby oskarżone zostały powiadomione o nowych dowodach uzyskanych przez Biuro IT i została im zapewniona możliwość złożenia swoich odpowiedzi.</w:t>
      </w:r>
    </w:p>
    <w:bookmarkStart w:id="17" w:name="art185"/>
    <w:p w14:paraId="193262E1" w14:textId="37EF6CF2" w:rsidR="000D5DD6" w:rsidRPr="00110749" w:rsidRDefault="000D5DD6" w:rsidP="000D5DD6">
      <w:pPr>
        <w:pStyle w:val="ECHRPara"/>
      </w:pPr>
      <w:r w:rsidRPr="00110749">
        <w:lastRenderedPageBreak/>
        <w:fldChar w:fldCharType="begin"/>
      </w:r>
      <w:r w:rsidRPr="00110749">
        <w:instrText xml:space="preserve"> SEQ level0 \*arabic </w:instrText>
      </w:r>
      <w:r w:rsidRPr="00110749">
        <w:fldChar w:fldCharType="separate"/>
      </w:r>
      <w:r w:rsidR="00AB4482">
        <w:rPr>
          <w:noProof/>
        </w:rPr>
        <w:t>33</w:t>
      </w:r>
      <w:r w:rsidRPr="00110749">
        <w:fldChar w:fldCharType="end"/>
      </w:r>
      <w:bookmarkEnd w:id="17"/>
      <w:r w:rsidR="00442C51">
        <w:t>. </w:t>
      </w:r>
      <w:r>
        <w:t>Sąd apelacyjny zauważył również, że CONSOB zarówno nałożył</w:t>
      </w:r>
      <w:r w:rsidR="003946C1">
        <w:t>a</w:t>
      </w:r>
      <w:r>
        <w:t xml:space="preserve"> kary, o których mowa w artykule 187 </w:t>
      </w:r>
      <w:r>
        <w:rPr>
          <w:i/>
        </w:rPr>
        <w:t xml:space="preserve">ter </w:t>
      </w:r>
      <w:r>
        <w:t>Dekretu Legislacyjnego nr 58 z 1998 roku, jak i zgłosił</w:t>
      </w:r>
      <w:r w:rsidR="003946C1">
        <w:t>a</w:t>
      </w:r>
      <w:r>
        <w:t xml:space="preserve"> sprawę do prokuratury, zarzucając, że zostało popełnione przestępstwo karne opisane w artykule 185 § 1 tego samego </w:t>
      </w:r>
      <w:r w:rsidR="003946C1">
        <w:t>Dekretu</w:t>
      </w:r>
      <w:r>
        <w:t>. Zgodnie z postanowieniami tego przepisu,</w:t>
      </w:r>
    </w:p>
    <w:p w14:paraId="3D08006B" w14:textId="77777777" w:rsidR="000D5DD6" w:rsidRPr="00110749" w:rsidRDefault="000D5DD6" w:rsidP="00442C51">
      <w:pPr>
        <w:pStyle w:val="ECHRParaQuote"/>
        <w:ind w:firstLine="0"/>
      </w:pPr>
      <w:r>
        <w:rPr>
          <w:rFonts w:ascii="TimesNewRoman,BoldItalic" w:hAnsi="TimesNewRoman,BoldItalic"/>
        </w:rPr>
        <w:t>„Każdy, kto rozpowszechnia fałszywe informacje, realizuje fikcyjne transakcje lub korzysta z innych wybiegów (</w:t>
      </w:r>
      <w:proofErr w:type="spellStart"/>
      <w:r>
        <w:rPr>
          <w:i/>
        </w:rPr>
        <w:t>artifizi</w:t>
      </w:r>
      <w:proofErr w:type="spellEnd"/>
      <w:r>
        <w:t xml:space="preserve">), które w sposób obiektywny są w stanie pociągnąć za sobą znaczącą zmianę wartości instrumentów finansowych, podlega karze </w:t>
      </w:r>
      <w:r w:rsidR="00696C11">
        <w:t>pozbawienia wolności na okres od</w:t>
      </w:r>
      <w:r>
        <w:t xml:space="preserve"> jednego do sześciu lat oraz karze grzywny w wysokości od 20.000 do 5.000.000 Euro.”</w:t>
      </w:r>
    </w:p>
    <w:bookmarkStart w:id="18" w:name="appelmemeconduite"/>
    <w:p w14:paraId="7704E8ED" w14:textId="5CC4B55F"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34</w:t>
      </w:r>
      <w:r w:rsidRPr="00110749">
        <w:fldChar w:fldCharType="end"/>
      </w:r>
      <w:bookmarkEnd w:id="18"/>
      <w:r w:rsidR="00696C11">
        <w:t>. </w:t>
      </w:r>
      <w:r>
        <w:t>Zgodni</w:t>
      </w:r>
      <w:r w:rsidR="007A3E68">
        <w:t>e z opinią sądu apelacyjnego, te</w:t>
      </w:r>
      <w:r>
        <w:t xml:space="preserve"> dwa przepisy mają za swój przedmiot takie samo </w:t>
      </w:r>
      <w:r w:rsidR="002430EA">
        <w:t>zachowanie</w:t>
      </w:r>
      <w:r>
        <w:t xml:space="preserve"> („rozpowszechnianie fałszywych informacji”) oraz stawiają sobie ten sam cel (zapobieganie manipulacji na rynku), jednak różnią się w odniesieniu do sytuacji zagrożenia, jaka rzekomo powstała w wyniku takiego </w:t>
      </w:r>
      <w:r w:rsidR="00FB61C4">
        <w:t>postępowania</w:t>
      </w:r>
      <w:r>
        <w:t xml:space="preserve">: w przypadku artykułu 187 </w:t>
      </w:r>
      <w:r>
        <w:rPr>
          <w:i/>
        </w:rPr>
        <w:t>ter</w:t>
      </w:r>
      <w:r>
        <w:t>,</w:t>
      </w:r>
      <w:r>
        <w:rPr>
          <w:i/>
        </w:rPr>
        <w:t xml:space="preserve"> </w:t>
      </w:r>
      <w:r>
        <w:t xml:space="preserve">wystarczy samo udzielenie fałszywych lub wprowadzających w błąd informacji dotyczących instrumentów finansowych, podczas gdy w przypadku artykułu 185, </w:t>
      </w:r>
      <w:r w:rsidR="00D06A71">
        <w:t xml:space="preserve">dodatkowo </w:t>
      </w:r>
      <w:r>
        <w:t xml:space="preserve">konieczne jest, aby informacje te pociągały za sobą znaczącą zmianę ceny danych instrumentów. Zgodnie z tym, co Trybunał Konstytucyjny wskazał w swoim </w:t>
      </w:r>
      <w:r w:rsidR="00D06A71">
        <w:t>zarządzeniu</w:t>
      </w:r>
      <w:r>
        <w:t xml:space="preserve"> nr</w:t>
      </w:r>
      <w:r w:rsidR="007E48CB">
        <w:t xml:space="preserve"> 409 z dnia 12 listopada 1991 roku</w:t>
      </w:r>
      <w:r>
        <w:t xml:space="preserve">, organy ustawodawcze mają prawo </w:t>
      </w:r>
      <w:r w:rsidR="00D06A71">
        <w:t>zdecydować</w:t>
      </w:r>
      <w:r>
        <w:t xml:space="preserve">, </w:t>
      </w:r>
      <w:r w:rsidR="00153CA8">
        <w:t>że</w:t>
      </w:r>
      <w:r w:rsidR="00D06A71">
        <w:t xml:space="preserve"> </w:t>
      </w:r>
      <w:r>
        <w:t xml:space="preserve">niezgodne z prawem </w:t>
      </w:r>
      <w:r w:rsidR="002430EA">
        <w:t>zachowanie</w:t>
      </w:r>
      <w:r>
        <w:t xml:space="preserve"> </w:t>
      </w:r>
      <w:r w:rsidR="00D06A71">
        <w:t xml:space="preserve">karać będą </w:t>
      </w:r>
      <w:r>
        <w:t xml:space="preserve">zarówno pieniężnymi sankcjami administracyjnymi, jak i sankcjami karnymi. Ponadto, artykuł 14 dyrektywy 2003/6/WE </w:t>
      </w:r>
      <w:r w:rsidRPr="00D06A71">
        <w:t>(zobacz pu</w:t>
      </w:r>
      <w:r w:rsidR="007A3E68" w:rsidRPr="00D06A71">
        <w:t>nkt 60 poniżej), który zachęca p</w:t>
      </w:r>
      <w:r w:rsidRPr="00D06A71">
        <w:t xml:space="preserve">aństwa </w:t>
      </w:r>
      <w:r w:rsidR="007A3E68" w:rsidRPr="00D06A71">
        <w:t>c</w:t>
      </w:r>
      <w:r w:rsidRPr="00D06A71">
        <w:t>złonkowskie Unii Europejskiej do stosowania sankcji administracyjnych przeciwko os</w:t>
      </w:r>
      <w:r>
        <w:t>obom odpowi</w:t>
      </w:r>
      <w:r w:rsidR="00141C9F">
        <w:t>edzialnym za manipulowanie rynkiem</w:t>
      </w:r>
      <w:r>
        <w:t>, zawiera z kolei sfo</w:t>
      </w:r>
      <w:r w:rsidR="007A3E68">
        <w:t xml:space="preserve">rmułowanie „bez uszczerbku dla </w:t>
      </w:r>
      <w:r w:rsidR="00D06A71">
        <w:t xml:space="preserve">prawa </w:t>
      </w:r>
      <w:r w:rsidR="007A3E68">
        <w:t>państw c</w:t>
      </w:r>
      <w:r>
        <w:t>złonkowskich do nakładania sankcji karnych”.</w:t>
      </w:r>
    </w:p>
    <w:bookmarkStart w:id="19" w:name="dolreqappel"/>
    <w:p w14:paraId="1268C70F" w14:textId="016ED6AE"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35</w:t>
      </w:r>
      <w:r w:rsidRPr="00110749">
        <w:fldChar w:fldCharType="end"/>
      </w:r>
      <w:bookmarkEnd w:id="19"/>
      <w:r w:rsidR="00FD1206">
        <w:t>. </w:t>
      </w:r>
      <w:r>
        <w:t xml:space="preserve">Jeżeli chodzi o przedmiot sprawy, sąd apelacyjny zauważył, że z akt sprawy jasno wynika, iż renegocjacja kapitałowej transakcji </w:t>
      </w:r>
      <w:proofErr w:type="spellStart"/>
      <w:r>
        <w:t>swap</w:t>
      </w:r>
      <w:proofErr w:type="spellEnd"/>
      <w:r>
        <w:rPr>
          <w:i/>
        </w:rPr>
        <w:t xml:space="preserve"> </w:t>
      </w:r>
      <w:r>
        <w:t>została przeanalizowana w najmniejszych szczegółach w przedmiotowym czasie, a wnioski wyciągnięte przez CONSOB (a mianowicie, że plan ten istniał już na jeden miesiąc przed datą 24 sierpnia 2005</w:t>
      </w:r>
      <w:r w:rsidR="007E48CB">
        <w:t xml:space="preserve"> roku</w:t>
      </w:r>
      <w:r>
        <w:t xml:space="preserve">) były uzasadnione w świetle ustalonych okoliczności i </w:t>
      </w:r>
      <w:r w:rsidR="0030504D">
        <w:t>postępowania</w:t>
      </w:r>
      <w:r w:rsidR="002430EA">
        <w:t xml:space="preserve"> </w:t>
      </w:r>
      <w:r>
        <w:t>zaangażowanych osób.</w:t>
      </w:r>
    </w:p>
    <w:bookmarkStart w:id="20" w:name="quiconqueappel"/>
    <w:p w14:paraId="58A940C5" w14:textId="58855B86"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36</w:t>
      </w:r>
      <w:r w:rsidRPr="00110749">
        <w:fldChar w:fldCharType="end"/>
      </w:r>
      <w:bookmarkEnd w:id="20"/>
      <w:r w:rsidR="009E6786">
        <w:t>. </w:t>
      </w:r>
      <w:r>
        <w:t xml:space="preserve">Jeżeli chodzi o Pana Grande Stevensa, prawdą jest, że nie był dyrektorem wykonawczym </w:t>
      </w:r>
      <w:proofErr w:type="spellStart"/>
      <w:r>
        <w:t>Exor</w:t>
      </w:r>
      <w:proofErr w:type="spellEnd"/>
      <w:r>
        <w:t xml:space="preserve"> </w:t>
      </w:r>
      <w:proofErr w:type="spellStart"/>
      <w:r>
        <w:t>s.p.a</w:t>
      </w:r>
      <w:proofErr w:type="spellEnd"/>
      <w:r>
        <w:t xml:space="preserve">. Niemniej jednak, przestępstwo administracyjne karalne na mocy artykułu 187 </w:t>
      </w:r>
      <w:r>
        <w:rPr>
          <w:i/>
        </w:rPr>
        <w:t xml:space="preserve">ter </w:t>
      </w:r>
      <w:r>
        <w:t xml:space="preserve">Dekretu Legislacyjnego nr 58 z 1998 roku mogłoby być popełnione przez „każdego”, a zatem przez osobę występującą w dowolnym charakterze; Pan Grande Stevens faktycznie uczestniczył w procesie podejmowania decyzji, który doprowadził do publikacji </w:t>
      </w:r>
      <w:r w:rsidR="00D06A71">
        <w:t>komunikatu prasowego</w:t>
      </w:r>
      <w:r>
        <w:t xml:space="preserve">, występując w charakterze prawnika </w:t>
      </w:r>
      <w:r w:rsidR="00D06A71">
        <w:t>udzielającego konsultacji</w:t>
      </w:r>
      <w:r>
        <w:t xml:space="preserve"> na rzecz skarżących spółek.</w:t>
      </w:r>
    </w:p>
    <w:p w14:paraId="7026B9DA" w14:textId="0F14FA0A" w:rsidR="000D5DD6" w:rsidRPr="00110749" w:rsidRDefault="000D5DD6" w:rsidP="000D5DD6">
      <w:pPr>
        <w:pStyle w:val="ECHRHeading2"/>
      </w:pPr>
      <w:r>
        <w:lastRenderedPageBreak/>
        <w:t>D.  </w:t>
      </w:r>
      <w:r w:rsidR="00B32F8F">
        <w:t>Skarga kasacyjna</w:t>
      </w:r>
    </w:p>
    <w:bookmarkStart w:id="21" w:name="invoque111"/>
    <w:p w14:paraId="18B4DCCE" w14:textId="570B85EE"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37</w:t>
      </w:r>
      <w:r w:rsidRPr="00110749">
        <w:fldChar w:fldCharType="end"/>
      </w:r>
      <w:bookmarkEnd w:id="21"/>
      <w:r w:rsidR="009E6786">
        <w:t>. </w:t>
      </w:r>
      <w:r>
        <w:t xml:space="preserve">Skarżący wnieśli skargę </w:t>
      </w:r>
      <w:r w:rsidR="00B32F8F">
        <w:t>kasacyjną</w:t>
      </w:r>
      <w:r>
        <w:t xml:space="preserve">. W trzecim i czwartym punkcie uzasadnienia swojej skargi zarzucili między innymi, że nastąpiło naruszenie zasad </w:t>
      </w:r>
      <w:r w:rsidR="00F125AB">
        <w:t>rzetelnego</w:t>
      </w:r>
      <w:r>
        <w:t xml:space="preserve"> procesu, zagwarantowane</w:t>
      </w:r>
      <w:r w:rsidR="00D06A71">
        <w:t>go</w:t>
      </w:r>
      <w:r>
        <w:t xml:space="preserve"> w artykule 111 Konstytucji, ponieważ, w szczególności: </w:t>
      </w:r>
      <w:r w:rsidR="00D06A71">
        <w:t xml:space="preserve">etap dochodzenia w postępowaniu przed </w:t>
      </w:r>
      <w:r>
        <w:t xml:space="preserve">CONSOB nie miał charakteru </w:t>
      </w:r>
      <w:r w:rsidR="0038620B">
        <w:t>kontradykto</w:t>
      </w:r>
      <w:r w:rsidR="009E6786">
        <w:t>ryjnego; zaniedbano przekazania</w:t>
      </w:r>
      <w:r>
        <w:t xml:space="preserve"> </w:t>
      </w:r>
      <w:r w:rsidR="00D06A71">
        <w:t xml:space="preserve">oskarżonym </w:t>
      </w:r>
      <w:r>
        <w:t xml:space="preserve">raportu Dyrekcji; w opinii skarżących, nie było możliwości złożenia wyjaśnień </w:t>
      </w:r>
      <w:r w:rsidR="00D06A71">
        <w:t xml:space="preserve">do Komisji </w:t>
      </w:r>
      <w:r>
        <w:t>ani osobistego przesłuchania przez</w:t>
      </w:r>
      <w:r w:rsidR="00D06A71">
        <w:t xml:space="preserve"> nią</w:t>
      </w:r>
      <w:r>
        <w:t>; Biuro IT prowadziło swoje dochodzenie i przekazało notę uzupełniającą po upływie terminu wyznaczonego w tym celu.</w:t>
      </w:r>
    </w:p>
    <w:bookmarkStart w:id="22" w:name="arretscassation"/>
    <w:p w14:paraId="6D878102" w14:textId="1258FA0E"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38</w:t>
      </w:r>
      <w:r w:rsidRPr="00110749">
        <w:fldChar w:fldCharType="end"/>
      </w:r>
      <w:bookmarkEnd w:id="22"/>
      <w:r w:rsidR="00472744">
        <w:t>. </w:t>
      </w:r>
      <w:r>
        <w:t>Na mocy wyroków z dnia 23 czerwca 2009</w:t>
      </w:r>
      <w:r w:rsidR="007E48CB">
        <w:t xml:space="preserve"> roku</w:t>
      </w:r>
      <w:r>
        <w:t>, których tekst został zarejestrowa</w:t>
      </w:r>
      <w:r w:rsidR="00472744">
        <w:t>ny w dniu 30 września 2009</w:t>
      </w:r>
      <w:r w:rsidR="007E48CB">
        <w:t xml:space="preserve"> roku</w:t>
      </w:r>
      <w:r w:rsidR="00472744">
        <w:t>, Sąd K</w:t>
      </w:r>
      <w:r>
        <w:t xml:space="preserve">asacyjny oddalił ich skargi dotyczące naruszenia przepisów prawa. Uznał, w szczególności, że </w:t>
      </w:r>
      <w:r w:rsidR="00472744">
        <w:t xml:space="preserve">zasada </w:t>
      </w:r>
      <w:r w:rsidR="0038620B">
        <w:t>kontradykto</w:t>
      </w:r>
      <w:r w:rsidR="00472744">
        <w:t xml:space="preserve">ryjnego zbadania </w:t>
      </w:r>
      <w:r>
        <w:t xml:space="preserve">sprawy </w:t>
      </w:r>
      <w:r w:rsidR="00D06A71">
        <w:t>była przestrzegana</w:t>
      </w:r>
      <w:r>
        <w:t xml:space="preserve"> w postępowaniu toczącym się przed CONSOB, zauważając, że organ ten przedstawił skarżącym stawiane im zarzuty oraz uwzględnił wyjaśnienia </w:t>
      </w:r>
      <w:r w:rsidR="00E75EF0">
        <w:t>s</w:t>
      </w:r>
      <w:r w:rsidR="0002060B">
        <w:t>kładane przez nich w celu</w:t>
      </w:r>
      <w:r>
        <w:t xml:space="preserve"> obrony. Fakt, że skarżący nie zostali przesłuchani i nie otrzymali wniosków Dyrekcji, nie stanowi naruszenia tej zasady, ponieważ zasady konstytucyjne dotyczące </w:t>
      </w:r>
      <w:r w:rsidR="00DB25B4">
        <w:t>rzetelneg</w:t>
      </w:r>
      <w:r>
        <w:t>o procesu mają zastosowanie wyłącznie do postępowania sądowego, a nie do postępowania mającego za swój cel nakładanie sankcji administracyjnych.</w:t>
      </w:r>
    </w:p>
    <w:p w14:paraId="026D1015" w14:textId="77777777" w:rsidR="000D5DD6" w:rsidRPr="00110749" w:rsidRDefault="000D5DD6" w:rsidP="000D5DD6">
      <w:pPr>
        <w:pStyle w:val="ECHRHeading2"/>
      </w:pPr>
      <w:r>
        <w:t>E.  Postępowanie karne przeciwko skarżącym</w:t>
      </w:r>
    </w:p>
    <w:bookmarkStart w:id="23" w:name="nouvellespoursuites1"/>
    <w:p w14:paraId="2D0EADE7" w14:textId="1C1746A4"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39</w:t>
      </w:r>
      <w:r w:rsidRPr="00110749">
        <w:fldChar w:fldCharType="end"/>
      </w:r>
      <w:bookmarkEnd w:id="23"/>
      <w:r w:rsidR="00472744">
        <w:t>. </w:t>
      </w:r>
      <w:r>
        <w:t>Zgodnie z Dekretem Legislacyjnym nr 58 z 1998</w:t>
      </w:r>
      <w:r w:rsidR="007E48CB">
        <w:t xml:space="preserve"> roku</w:t>
      </w:r>
      <w:r>
        <w:t xml:space="preserve">, kwestionowane </w:t>
      </w:r>
      <w:r w:rsidR="002430EA">
        <w:t xml:space="preserve">zachowanie </w:t>
      </w:r>
      <w:r>
        <w:t>skarżących mogło być przedmiotem nie tylko sankcji admini</w:t>
      </w:r>
      <w:r w:rsidR="00472744">
        <w:t xml:space="preserve">stracyjnych, nakładanych przez </w:t>
      </w:r>
      <w:r>
        <w:t xml:space="preserve">CONSOB, ale również sankcji karnych, o których mowa w artykule 185 § 1, cytowanym w punkcie </w:t>
      </w:r>
      <w:r w:rsidRPr="00110749">
        <w:fldChar w:fldCharType="begin"/>
      </w:r>
      <w:r w:rsidRPr="00110749">
        <w:instrText xml:space="preserve"> REF art185 \h </w:instrText>
      </w:r>
      <w:r w:rsidRPr="00110749">
        <w:fldChar w:fldCharType="separate"/>
      </w:r>
      <w:r w:rsidR="00AB4482">
        <w:rPr>
          <w:noProof/>
        </w:rPr>
        <w:t>33</w:t>
      </w:r>
      <w:r w:rsidRPr="00110749">
        <w:fldChar w:fldCharType="end"/>
      </w:r>
      <w:r>
        <w:t xml:space="preserve"> powyżej.</w:t>
      </w:r>
    </w:p>
    <w:bookmarkStart w:id="24" w:name="nouvellespoursuites2"/>
    <w:p w14:paraId="27323A35" w14:textId="584B39E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40</w:t>
      </w:r>
      <w:r w:rsidRPr="00110749">
        <w:fldChar w:fldCharType="end"/>
      </w:r>
      <w:bookmarkEnd w:id="24"/>
      <w:r w:rsidR="00472744">
        <w:t>. </w:t>
      </w:r>
      <w:r>
        <w:t>W dniu 7 listopada 2008</w:t>
      </w:r>
      <w:r w:rsidR="007E48CB">
        <w:t xml:space="preserve"> roku</w:t>
      </w:r>
      <w:r>
        <w:t xml:space="preserve"> skarżący stanęli przed Sądem Okręgowym w Turyni</w:t>
      </w:r>
      <w:r w:rsidR="00472744">
        <w:t xml:space="preserve">e. Oskarżono ich o </w:t>
      </w:r>
      <w:r w:rsidR="0002060B">
        <w:t>złożenie oświadczenia</w:t>
      </w:r>
      <w:r>
        <w:t xml:space="preserve"> w </w:t>
      </w:r>
      <w:r w:rsidR="0002060B">
        <w:t>komunikatach</w:t>
      </w:r>
      <w:r>
        <w:t xml:space="preserve"> prasowych z 24 sierpnia 2005</w:t>
      </w:r>
      <w:r w:rsidR="007E48CB">
        <w:t xml:space="preserve"> roku</w:t>
      </w:r>
      <w:r>
        <w:t xml:space="preserve">, że </w:t>
      </w:r>
      <w:proofErr w:type="spellStart"/>
      <w:r>
        <w:t>Exor</w:t>
      </w:r>
      <w:proofErr w:type="spellEnd"/>
      <w:r>
        <w:t xml:space="preserve"> pragnął pozostać referencyjnym akcjonariuszem spółki FIAT oraz że nie inicjował ani nie </w:t>
      </w:r>
      <w:r w:rsidR="0002060B">
        <w:t>badał</w:t>
      </w:r>
      <w:r>
        <w:t xml:space="preserve"> inicjatyw dotyczących wygaśnięcia umowy o finansowaniu, pomimo iż umowa zmieniająca kapitałową transakcję </w:t>
      </w:r>
      <w:proofErr w:type="spellStart"/>
      <w:r>
        <w:t>swap</w:t>
      </w:r>
      <w:proofErr w:type="spellEnd"/>
      <w:r>
        <w:t xml:space="preserve"> została już w tym czasie przeanalizowana i zawarta, która to informacja została utajona w celu uniknięcia prawdopodobnego spadku ceny akcji spółki FIAT.</w:t>
      </w:r>
    </w:p>
    <w:p w14:paraId="4CEFD214" w14:textId="7A7DB4E3" w:rsidR="000D5DD6" w:rsidRPr="00110749" w:rsidRDefault="00346F6F" w:rsidP="000D5DD6">
      <w:pPr>
        <w:pStyle w:val="ECHRPara"/>
      </w:pPr>
      <w:fldSimple w:instr=" SEQ level0 \*arabic ">
        <w:r w:rsidR="00AB4482">
          <w:rPr>
            <w:noProof/>
          </w:rPr>
          <w:t>41</w:t>
        </w:r>
      </w:fldSimple>
      <w:r w:rsidR="00472744">
        <w:t>. </w:t>
      </w:r>
      <w:r w:rsidR="000D5DD6">
        <w:t>CONSOB wystąpił</w:t>
      </w:r>
      <w:r w:rsidR="0002060B">
        <w:t>a</w:t>
      </w:r>
      <w:r w:rsidR="000D5DD6">
        <w:t xml:space="preserve"> o przystąpienie do postępowania jako strona cywilna, która to możliwość była </w:t>
      </w:r>
      <w:r w:rsidR="00E75EF0">
        <w:t>j</w:t>
      </w:r>
      <w:r w:rsidR="00C006CE">
        <w:t>ej</w:t>
      </w:r>
      <w:r w:rsidR="000D5DD6">
        <w:t xml:space="preserve"> zagwarantowana na mocy artykułu 187 </w:t>
      </w:r>
      <w:proofErr w:type="spellStart"/>
      <w:r w:rsidR="000D5DD6">
        <w:rPr>
          <w:i/>
        </w:rPr>
        <w:t>undecies</w:t>
      </w:r>
      <w:proofErr w:type="spellEnd"/>
      <w:r w:rsidR="000D5DD6">
        <w:rPr>
          <w:i/>
        </w:rPr>
        <w:t xml:space="preserve"> </w:t>
      </w:r>
      <w:r w:rsidR="000D5DD6">
        <w:t>Dekretu Legislacyjnego nr 58 z 1998</w:t>
      </w:r>
      <w:r w:rsidR="007E48CB">
        <w:t xml:space="preserve"> roku.</w:t>
      </w:r>
    </w:p>
    <w:bookmarkStart w:id="25" w:name="exceptionnebisinidem"/>
    <w:p w14:paraId="275B2667" w14:textId="6211F049"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42</w:t>
      </w:r>
      <w:r w:rsidRPr="00110749">
        <w:fldChar w:fldCharType="end"/>
      </w:r>
      <w:bookmarkEnd w:id="25"/>
      <w:r w:rsidR="00472744">
        <w:t>. </w:t>
      </w:r>
      <w:r>
        <w:t>Po 30 września 2009</w:t>
      </w:r>
      <w:r w:rsidR="007E48CB">
        <w:t xml:space="preserve"> roku</w:t>
      </w:r>
      <w:r>
        <w:t xml:space="preserve">, dniu w którym zarejestrowano wyrok oddalający skargę </w:t>
      </w:r>
      <w:r w:rsidR="009D3C7D">
        <w:t xml:space="preserve">kasacyjną </w:t>
      </w:r>
      <w:r>
        <w:t>skarżących p</w:t>
      </w:r>
      <w:r w:rsidR="00472744">
        <w:t xml:space="preserve">rzeciwko karom nałożonym przez </w:t>
      </w:r>
      <w:r>
        <w:t xml:space="preserve">CONSOB (zobacz punkt </w:t>
      </w:r>
      <w:r w:rsidRPr="00110749">
        <w:fldChar w:fldCharType="begin"/>
      </w:r>
      <w:r w:rsidRPr="00110749">
        <w:instrText xml:space="preserve"> REF arretscassation \h </w:instrText>
      </w:r>
      <w:r w:rsidRPr="00110749">
        <w:fldChar w:fldCharType="separate"/>
      </w:r>
      <w:r w:rsidR="00AB4482">
        <w:rPr>
          <w:noProof/>
        </w:rPr>
        <w:t>38</w:t>
      </w:r>
      <w:r w:rsidRPr="00110749">
        <w:fldChar w:fldCharType="end"/>
      </w:r>
      <w:r>
        <w:t xml:space="preserve"> poniżej), skarżący wystąpili o umorzenie </w:t>
      </w:r>
      <w:r>
        <w:lastRenderedPageBreak/>
        <w:t xml:space="preserve">postępowania karnego przeciwko nim na mocy zasady </w:t>
      </w:r>
      <w:r>
        <w:rPr>
          <w:i/>
        </w:rPr>
        <w:t xml:space="preserve">non bis in </w:t>
      </w:r>
      <w:proofErr w:type="spellStart"/>
      <w:r>
        <w:rPr>
          <w:i/>
        </w:rPr>
        <w:t>idem</w:t>
      </w:r>
      <w:proofErr w:type="spellEnd"/>
      <w:r>
        <w:t>. W szczególności, podczas przesłuchania w dniu 7 stycznia 2010</w:t>
      </w:r>
      <w:r w:rsidR="007E48CB">
        <w:t xml:space="preserve"> roku</w:t>
      </w:r>
      <w:r>
        <w:t>, zarzucali, że przedmiotowe przepisy Dekretu Legislacyjnego nr 58 z 1998</w:t>
      </w:r>
      <w:r w:rsidR="007E48CB">
        <w:t xml:space="preserve"> roku</w:t>
      </w:r>
      <w:r>
        <w:t xml:space="preserve"> oraz artykułu 649 kodeksu postępowania karnego („k</w:t>
      </w:r>
      <w:r w:rsidR="004D7917">
        <w:t>.</w:t>
      </w:r>
      <w:r>
        <w:t>p</w:t>
      </w:r>
      <w:r w:rsidR="004D7917">
        <w:t>.</w:t>
      </w:r>
      <w:r>
        <w:t>k</w:t>
      </w:r>
      <w:r w:rsidR="004D7917">
        <w:t>.</w:t>
      </w:r>
      <w:r>
        <w:t xml:space="preserve">” </w:t>
      </w:r>
      <w:r w:rsidR="004D7917">
        <w:t>–</w:t>
      </w:r>
      <w:r>
        <w:t xml:space="preserve"> zobacz punkt 59 poniżej) są niezgodne z Konstytucją ze względu na ich rzekomy brak zgodności z artykułem 4 Protokołu </w:t>
      </w:r>
      <w:r w:rsidR="00B841DA">
        <w:t xml:space="preserve">nr </w:t>
      </w:r>
      <w:r>
        <w:t>7.</w:t>
      </w:r>
    </w:p>
    <w:p w14:paraId="6EDD0ECA" w14:textId="0E9B88BE" w:rsidR="000D5DD6" w:rsidRPr="00110749" w:rsidRDefault="00346F6F" w:rsidP="000D5DD6">
      <w:pPr>
        <w:pStyle w:val="ECHRPara"/>
        <w:tabs>
          <w:tab w:val="left" w:pos="6379"/>
        </w:tabs>
      </w:pPr>
      <w:fldSimple w:instr=" SEQ level0 \*arabic ">
        <w:r w:rsidR="00AB4482">
          <w:rPr>
            <w:noProof/>
          </w:rPr>
          <w:t>43</w:t>
        </w:r>
      </w:fldSimple>
      <w:r w:rsidR="004D7917">
        <w:t>. </w:t>
      </w:r>
      <w:r w:rsidR="000D5DD6">
        <w:t xml:space="preserve">Przedstawiciel prokuratury wniósł sprzeciw </w:t>
      </w:r>
      <w:r w:rsidR="0002060B">
        <w:t>wobec tego zarzutu</w:t>
      </w:r>
      <w:r w:rsidR="000D5DD6">
        <w:t>, twierdząc, że „podwójne postępowanie” (administracyjne i karne) jest dopuszczalne na mocy artykułu 14 Dyrektywy 2003/6/WE z 28 stycznia 2003</w:t>
      </w:r>
      <w:r w:rsidR="007E48CB">
        <w:t xml:space="preserve"> roku</w:t>
      </w:r>
      <w:r w:rsidR="000D5DD6">
        <w:t xml:space="preserve"> (zobacz punkt 60 poniżej), który ustawodawstwo włoskie przyjęło w formie artykułów 185 i 187</w:t>
      </w:r>
      <w:r w:rsidR="000D5DD6">
        <w:rPr>
          <w:i/>
        </w:rPr>
        <w:t xml:space="preserve">ter </w:t>
      </w:r>
      <w:r w:rsidR="000D5DD6">
        <w:t>Dekretu Legislacyjnego nr 58 z 1998</w:t>
      </w:r>
      <w:r w:rsidR="007E48CB">
        <w:t xml:space="preserve"> roku.</w:t>
      </w:r>
    </w:p>
    <w:p w14:paraId="318D3F43" w14:textId="44ADFFED" w:rsidR="000D5DD6" w:rsidRPr="00110749" w:rsidRDefault="00346F6F" w:rsidP="000D5DD6">
      <w:pPr>
        <w:pStyle w:val="ECHRPara"/>
        <w:tabs>
          <w:tab w:val="left" w:pos="6379"/>
        </w:tabs>
      </w:pPr>
      <w:fldSimple w:instr=" SEQ level0 \*arabic ">
        <w:r w:rsidR="00AB4482">
          <w:rPr>
            <w:noProof/>
          </w:rPr>
          <w:t>44</w:t>
        </w:r>
      </w:fldSimple>
      <w:r w:rsidR="004D7917">
        <w:t>. </w:t>
      </w:r>
      <w:r w:rsidR="000D5DD6">
        <w:t xml:space="preserve">Sąd Okręgowy w Turynie nie wydał niezwłocznie orzeczenia w sprawie </w:t>
      </w:r>
      <w:r w:rsidR="00F125AB">
        <w:t xml:space="preserve">kwestii </w:t>
      </w:r>
      <w:r w:rsidR="00347306">
        <w:t>do</w:t>
      </w:r>
      <w:r w:rsidR="00F125AB">
        <w:t>tyczącej</w:t>
      </w:r>
      <w:r w:rsidR="0002060B">
        <w:t xml:space="preserve"> </w:t>
      </w:r>
      <w:r w:rsidR="000D5DD6">
        <w:t xml:space="preserve">zgodności z Konstytucją </w:t>
      </w:r>
      <w:r w:rsidR="00347306">
        <w:t>wniesionego</w:t>
      </w:r>
      <w:r w:rsidR="000D5DD6">
        <w:t xml:space="preserve"> przez obronę. Nakazał sporządzenie raportu przez biegłego, opisującego zmiany w akcjach spółki FIAT w okresie od grudnia 2004 roku do kwietnia 2005 roku oraz oceniając</w:t>
      </w:r>
      <w:r w:rsidR="00347306">
        <w:t>ego</w:t>
      </w:r>
      <w:r w:rsidR="000D5DD6">
        <w:t xml:space="preserve"> konsekwencje </w:t>
      </w:r>
      <w:r w:rsidR="00347306">
        <w:t xml:space="preserve">komunikatów </w:t>
      </w:r>
      <w:r w:rsidR="000D5DD6">
        <w:t>prasowych z dnia 24 sierpnia 2005 roku, a także informacj</w:t>
      </w:r>
      <w:r w:rsidR="00347306">
        <w:t>i opublikowanych</w:t>
      </w:r>
      <w:r w:rsidR="000D5DD6">
        <w:t xml:space="preserve"> w dniu 15 września 2005</w:t>
      </w:r>
      <w:r w:rsidR="007E48CB">
        <w:t xml:space="preserve"> roku</w:t>
      </w:r>
    </w:p>
    <w:p w14:paraId="12C0CC21" w14:textId="5F4D021A" w:rsidR="00AB4482" w:rsidRDefault="00346F6F" w:rsidP="000D5DD6">
      <w:pPr>
        <w:pStyle w:val="ECHRPara"/>
        <w:tabs>
          <w:tab w:val="left" w:pos="6379"/>
        </w:tabs>
      </w:pPr>
      <w:fldSimple w:instr=" SEQ level0 \*arabic ">
        <w:r w:rsidR="00AB4482">
          <w:rPr>
            <w:noProof/>
          </w:rPr>
          <w:t>45</w:t>
        </w:r>
      </w:fldSimple>
      <w:r w:rsidR="004D7917">
        <w:t>.</w:t>
      </w:r>
      <w:r w:rsidR="000D5DD6">
        <w:t> Na mocy orzeczenia z 21 grudnia 2010</w:t>
      </w:r>
      <w:r w:rsidR="007E48CB">
        <w:t xml:space="preserve"> roku</w:t>
      </w:r>
      <w:r w:rsidR="000D5DD6">
        <w:t>, którego tekst został zarejestrowany w dniu 18 marca 2011</w:t>
      </w:r>
      <w:r w:rsidR="007E48CB">
        <w:t xml:space="preserve"> roku</w:t>
      </w:r>
      <w:r w:rsidR="000D5DD6">
        <w:t xml:space="preserve">, Sąd Okręgowy w Turynie uniewinnił Pana </w:t>
      </w:r>
      <w:proofErr w:type="spellStart"/>
      <w:r w:rsidR="000D5DD6">
        <w:t>Marrone</w:t>
      </w:r>
      <w:proofErr w:type="spellEnd"/>
      <w:r w:rsidR="000D5DD6">
        <w:t xml:space="preserve"> na tej podstawie, że nie był on zaangażowany w publikację </w:t>
      </w:r>
      <w:r w:rsidR="00347306">
        <w:t>komunikatów</w:t>
      </w:r>
      <w:r w:rsidR="000D5DD6">
        <w:t xml:space="preserve"> prasowych, a także uniewinnił pozostałych skarżących na tej podstawie, że nie zostało </w:t>
      </w:r>
      <w:r w:rsidR="00347306">
        <w:t xml:space="preserve">im </w:t>
      </w:r>
      <w:r w:rsidR="000D5DD6">
        <w:t xml:space="preserve">udowodnione, że ich </w:t>
      </w:r>
      <w:r w:rsidR="002430EA">
        <w:t>zachowanie</w:t>
      </w:r>
      <w:r w:rsidR="000D5DD6">
        <w:t xml:space="preserve"> </w:t>
      </w:r>
      <w:r w:rsidR="004D7917">
        <w:t>spowodowało</w:t>
      </w:r>
      <w:r w:rsidR="000D5DD6">
        <w:t xml:space="preserve"> znaczące zmiany na rynkach finansowych. Zauważył, że fakt, iż </w:t>
      </w:r>
      <w:r w:rsidR="00347306">
        <w:t>komunikaty</w:t>
      </w:r>
      <w:r w:rsidR="000D5DD6">
        <w:t xml:space="preserve"> prasowe zawierały fałszywe informacje, został już ukarany przez organ administracyjny. W opinii sądu, kwestionowane </w:t>
      </w:r>
      <w:r w:rsidR="00A71D81">
        <w:t>zachowanie</w:t>
      </w:r>
      <w:r w:rsidR="000D5DD6">
        <w:t xml:space="preserve"> skarżących miało prawdopodobnie na celu ukrycie faktu renegocjowania umowy kapitałowej transakcji </w:t>
      </w:r>
      <w:proofErr w:type="spellStart"/>
      <w:r w:rsidR="000D5DD6">
        <w:t>swap</w:t>
      </w:r>
      <w:proofErr w:type="spellEnd"/>
      <w:r w:rsidR="000D5DD6">
        <w:t xml:space="preserve"> przed CONSOB, a nie podwyższenie ceny akcji spółki FIAT.</w:t>
      </w:r>
    </w:p>
    <w:p w14:paraId="0963B8DA" w14:textId="3BED9F5B" w:rsidR="000D5DD6" w:rsidRPr="00110749" w:rsidRDefault="00346F6F" w:rsidP="000D5DD6">
      <w:pPr>
        <w:pStyle w:val="ECHRPara"/>
      </w:pPr>
      <w:fldSimple w:instr=" SEQ level0 \*arabic ">
        <w:r w:rsidR="00AB4482">
          <w:rPr>
            <w:noProof/>
          </w:rPr>
          <w:t>46</w:t>
        </w:r>
      </w:fldSimple>
      <w:r w:rsidR="004D7917">
        <w:t>. </w:t>
      </w:r>
      <w:r w:rsidR="000D5DD6">
        <w:t>Sąd uznał, że dodatkowe pytanie dotyczące zgodności z Konstytucją podniesione przez skarżących było ewidentnie nieuzasadnione. Zauważ</w:t>
      </w:r>
      <w:r w:rsidR="00223E8D">
        <w:t>ył, że prawo włoskie (ustęp  9 u</w:t>
      </w:r>
      <w:r w:rsidR="000D5DD6">
        <w:t>stawy nr 689 z 1981</w:t>
      </w:r>
      <w:r w:rsidR="007E48CB">
        <w:t xml:space="preserve"> roku</w:t>
      </w:r>
      <w:r w:rsidR="000D5DD6">
        <w:t>) zabrania „podwójnego postępowania” (</w:t>
      </w:r>
      <w:r w:rsidR="000D5DD6">
        <w:rPr>
          <w:i/>
        </w:rPr>
        <w:t xml:space="preserve">doppio </w:t>
      </w:r>
      <w:proofErr w:type="spellStart"/>
      <w:r w:rsidR="000D5DD6">
        <w:rPr>
          <w:i/>
        </w:rPr>
        <w:t>giudizio</w:t>
      </w:r>
      <w:proofErr w:type="spellEnd"/>
      <w:r w:rsidR="000D5DD6">
        <w:t xml:space="preserve">), karnego i administracyjnego, w odniesieniu do „tego samego czynu”. </w:t>
      </w:r>
      <w:r w:rsidR="00E75EF0">
        <w:t>Natomiast</w:t>
      </w:r>
      <w:r w:rsidR="000D5DD6">
        <w:t xml:space="preserve"> artykuły 185 i 187 </w:t>
      </w:r>
      <w:r w:rsidR="000D5DD6">
        <w:rPr>
          <w:i/>
        </w:rPr>
        <w:t xml:space="preserve">ter </w:t>
      </w:r>
      <w:r w:rsidR="000D5DD6">
        <w:t>Dekretu Legislacyjnego nr 58 z 1998</w:t>
      </w:r>
      <w:r w:rsidR="007E48CB">
        <w:t xml:space="preserve"> roku</w:t>
      </w:r>
      <w:r w:rsidR="000D5DD6">
        <w:t xml:space="preserve"> nie </w:t>
      </w:r>
      <w:r w:rsidR="0038754D">
        <w:t xml:space="preserve">penalizują </w:t>
      </w:r>
      <w:r w:rsidR="000D5DD6">
        <w:t xml:space="preserve">tego samego czynu: tylko przepis karny (artykuł 185) wymaga, </w:t>
      </w:r>
      <w:r w:rsidR="0038754D">
        <w:t>a</w:t>
      </w:r>
      <w:r w:rsidR="00347306">
        <w:t>by</w:t>
      </w:r>
      <w:r w:rsidR="000D5DD6">
        <w:t xml:space="preserve"> </w:t>
      </w:r>
      <w:r w:rsidR="002430EA">
        <w:t>zachowanie</w:t>
      </w:r>
      <w:r w:rsidR="000D5DD6">
        <w:t xml:space="preserve"> </w:t>
      </w:r>
      <w:r w:rsidR="00347306">
        <w:t>było</w:t>
      </w:r>
      <w:r w:rsidR="000D5DD6">
        <w:t xml:space="preserve"> </w:t>
      </w:r>
      <w:r w:rsidR="00C006CE">
        <w:t xml:space="preserve">tego rodzaju, by było w stanie w </w:t>
      </w:r>
      <w:r w:rsidR="000D5DD6">
        <w:t>znaczący sposób zmieniać wartość instrumentów finansowych (odn</w:t>
      </w:r>
      <w:r w:rsidR="00347306">
        <w:t>iósł</w:t>
      </w:r>
      <w:r w:rsidR="000D5DD6">
        <w:t xml:space="preserve"> się do wyroku nr 15199 Sądu Kasacyjnego (Szóstej Sekcji) z dnia 16 marca 2006</w:t>
      </w:r>
      <w:r w:rsidR="007E48CB">
        <w:t xml:space="preserve"> roku</w:t>
      </w:r>
      <w:r w:rsidR="000D5DD6">
        <w:t xml:space="preserve">). Ponadto, stosowanie przepisu karnego wymaga istnienia złego zamiaru, podczas gdy przepis administracyjny ma zastosowanie z chwilą ujawnienia </w:t>
      </w:r>
      <w:r w:rsidR="004D7917">
        <w:t>zawinionego zachowania</w:t>
      </w:r>
      <w:r w:rsidR="000D5DD6">
        <w:t xml:space="preserve">. Ponadto, postępowanie karne, które nastąpiło po nałożeniu sankcji finansowej, o której mowa w artykule 187 </w:t>
      </w:r>
      <w:r w:rsidR="000D5DD6">
        <w:rPr>
          <w:i/>
        </w:rPr>
        <w:t xml:space="preserve">ter </w:t>
      </w:r>
      <w:r w:rsidR="000D5DD6">
        <w:t>Dekretu Legislacyjnego nr 58 z 1998</w:t>
      </w:r>
      <w:r w:rsidR="007E48CB">
        <w:t xml:space="preserve"> roku</w:t>
      </w:r>
      <w:r w:rsidR="000D5DD6">
        <w:t>, jest dopuszczalne na mocy artykułu 14 dyrektywy 2003/6/WE.</w:t>
      </w:r>
    </w:p>
    <w:p w14:paraId="51B732C6" w14:textId="2E228120" w:rsidR="000D5DD6" w:rsidRPr="00110749" w:rsidRDefault="00346F6F" w:rsidP="000D5DD6">
      <w:pPr>
        <w:pStyle w:val="ECHRPara"/>
        <w:rPr>
          <w:i/>
        </w:rPr>
      </w:pPr>
      <w:fldSimple w:instr=" SEQ level0 \*arabic ">
        <w:r w:rsidR="00AB4482">
          <w:rPr>
            <w:noProof/>
          </w:rPr>
          <w:t>47</w:t>
        </w:r>
      </w:fldSimple>
      <w:r w:rsidR="004D7917">
        <w:t>.</w:t>
      </w:r>
      <w:r w:rsidR="000D5DD6">
        <w:t> Jeżeli chodzi o orzecznictwo Trybunału cytowane przez skarżących (</w:t>
      </w:r>
      <w:proofErr w:type="spellStart"/>
      <w:r w:rsidR="000D5DD6">
        <w:rPr>
          <w:i/>
        </w:rPr>
        <w:t>Gradinger</w:t>
      </w:r>
      <w:proofErr w:type="spellEnd"/>
      <w:r w:rsidR="000D5DD6">
        <w:rPr>
          <w:i/>
        </w:rPr>
        <w:t xml:space="preserve"> przeciwko Austrii </w:t>
      </w:r>
      <w:r w:rsidR="000D5DD6">
        <w:t>(23 października 1995</w:t>
      </w:r>
      <w:r w:rsidR="007E48CB">
        <w:t xml:space="preserve"> roku</w:t>
      </w:r>
      <w:r w:rsidR="000D5DD6">
        <w:t xml:space="preserve">, Seria A nr 328-C), </w:t>
      </w:r>
      <w:proofErr w:type="spellStart"/>
      <w:r w:rsidR="000D5DD6">
        <w:rPr>
          <w:i/>
        </w:rPr>
        <w:t>Sergey</w:t>
      </w:r>
      <w:proofErr w:type="spellEnd"/>
      <w:r w:rsidR="000D5DD6">
        <w:rPr>
          <w:i/>
        </w:rPr>
        <w:t xml:space="preserve"> </w:t>
      </w:r>
      <w:proofErr w:type="spellStart"/>
      <w:r w:rsidR="000D5DD6">
        <w:rPr>
          <w:i/>
        </w:rPr>
        <w:t>Zolotukhin</w:t>
      </w:r>
      <w:proofErr w:type="spellEnd"/>
      <w:r w:rsidR="000D5DD6">
        <w:rPr>
          <w:i/>
        </w:rPr>
        <w:t xml:space="preserve"> przeciwko Rosji </w:t>
      </w:r>
      <w:r w:rsidR="00347306">
        <w:t>[Wielka Izba]</w:t>
      </w:r>
      <w:r w:rsidR="000D5DD6">
        <w:t xml:space="preserve">, nr 14939/03, ECHR 2009), </w:t>
      </w:r>
      <w:proofErr w:type="spellStart"/>
      <w:r w:rsidR="000D5DD6">
        <w:rPr>
          <w:i/>
        </w:rPr>
        <w:t>Maresti</w:t>
      </w:r>
      <w:proofErr w:type="spellEnd"/>
      <w:r w:rsidR="000D5DD6">
        <w:rPr>
          <w:i/>
        </w:rPr>
        <w:t xml:space="preserve"> przeciwko Chorwacji </w:t>
      </w:r>
      <w:r w:rsidR="000D5DD6">
        <w:t>(nr 55759/07, 25 czerwca 2009</w:t>
      </w:r>
      <w:r w:rsidR="007E48CB">
        <w:t xml:space="preserve"> roku</w:t>
      </w:r>
      <w:r w:rsidR="000D5DD6">
        <w:t xml:space="preserve">) oraz </w:t>
      </w:r>
      <w:proofErr w:type="spellStart"/>
      <w:r w:rsidR="000D5DD6">
        <w:rPr>
          <w:i/>
        </w:rPr>
        <w:t>Ruotsalainen</w:t>
      </w:r>
      <w:proofErr w:type="spellEnd"/>
      <w:r w:rsidR="000D5DD6">
        <w:rPr>
          <w:i/>
        </w:rPr>
        <w:t xml:space="preserve"> przeciwko Finlandii</w:t>
      </w:r>
      <w:r w:rsidR="000D5DD6">
        <w:t xml:space="preserve"> </w:t>
      </w:r>
      <w:r w:rsidR="00856E5C">
        <w:t>(nr 13079/03, 16 czerwca 2009</w:t>
      </w:r>
      <w:r w:rsidR="007E48CB">
        <w:t xml:space="preserve"> roku</w:t>
      </w:r>
      <w:r w:rsidR="000D5DD6">
        <w:t xml:space="preserve">), nie było ono istotne dla sprawy, ponieważ dotyczyło spraw, w których pojedynczy czyn był przedmiotem sankcji karnych i administracyjnych, i sytuacji, </w:t>
      </w:r>
      <w:r w:rsidR="00347306">
        <w:t>w których</w:t>
      </w:r>
      <w:r w:rsidR="000D5DD6">
        <w:t xml:space="preserve"> </w:t>
      </w:r>
      <w:r w:rsidR="00347306">
        <w:t xml:space="preserve">sankcje administracyjne miały </w:t>
      </w:r>
      <w:r w:rsidR="000D5DD6">
        <w:t xml:space="preserve">element </w:t>
      </w:r>
      <w:r w:rsidR="00347306">
        <w:t>represyjny</w:t>
      </w:r>
      <w:r w:rsidR="000D5DD6">
        <w:t xml:space="preserve"> i mogły obejmować karę pozbawienia wolności lub (jak to miało miejsce w przypadku sprawy </w:t>
      </w:r>
      <w:proofErr w:type="spellStart"/>
      <w:r w:rsidR="000D5DD6">
        <w:rPr>
          <w:i/>
        </w:rPr>
        <w:t>Ruotsalainen</w:t>
      </w:r>
      <w:proofErr w:type="spellEnd"/>
      <w:r w:rsidR="000D5DD6">
        <w:t>) kwotę grzywny wyższą niż w przypadku grzywny stanowiącej sankcję karną.</w:t>
      </w:r>
    </w:p>
    <w:p w14:paraId="7C23BCE1" w14:textId="26AFB743" w:rsidR="00AB4482" w:rsidRDefault="00346F6F" w:rsidP="000D5DD6">
      <w:pPr>
        <w:pStyle w:val="ECHRPara"/>
        <w:tabs>
          <w:tab w:val="left" w:pos="6379"/>
        </w:tabs>
      </w:pPr>
      <w:fldSimple w:instr=" SEQ level0 \*arabic ">
        <w:r w:rsidR="00AB4482">
          <w:rPr>
            <w:noProof/>
          </w:rPr>
          <w:t>48</w:t>
        </w:r>
      </w:fldSimple>
      <w:r w:rsidR="001D7E35">
        <w:t>.</w:t>
      </w:r>
      <w:r w:rsidR="000D5DD6">
        <w:t xml:space="preserve"> Prokurator wniósł </w:t>
      </w:r>
      <w:r w:rsidR="009D3C7D">
        <w:t xml:space="preserve">kasację </w:t>
      </w:r>
      <w:r w:rsidR="000D5DD6">
        <w:t>zarzucając, że przestępstwo, o popełnienie którego zostali oskarżeni skarżący, było</w:t>
      </w:r>
      <w:r w:rsidR="004D4244">
        <w:t xml:space="preserve"> przestępstwem dotyczącym</w:t>
      </w:r>
      <w:r w:rsidR="000D5DD6">
        <w:t xml:space="preserve"> „niebezpiecz</w:t>
      </w:r>
      <w:r w:rsidR="004D4244">
        <w:t>eństwa</w:t>
      </w:r>
      <w:r w:rsidR="000D5DD6">
        <w:t>” (</w:t>
      </w:r>
      <w:proofErr w:type="spellStart"/>
      <w:r w:rsidR="000D5DD6">
        <w:rPr>
          <w:i/>
        </w:rPr>
        <w:t>reato</w:t>
      </w:r>
      <w:proofErr w:type="spellEnd"/>
      <w:r w:rsidR="000D5DD6">
        <w:rPr>
          <w:i/>
        </w:rPr>
        <w:t xml:space="preserve"> di </w:t>
      </w:r>
      <w:proofErr w:type="spellStart"/>
      <w:r w:rsidR="000D5DD6">
        <w:rPr>
          <w:i/>
        </w:rPr>
        <w:t>pericolo</w:t>
      </w:r>
      <w:proofErr w:type="spellEnd"/>
      <w:r w:rsidR="000D5DD6">
        <w:t>)</w:t>
      </w:r>
      <w:r w:rsidR="001D7E35">
        <w:t>,</w:t>
      </w:r>
      <w:r w:rsidR="000D5DD6">
        <w:t xml:space="preserve"> a nie „szkod</w:t>
      </w:r>
      <w:r w:rsidR="004D4244">
        <w:t>y</w:t>
      </w:r>
      <w:r w:rsidR="000D5DD6">
        <w:t>” (</w:t>
      </w:r>
      <w:proofErr w:type="spellStart"/>
      <w:r w:rsidR="000D5DD6">
        <w:rPr>
          <w:i/>
        </w:rPr>
        <w:t>reato</w:t>
      </w:r>
      <w:proofErr w:type="spellEnd"/>
      <w:r w:rsidR="000D5DD6">
        <w:rPr>
          <w:i/>
        </w:rPr>
        <w:t xml:space="preserve"> di </w:t>
      </w:r>
      <w:proofErr w:type="spellStart"/>
      <w:r w:rsidR="000D5DD6">
        <w:rPr>
          <w:i/>
        </w:rPr>
        <w:t>danno</w:t>
      </w:r>
      <w:proofErr w:type="spellEnd"/>
      <w:r w:rsidR="000D5DD6">
        <w:t>). Mogło zatem być popełnione nawet przy braku szkód poniesionych przez akcjonariuszy.</w:t>
      </w:r>
    </w:p>
    <w:p w14:paraId="0211F39C" w14:textId="75C28532" w:rsidR="000D5DD6" w:rsidRPr="00110749" w:rsidRDefault="00346F6F" w:rsidP="000D5DD6">
      <w:pPr>
        <w:pStyle w:val="ECHRPara"/>
      </w:pPr>
      <w:fldSimple w:instr=" SEQ level0 \*arabic ">
        <w:r w:rsidR="00AB4482">
          <w:rPr>
            <w:noProof/>
          </w:rPr>
          <w:t>49</w:t>
        </w:r>
      </w:fldSimple>
      <w:r w:rsidR="001D7E35">
        <w:t>. </w:t>
      </w:r>
      <w:r w:rsidR="000D5DD6">
        <w:t>W dniu 20 czerwca 2012</w:t>
      </w:r>
      <w:r w:rsidR="007E48CB">
        <w:t xml:space="preserve"> roku</w:t>
      </w:r>
      <w:r w:rsidR="000D5DD6">
        <w:t xml:space="preserve">, Sąd Kasacyjny </w:t>
      </w:r>
      <w:r w:rsidR="004D4244">
        <w:t xml:space="preserve">uwzględnił </w:t>
      </w:r>
      <w:r w:rsidR="000D5DD6">
        <w:t xml:space="preserve">częściowo </w:t>
      </w:r>
      <w:r w:rsidR="006E53C7">
        <w:t>kasację</w:t>
      </w:r>
      <w:r w:rsidR="004D4244">
        <w:t xml:space="preserve"> prokuratury</w:t>
      </w:r>
      <w:r w:rsidR="000D5DD6">
        <w:t xml:space="preserve"> i </w:t>
      </w:r>
      <w:r w:rsidR="004D4244">
        <w:t xml:space="preserve">uchylił </w:t>
      </w:r>
      <w:r w:rsidR="000D5DD6">
        <w:t xml:space="preserve">uniewinnienie spółek Giovanni Agnelli i </w:t>
      </w:r>
      <w:proofErr w:type="spellStart"/>
      <w:r w:rsidR="000D5DD6">
        <w:t>Exor</w:t>
      </w:r>
      <w:proofErr w:type="spellEnd"/>
      <w:r w:rsidR="000D5DD6">
        <w:t xml:space="preserve">, a także uniewinnienie Pana Grande Stevensa i Pana </w:t>
      </w:r>
      <w:proofErr w:type="spellStart"/>
      <w:r w:rsidR="000D5DD6">
        <w:t>Gabettiego</w:t>
      </w:r>
      <w:proofErr w:type="spellEnd"/>
      <w:r w:rsidR="000D5DD6">
        <w:t xml:space="preserve">. Utrzymał jednak w mocy uniewinnienie Pana </w:t>
      </w:r>
      <w:proofErr w:type="spellStart"/>
      <w:r w:rsidR="000D5DD6">
        <w:t>Marrone</w:t>
      </w:r>
      <w:proofErr w:type="spellEnd"/>
      <w:r w:rsidR="000D5DD6">
        <w:t>, zważywszy, że nie wziął on udziału w przedmiotowym procederze.</w:t>
      </w:r>
    </w:p>
    <w:p w14:paraId="05BB627F" w14:textId="71C8E6F8" w:rsidR="00AB4482" w:rsidRDefault="00346F6F" w:rsidP="000D5DD6">
      <w:pPr>
        <w:pStyle w:val="ECHRPara"/>
      </w:pPr>
      <w:fldSimple w:instr=" SEQ level0 \*arabic ">
        <w:r w:rsidR="00AB4482">
          <w:rPr>
            <w:noProof/>
          </w:rPr>
          <w:t>50</w:t>
        </w:r>
      </w:fldSimple>
      <w:r w:rsidR="009150F0">
        <w:t>. </w:t>
      </w:r>
      <w:r w:rsidR="000D5DD6">
        <w:t>Na mocy wyroku z 28 lutego 2013</w:t>
      </w:r>
      <w:r w:rsidR="007E48CB">
        <w:t xml:space="preserve"> roku</w:t>
      </w:r>
      <w:r w:rsidR="000D5DD6">
        <w:t xml:space="preserve">, Sąd Apelacyjny w Turynie skazał Pana </w:t>
      </w:r>
      <w:proofErr w:type="spellStart"/>
      <w:r w:rsidR="000D5DD6">
        <w:t>Gabettiego</w:t>
      </w:r>
      <w:proofErr w:type="spellEnd"/>
      <w:r w:rsidR="000D5DD6">
        <w:t xml:space="preserve"> i Pana Grande Stevensa za popełnienie przestępstwa z artykułu 185 § 1 Dekretu Legislacyjnego nr 58 z 1998</w:t>
      </w:r>
      <w:r w:rsidR="007E48CB">
        <w:t xml:space="preserve"> roku</w:t>
      </w:r>
      <w:r w:rsidR="000D5DD6">
        <w:t xml:space="preserve">, uznając za wielce prawdopodobne, że gdyby fałszywe informacje objęte </w:t>
      </w:r>
      <w:r w:rsidR="004D4244">
        <w:t>komunikatem prasowym</w:t>
      </w:r>
      <w:r w:rsidR="000D5DD6">
        <w:t xml:space="preserve"> z 24 sierpnia 2005</w:t>
      </w:r>
      <w:r w:rsidR="007E48CB">
        <w:t xml:space="preserve"> roku</w:t>
      </w:r>
      <w:r w:rsidR="000D5DD6">
        <w:t xml:space="preserve"> nie zostały ujawnione, wartość akcji spółki FIAT spadłaby dużo bardziej. Uniewinnił jednakże spółki </w:t>
      </w:r>
      <w:proofErr w:type="spellStart"/>
      <w:r w:rsidR="000D5DD6">
        <w:t>Exor</w:t>
      </w:r>
      <w:proofErr w:type="spellEnd"/>
      <w:r w:rsidR="000D5DD6">
        <w:t xml:space="preserve"> i Giovanni Agnelli, utrzymując, że nie można im udowodnić popełnienia żadnych czynów</w:t>
      </w:r>
      <w:r w:rsidR="004D4244" w:rsidRPr="004D4244">
        <w:t xml:space="preserve"> </w:t>
      </w:r>
      <w:r w:rsidR="004D4244">
        <w:t>karalnych</w:t>
      </w:r>
      <w:r w:rsidR="000D5DD6">
        <w:t>.</w:t>
      </w:r>
    </w:p>
    <w:p w14:paraId="00BE45CF" w14:textId="43519DEC" w:rsidR="000D5DD6" w:rsidRPr="00110749" w:rsidRDefault="00346F6F" w:rsidP="000D5DD6">
      <w:pPr>
        <w:pStyle w:val="ECHRPara"/>
      </w:pPr>
      <w:fldSimple w:instr=" SEQ level0 \*arabic ">
        <w:r w:rsidR="00AB4482">
          <w:rPr>
            <w:noProof/>
          </w:rPr>
          <w:t>51</w:t>
        </w:r>
      </w:fldSimple>
      <w:r w:rsidR="009150F0">
        <w:t>. </w:t>
      </w:r>
      <w:r w:rsidR="000D5DD6">
        <w:t xml:space="preserve">Sąd apelacyjny uznał, że nie nastąpiło naruszenie zasady </w:t>
      </w:r>
      <w:proofErr w:type="spellStart"/>
      <w:r w:rsidR="000D5DD6">
        <w:rPr>
          <w:i/>
        </w:rPr>
        <w:t>ne</w:t>
      </w:r>
      <w:proofErr w:type="spellEnd"/>
      <w:r w:rsidR="000D5DD6">
        <w:rPr>
          <w:i/>
        </w:rPr>
        <w:t xml:space="preserve"> bis in </w:t>
      </w:r>
      <w:proofErr w:type="spellStart"/>
      <w:r w:rsidR="000D5DD6">
        <w:rPr>
          <w:i/>
        </w:rPr>
        <w:t>idem</w:t>
      </w:r>
      <w:proofErr w:type="spellEnd"/>
      <w:r w:rsidR="000D5DD6">
        <w:t>, zgadzając się z głównym tokiem rozumowania Sądu Okręgowego w Turynie.</w:t>
      </w:r>
    </w:p>
    <w:bookmarkStart w:id="26" w:name="pendantedernieresinfos"/>
    <w:p w14:paraId="1E88CBFE" w14:textId="2CD68710" w:rsidR="000D5DD6" w:rsidRPr="00110749" w:rsidRDefault="000D5DD6" w:rsidP="000D5DD6">
      <w:pPr>
        <w:pStyle w:val="ECHRPara"/>
      </w:pPr>
      <w:r w:rsidRPr="00110749">
        <w:fldChar w:fldCharType="begin"/>
      </w:r>
      <w:r w:rsidRPr="00110749">
        <w:instrText xml:space="preserve"> SEQ level0 \r52 </w:instrText>
      </w:r>
      <w:r w:rsidRPr="00110749">
        <w:fldChar w:fldCharType="separate"/>
      </w:r>
      <w:r w:rsidR="00AB4482">
        <w:rPr>
          <w:noProof/>
        </w:rPr>
        <w:t>52</w:t>
      </w:r>
      <w:r w:rsidRPr="00110749">
        <w:fldChar w:fldCharType="end"/>
      </w:r>
      <w:bookmarkEnd w:id="26"/>
      <w:r w:rsidR="009150F0">
        <w:t>. </w:t>
      </w:r>
      <w:r>
        <w:t>Zgodnie z informacjami przekazanymi przez Rząd w dniu 7</w:t>
      </w:r>
      <w:r w:rsidR="009150F0">
        <w:t xml:space="preserve"> czerwca 2013</w:t>
      </w:r>
      <w:r w:rsidR="007E48CB">
        <w:t xml:space="preserve"> roku</w:t>
      </w:r>
      <w:r w:rsidR="009150F0">
        <w:t xml:space="preserve">, Pan </w:t>
      </w:r>
      <w:proofErr w:type="spellStart"/>
      <w:r w:rsidR="009150F0">
        <w:t>Gabetti</w:t>
      </w:r>
      <w:proofErr w:type="spellEnd"/>
      <w:r>
        <w:t xml:space="preserve"> i Pan Grande Stevens </w:t>
      </w:r>
      <w:r w:rsidR="00650A07">
        <w:t xml:space="preserve">złożyli </w:t>
      </w:r>
      <w:r w:rsidR="009D3C7D">
        <w:t>kasację</w:t>
      </w:r>
      <w:r>
        <w:t xml:space="preserve">, a postępowanie w tej sprawie nadal toczyło się w tej dacie. W swoich </w:t>
      </w:r>
      <w:proofErr w:type="spellStart"/>
      <w:r>
        <w:t>odwołaniach</w:t>
      </w:r>
      <w:proofErr w:type="spellEnd"/>
      <w:r>
        <w:t xml:space="preserve"> </w:t>
      </w:r>
      <w:r w:rsidR="00650A07">
        <w:t>obaj skarżący powoływali</w:t>
      </w:r>
      <w:r>
        <w:t xml:space="preserve"> się na naruszenie zasady </w:t>
      </w:r>
      <w:proofErr w:type="spellStart"/>
      <w:r>
        <w:rPr>
          <w:i/>
        </w:rPr>
        <w:t>ne</w:t>
      </w:r>
      <w:proofErr w:type="spellEnd"/>
      <w:r>
        <w:rPr>
          <w:i/>
        </w:rPr>
        <w:t xml:space="preserve"> bis in </w:t>
      </w:r>
      <w:proofErr w:type="spellStart"/>
      <w:r>
        <w:rPr>
          <w:i/>
        </w:rPr>
        <w:t>idem</w:t>
      </w:r>
      <w:proofErr w:type="spellEnd"/>
      <w:r>
        <w:rPr>
          <w:i/>
        </w:rPr>
        <w:t xml:space="preserve"> </w:t>
      </w:r>
      <w:r>
        <w:t>i zwr</w:t>
      </w:r>
      <w:r w:rsidR="00650A07">
        <w:t>acali</w:t>
      </w:r>
      <w:r>
        <w:t xml:space="preserve"> się </w:t>
      </w:r>
      <w:r w:rsidR="00650A07">
        <w:t xml:space="preserve">o wniesienie </w:t>
      </w:r>
      <w:r w:rsidR="00650A07" w:rsidRPr="00F125AB">
        <w:t>pytania dotyczącego</w:t>
      </w:r>
      <w:r w:rsidR="00F125AB" w:rsidRPr="00F125AB">
        <w:t xml:space="preserve"> kwestii</w:t>
      </w:r>
      <w:r>
        <w:t xml:space="preserve"> zgodności z Konstytucją artykułu 649 kodeksu postępowania karnego.</w:t>
      </w:r>
    </w:p>
    <w:p w14:paraId="01068388" w14:textId="77777777" w:rsidR="00393762" w:rsidRDefault="00393762" w:rsidP="00393762">
      <w:pPr>
        <w:pStyle w:val="ECHRPara"/>
      </w:pPr>
      <w:r>
        <w:t>...</w:t>
      </w:r>
    </w:p>
    <w:p w14:paraId="71F0AF97" w14:textId="77777777" w:rsidR="00F349DC" w:rsidRDefault="00F349DC" w:rsidP="00393762">
      <w:pPr>
        <w:pStyle w:val="ECHRPara"/>
      </w:pPr>
    </w:p>
    <w:p w14:paraId="398D1860" w14:textId="77777777" w:rsidR="000D5DD6" w:rsidRPr="00393762" w:rsidRDefault="00393762" w:rsidP="00393762">
      <w:pPr>
        <w:pStyle w:val="ECHRPara"/>
        <w:ind w:firstLine="0"/>
        <w:rPr>
          <w:sz w:val="20"/>
        </w:rPr>
      </w:pPr>
      <w:r w:rsidRPr="00393762">
        <w:rPr>
          <w:i/>
          <w:sz w:val="20"/>
        </w:rPr>
        <w:t xml:space="preserve">[Punkty 53-62 dotyczące właściwego prawa </w:t>
      </w:r>
      <w:r w:rsidR="00C006CE">
        <w:rPr>
          <w:i/>
          <w:sz w:val="20"/>
        </w:rPr>
        <w:t>oraz</w:t>
      </w:r>
      <w:r w:rsidRPr="00393762">
        <w:rPr>
          <w:i/>
          <w:sz w:val="20"/>
        </w:rPr>
        <w:t xml:space="preserve"> praktyki krajowej i europejskiej zostały pominięte w niniejszym tłumaczeniu</w:t>
      </w:r>
      <w:r w:rsidR="00B32F8F">
        <w:rPr>
          <w:i/>
          <w:sz w:val="20"/>
        </w:rPr>
        <w:t xml:space="preserve"> – przyp. tłum.</w:t>
      </w:r>
      <w:r w:rsidRPr="00393762">
        <w:rPr>
          <w:i/>
          <w:sz w:val="20"/>
        </w:rPr>
        <w:t xml:space="preserve">] </w:t>
      </w:r>
    </w:p>
    <w:p w14:paraId="74ECE07B" w14:textId="77777777" w:rsidR="000D5DD6" w:rsidRPr="00110749" w:rsidRDefault="000D5DD6" w:rsidP="000D5DD6">
      <w:pPr>
        <w:pStyle w:val="ECHRTitle1"/>
      </w:pPr>
      <w:r>
        <w:lastRenderedPageBreak/>
        <w:t>PRAWO</w:t>
      </w:r>
    </w:p>
    <w:p w14:paraId="3E6CC512" w14:textId="77777777" w:rsidR="000D5DD6" w:rsidRDefault="00AB4482" w:rsidP="000D5DD6">
      <w:pPr>
        <w:pStyle w:val="ECHRPara"/>
      </w:pPr>
      <w:r>
        <w:t>...</w:t>
      </w:r>
    </w:p>
    <w:p w14:paraId="6DD11D13" w14:textId="77777777" w:rsidR="006C6727" w:rsidRDefault="006C6727" w:rsidP="00393762">
      <w:pPr>
        <w:pStyle w:val="ECHRPara"/>
        <w:ind w:firstLine="0"/>
        <w:rPr>
          <w:i/>
          <w:sz w:val="20"/>
        </w:rPr>
      </w:pPr>
    </w:p>
    <w:p w14:paraId="0A55646E" w14:textId="77777777" w:rsidR="00393762" w:rsidRPr="00393762" w:rsidRDefault="00393762" w:rsidP="00393762">
      <w:pPr>
        <w:pStyle w:val="ECHRPara"/>
        <w:ind w:firstLine="0"/>
        <w:rPr>
          <w:sz w:val="20"/>
        </w:rPr>
      </w:pPr>
      <w:r w:rsidRPr="00393762">
        <w:rPr>
          <w:i/>
          <w:sz w:val="20"/>
        </w:rPr>
        <w:t xml:space="preserve">[Punkty </w:t>
      </w:r>
      <w:r>
        <w:rPr>
          <w:i/>
          <w:sz w:val="20"/>
        </w:rPr>
        <w:t>6</w:t>
      </w:r>
      <w:r w:rsidRPr="00393762">
        <w:rPr>
          <w:i/>
          <w:sz w:val="20"/>
        </w:rPr>
        <w:t>3-</w:t>
      </w:r>
      <w:r>
        <w:rPr>
          <w:i/>
          <w:sz w:val="20"/>
        </w:rPr>
        <w:t>86</w:t>
      </w:r>
      <w:r w:rsidRPr="00393762">
        <w:rPr>
          <w:i/>
          <w:sz w:val="20"/>
        </w:rPr>
        <w:t xml:space="preserve"> dotyczące </w:t>
      </w:r>
      <w:r w:rsidR="0015306F">
        <w:rPr>
          <w:i/>
          <w:sz w:val="20"/>
        </w:rPr>
        <w:t>zarzutów wstępnych</w:t>
      </w:r>
      <w:r w:rsidR="0041557E">
        <w:rPr>
          <w:i/>
          <w:sz w:val="20"/>
        </w:rPr>
        <w:t xml:space="preserve"> podniesionych przez Rząd </w:t>
      </w:r>
      <w:r w:rsidR="0015306F">
        <w:rPr>
          <w:i/>
          <w:sz w:val="20"/>
        </w:rPr>
        <w:t xml:space="preserve"> </w:t>
      </w:r>
      <w:r w:rsidRPr="00393762">
        <w:rPr>
          <w:i/>
          <w:sz w:val="20"/>
        </w:rPr>
        <w:t>zostały pominięte w niniejszym tłumaczeniu</w:t>
      </w:r>
      <w:r w:rsidR="00B32F8F">
        <w:rPr>
          <w:i/>
          <w:sz w:val="20"/>
        </w:rPr>
        <w:t xml:space="preserve"> – przyp. tłum.</w:t>
      </w:r>
      <w:r w:rsidRPr="00393762">
        <w:rPr>
          <w:i/>
          <w:sz w:val="20"/>
        </w:rPr>
        <w:t xml:space="preserve">] </w:t>
      </w:r>
    </w:p>
    <w:p w14:paraId="08FA93A0" w14:textId="77777777" w:rsidR="00393762" w:rsidRPr="00110749" w:rsidRDefault="00393762" w:rsidP="000D5DD6">
      <w:pPr>
        <w:pStyle w:val="ECHRPara"/>
      </w:pPr>
    </w:p>
    <w:p w14:paraId="0FFE156E" w14:textId="7FE5D434" w:rsidR="00AB4482" w:rsidRDefault="000D5DD6" w:rsidP="000D5DD6">
      <w:pPr>
        <w:pStyle w:val="ECHRHeading1"/>
      </w:pPr>
      <w:r>
        <w:t>II.  ZARZU</w:t>
      </w:r>
      <w:r w:rsidR="0094661E">
        <w:t>T NARUSZENIA</w:t>
      </w:r>
      <w:r>
        <w:t xml:space="preserve"> ARTYKUŁU 6 KONWENCJI</w:t>
      </w:r>
    </w:p>
    <w:p w14:paraId="2188C832" w14:textId="49AF8062" w:rsidR="000D5DD6" w:rsidRPr="00110749" w:rsidRDefault="00346F6F" w:rsidP="000D5DD6">
      <w:pPr>
        <w:pStyle w:val="ECHRPara"/>
      </w:pPr>
      <w:fldSimple w:instr=" SEQ level0 \r87 ">
        <w:r w:rsidR="00AB4482">
          <w:rPr>
            <w:noProof/>
          </w:rPr>
          <w:t>87</w:t>
        </w:r>
      </w:fldSimple>
      <w:r w:rsidR="00256210">
        <w:t>. </w:t>
      </w:r>
      <w:r w:rsidR="000D5DD6">
        <w:t xml:space="preserve">Skarżący zarzucili, że postępowanie przed CONSOB nie było </w:t>
      </w:r>
      <w:r w:rsidR="001F1200">
        <w:t>rzetelne</w:t>
      </w:r>
      <w:r w:rsidR="000D5DD6">
        <w:t xml:space="preserve">, a także, że organ </w:t>
      </w:r>
      <w:r w:rsidR="001F1200">
        <w:t xml:space="preserve">ten </w:t>
      </w:r>
      <w:r w:rsidR="000D5DD6">
        <w:t>nie był bezstronny i nieza</w:t>
      </w:r>
      <w:r w:rsidR="001F1200">
        <w:t>wisły</w:t>
      </w:r>
      <w:r w:rsidR="000D5DD6">
        <w:t>.</w:t>
      </w:r>
    </w:p>
    <w:p w14:paraId="1774F897" w14:textId="77BFDA36" w:rsidR="000D5DD6" w:rsidRPr="00110749" w:rsidRDefault="000D5DD6" w:rsidP="000D5DD6">
      <w:pPr>
        <w:pStyle w:val="ECHRPara"/>
      </w:pPr>
      <w:r>
        <w:t>Powołali się na artykuł 6 Konwencji,</w:t>
      </w:r>
      <w:r w:rsidR="00316D54">
        <w:t xml:space="preserve"> któr</w:t>
      </w:r>
      <w:r w:rsidR="00C006CE">
        <w:t>y</w:t>
      </w:r>
      <w:r w:rsidR="00316D54">
        <w:t xml:space="preserve"> we właściwej</w:t>
      </w:r>
      <w:r>
        <w:t xml:space="preserve"> części</w:t>
      </w:r>
      <w:r w:rsidR="00C006CE">
        <w:t xml:space="preserve"> brzmi</w:t>
      </w:r>
      <w:r>
        <w:t>:</w:t>
      </w:r>
    </w:p>
    <w:p w14:paraId="7D7164D6" w14:textId="162333F1" w:rsidR="001F1200" w:rsidRDefault="00316D54" w:rsidP="001F1200">
      <w:pPr>
        <w:pStyle w:val="ECHRParaQuote"/>
      </w:pPr>
      <w:r>
        <w:t xml:space="preserve"> </w:t>
      </w:r>
      <w:r w:rsidR="001F1200">
        <w:t>„1. Każdy ma prawo do sprawiedliwego i publicznego rozpatrzenia jego sprawy … przez niezawisły i bezstronny sąd ustanowiony ustawą przy rozstrzyganiu o jego prawach i obowiązkach o charakterze cywilnym albo o zasadności każdego oskarżenia w wytoczonej przeciwko niemu sprawie karnej. Postępowanie przed sądem jest jawne, jednak prasa i publiczność mogą być wyłączone z całości lub części rozprawy sądowej ze względów obyczajowych, z uwagi na porządek publiczny lub bezpieczeństwo państwowe w społeczeństwie demokratycznym, gdy wymaga tego dobro małoletnich lub gdy służy to ochronie życia prywatnego stron albo też w okolicznościach szczególnych, w granicach uznanych przez sąd za bezwzględnie konieczne, kiedy jawność mogłaby przynieść szkodę interesom wymiaru sprawiedliwości.</w:t>
      </w:r>
    </w:p>
    <w:p w14:paraId="0236577D" w14:textId="2CEDB99A" w:rsidR="001F1200" w:rsidRDefault="001F1200" w:rsidP="001F1200">
      <w:pPr>
        <w:pStyle w:val="ECHRParaQuote"/>
      </w:pPr>
      <w:r>
        <w:t>2. Każdego oskarżonego o popełnienie czynu zagrożonego karą uważa się za niewinnego do czasu udowodnienia mu winy zgodnie z ustawą.</w:t>
      </w:r>
    </w:p>
    <w:p w14:paraId="624C2CBA" w14:textId="687F0F9E" w:rsidR="001F1200" w:rsidRDefault="001F1200" w:rsidP="001F1200">
      <w:pPr>
        <w:pStyle w:val="ECHRParaQuote"/>
      </w:pPr>
      <w:r>
        <w:t xml:space="preserve">3. Każdy oskarżony o popełnienie czynu </w:t>
      </w:r>
      <w:r w:rsidRPr="00D54164">
        <w:t>zagrożonego karą</w:t>
      </w:r>
      <w:r>
        <w:t xml:space="preserve"> ma co najmniej prawo do:</w:t>
      </w:r>
    </w:p>
    <w:p w14:paraId="1F5CBD0E" w14:textId="77777777" w:rsidR="001F1200" w:rsidRDefault="001F1200" w:rsidP="001F1200">
      <w:pPr>
        <w:pStyle w:val="ECHRParaQuote"/>
        <w:ind w:firstLine="0"/>
      </w:pPr>
      <w:r>
        <w:t>a)   niezwłocznego otrzymania szczegółowej informacji w języku dla niego zrozumiałym o istocie i przyczynie skierowanego przeciwko niemu oskarżenia;</w:t>
      </w:r>
    </w:p>
    <w:p w14:paraId="43CD81A0" w14:textId="39A0F174" w:rsidR="001F1200" w:rsidRDefault="001F1200" w:rsidP="001F1200">
      <w:pPr>
        <w:pStyle w:val="ECHRParaQuote"/>
        <w:ind w:left="0" w:firstLine="425"/>
      </w:pPr>
      <w:r>
        <w:t>b)   posiadania odpowiedniego czasu i możliwości do przygotowania obrony;</w:t>
      </w:r>
    </w:p>
    <w:p w14:paraId="3DF2B22A" w14:textId="00727520" w:rsidR="001F1200" w:rsidRDefault="001F1200" w:rsidP="001F1200">
      <w:pPr>
        <w:pStyle w:val="ECHRParaQuote"/>
        <w:ind w:firstLine="0"/>
      </w:pPr>
      <w:r>
        <w:t>c)   bronienia się osobiście lub przez ustanowionego przez siebie obrońcę, a jeśli nie ma wystarczających środków na pokrycie kosztów obrony</w:t>
      </w:r>
      <w:r w:rsidR="00D54164">
        <w:t>,</w:t>
      </w:r>
      <w:r>
        <w:t xml:space="preserve"> do bezpłatnego korzystania z pomocy obrońcy wyznaczonego z urzędu, gdy wymaga tego dobro wymiaru sprawiedliwości;</w:t>
      </w:r>
    </w:p>
    <w:p w14:paraId="22A9C356" w14:textId="08855AF6" w:rsidR="001F1200" w:rsidRDefault="001F1200" w:rsidP="001F1200">
      <w:pPr>
        <w:pStyle w:val="ECHRParaQuote"/>
        <w:ind w:firstLine="0"/>
      </w:pPr>
      <w:r>
        <w:t>d)   przesłuchania lub spowodowania przesłuchania świadków oskarżenia oraz żądania obecności i przesłuchania świadków obrony na takich samych warunkach jak świadków oskarżenia;</w:t>
      </w:r>
    </w:p>
    <w:p w14:paraId="4A85ABAB" w14:textId="77777777" w:rsidR="001F1200" w:rsidRDefault="001F1200" w:rsidP="001F1200">
      <w:pPr>
        <w:pStyle w:val="ECHRParaQuote"/>
        <w:ind w:firstLine="0"/>
      </w:pPr>
      <w:r>
        <w:t xml:space="preserve">…. .” </w:t>
      </w:r>
    </w:p>
    <w:p w14:paraId="05179F42" w14:textId="2271E19B" w:rsidR="000D5DD6" w:rsidRPr="00110749" w:rsidRDefault="00346F6F" w:rsidP="000D5DD6">
      <w:pPr>
        <w:pStyle w:val="ECHRPara"/>
      </w:pPr>
      <w:fldSimple w:instr=" SEQ level0 \*arabic ">
        <w:r w:rsidR="00AB4482">
          <w:rPr>
            <w:noProof/>
          </w:rPr>
          <w:t>88</w:t>
        </w:r>
      </w:fldSimple>
      <w:r w:rsidR="000D5DD6">
        <w:t xml:space="preserve">.  Rząd </w:t>
      </w:r>
      <w:r w:rsidR="000F25D9" w:rsidRPr="002D78FF">
        <w:t>za</w:t>
      </w:r>
      <w:r w:rsidR="001F1200">
        <w:t>kwestionował</w:t>
      </w:r>
      <w:r w:rsidR="000D5DD6">
        <w:t xml:space="preserve"> stanowi</w:t>
      </w:r>
      <w:r w:rsidR="001F1200">
        <w:t>sko</w:t>
      </w:r>
      <w:r w:rsidR="000D5DD6">
        <w:t xml:space="preserve"> skarżących.</w:t>
      </w:r>
    </w:p>
    <w:p w14:paraId="76455C2C" w14:textId="77777777" w:rsidR="000D5DD6" w:rsidRPr="00110749" w:rsidRDefault="000D5DD6" w:rsidP="000D5DD6">
      <w:pPr>
        <w:pStyle w:val="ECHRHeading2"/>
      </w:pPr>
      <w:r>
        <w:lastRenderedPageBreak/>
        <w:t>A.  Dopuszczalność</w:t>
      </w:r>
    </w:p>
    <w:p w14:paraId="5DEE02D6" w14:textId="05E8CD41" w:rsidR="00AB4482" w:rsidRDefault="000D5DD6" w:rsidP="000D5DD6">
      <w:pPr>
        <w:pStyle w:val="ECHRHeading3"/>
      </w:pPr>
      <w:r>
        <w:t xml:space="preserve">1.  Czy </w:t>
      </w:r>
      <w:r w:rsidR="0037116E">
        <w:t xml:space="preserve">ma zastosowanie </w:t>
      </w:r>
      <w:r>
        <w:t xml:space="preserve">artykuł 6 Konwencji </w:t>
      </w:r>
      <w:r w:rsidR="00D25135">
        <w:t xml:space="preserve">w </w:t>
      </w:r>
      <w:r w:rsidR="0037116E">
        <w:t>jego</w:t>
      </w:r>
      <w:r w:rsidR="00D25135">
        <w:t xml:space="preserve"> </w:t>
      </w:r>
      <w:r w:rsidR="004110D7">
        <w:t>aspek</w:t>
      </w:r>
      <w:r w:rsidR="00D25135">
        <w:t>cie</w:t>
      </w:r>
      <w:r w:rsidR="004110D7">
        <w:t xml:space="preserve"> karn</w:t>
      </w:r>
      <w:r w:rsidR="00D25135">
        <w:t>ym</w:t>
      </w:r>
      <w:r w:rsidR="004110D7">
        <w:t xml:space="preserve"> </w:t>
      </w:r>
    </w:p>
    <w:p w14:paraId="0EEFB984" w14:textId="77777777" w:rsidR="000D5DD6" w:rsidRPr="00110749" w:rsidRDefault="00651754" w:rsidP="000D5DD6">
      <w:pPr>
        <w:pStyle w:val="ECHRHeading4"/>
      </w:pPr>
      <w:r>
        <w:t xml:space="preserve">(a) </w:t>
      </w:r>
      <w:r w:rsidR="000D5DD6">
        <w:t>Stanowiska stron</w:t>
      </w:r>
    </w:p>
    <w:p w14:paraId="1DACB467" w14:textId="77777777" w:rsidR="000D5DD6" w:rsidRPr="00110749" w:rsidRDefault="000D5DD6" w:rsidP="000D5DD6">
      <w:pPr>
        <w:pStyle w:val="ECHRHeading5"/>
      </w:pPr>
      <w:r>
        <w:t>i.  Rząd</w:t>
      </w:r>
    </w:p>
    <w:p w14:paraId="059196C8" w14:textId="3F164F65" w:rsidR="000D5DD6" w:rsidRPr="00110749" w:rsidRDefault="00346F6F" w:rsidP="000D5DD6">
      <w:pPr>
        <w:pStyle w:val="ECHRPara"/>
      </w:pPr>
      <w:fldSimple w:instr=" SEQ level0 \*arabic ">
        <w:r w:rsidR="00AB4482">
          <w:rPr>
            <w:noProof/>
          </w:rPr>
          <w:t>89</w:t>
        </w:r>
      </w:fldSimple>
      <w:r w:rsidR="00651754">
        <w:t>.</w:t>
      </w:r>
      <w:r w:rsidR="000D5DD6">
        <w:t> Rząd utrzymywał, że postępowanie przed CONSOB nie dotyczyło „</w:t>
      </w:r>
      <w:r w:rsidR="00983537">
        <w:t>oskarżenia w sprawie karnej</w:t>
      </w:r>
      <w:r w:rsidR="000D5DD6">
        <w:t xml:space="preserve">” przeciwko skarżącym. </w:t>
      </w:r>
      <w:r w:rsidR="005F1489">
        <w:t>Z</w:t>
      </w:r>
      <w:r w:rsidR="000D5DD6">
        <w:t xml:space="preserve">auważył, że przestępstwo, o którym mowa w artykule 187 </w:t>
      </w:r>
      <w:r w:rsidR="000D5DD6">
        <w:rPr>
          <w:i/>
        </w:rPr>
        <w:t xml:space="preserve">ter </w:t>
      </w:r>
      <w:r w:rsidR="000D5DD6">
        <w:t>Dekretu Legislacyjnego nr 58 z 1998</w:t>
      </w:r>
      <w:r w:rsidR="007E48CB">
        <w:t xml:space="preserve"> roku</w:t>
      </w:r>
      <w:r w:rsidR="000D5DD6">
        <w:t xml:space="preserve"> podlega wyraźnej klasyfikacji jako czyn „administracyjny”, zarówno zgodnie z prawem krajowym, jak i europejskim; [odpowiednia kara] może być nałożona przez organ administracyjny w momencie zamknięcia postępowania administracyjnego.</w:t>
      </w:r>
    </w:p>
    <w:bookmarkStart w:id="27" w:name="amendesnonconvertibles"/>
    <w:p w14:paraId="3D523572" w14:textId="688BE60C"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90</w:t>
      </w:r>
      <w:r w:rsidRPr="00110749">
        <w:fldChar w:fldCharType="end"/>
      </w:r>
      <w:bookmarkEnd w:id="27"/>
      <w:r w:rsidR="005F1489">
        <w:t>. </w:t>
      </w:r>
      <w:r>
        <w:t xml:space="preserve">Jeżeli chodzi o charakter </w:t>
      </w:r>
      <w:r w:rsidR="002430EA">
        <w:t>przestępstwa</w:t>
      </w:r>
      <w:r>
        <w:t xml:space="preserve">, obejmowało ono wszelkie </w:t>
      </w:r>
      <w:r w:rsidR="00FB61C4">
        <w:t>formy postępowania</w:t>
      </w:r>
      <w:r>
        <w:t xml:space="preserve">, nawet samo zaniedbanie, </w:t>
      </w:r>
      <w:r w:rsidR="00765170">
        <w:t xml:space="preserve">co do którego istniało prawdopodobieństwo, iż </w:t>
      </w:r>
      <w:r>
        <w:t>przekazywało błędny sygnał lub informacje inwestorom, przy czym n</w:t>
      </w:r>
      <w:r w:rsidR="00053E6E">
        <w:t>iekoniecznie musiało to nieść za</w:t>
      </w:r>
      <w:r>
        <w:t xml:space="preserve"> sobą znaczącą </w:t>
      </w:r>
      <w:r w:rsidR="001E35FA">
        <w:t xml:space="preserve">zmianę na rynkach finansowych. </w:t>
      </w:r>
      <w:r>
        <w:t>Chroniło inwestorów przed wszelkim potencjalnym ryzykiem, jakie mogło wpłynąć na ich wyb</w:t>
      </w:r>
      <w:r w:rsidR="00765170">
        <w:t>o</w:t>
      </w:r>
      <w:r>
        <w:t>r</w:t>
      </w:r>
      <w:r w:rsidR="00765170">
        <w:t>y</w:t>
      </w:r>
      <w:r>
        <w:t>, a w związku z tym odnosiło się do interesów innych niż interesy zwykle chronione prawem karnym. Wreszcie, sankcje, jakie mogły być nałożone</w:t>
      </w:r>
      <w:r w:rsidR="00765170">
        <w:t>,</w:t>
      </w:r>
      <w:r>
        <w:t xml:space="preserve"> dotyczyły wyłącznie aktywów danych osób oraz/lub m</w:t>
      </w:r>
      <w:r w:rsidR="001E35FA">
        <w:t>ożliwości sprawowania przez nie</w:t>
      </w:r>
      <w:r>
        <w:t xml:space="preserve"> funkcji kierowniczych, przy czym w żadnych okolicznościach nie mogły prowadzić do kary pozbawienia wolności, nawet w przypadku braku płatności. Sankcje te nie były uwzględniane w kartotece karnej osoby i zwykle dotyczyły osób zawodowo zajmujących się prowadzeniem systemów finansowych, a nie społeczeństwa jako ogółu.</w:t>
      </w:r>
    </w:p>
    <w:bookmarkStart w:id="28" w:name="butcompensatoire"/>
    <w:p w14:paraId="15D93880" w14:textId="3E977501"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91</w:t>
      </w:r>
      <w:r w:rsidRPr="00110749">
        <w:fldChar w:fldCharType="end"/>
      </w:r>
      <w:bookmarkEnd w:id="28"/>
      <w:r w:rsidR="001E35FA">
        <w:t>. </w:t>
      </w:r>
      <w:r>
        <w:t>Ponadto, kwota grzywien była proporcjonalna do zasobów i pozycji finansowej osoby</w:t>
      </w:r>
      <w:r w:rsidR="00765170" w:rsidRPr="00765170">
        <w:t xml:space="preserve"> </w:t>
      </w:r>
      <w:r w:rsidR="00765170">
        <w:t>winnej</w:t>
      </w:r>
      <w:r>
        <w:t>; niniejsza sprawa dotyczyła operacji finansow</w:t>
      </w:r>
      <w:r w:rsidR="00765170">
        <w:t>ej mającej</w:t>
      </w:r>
      <w:r>
        <w:t xml:space="preserve"> za cel uzyskanie kontroli nad jednym z największych producentów pojazdów na świecie i kosztowała ponad 500.000.000 EUR. Ponadto, kary pieniężne, ewentualna konfiskata aktywów służących do popełnienia przestępstwa, a także zakaz pełnienia funkcji kierowniczych miały zasadniczo na celu odbudowanie zaufania na rynku oraz </w:t>
      </w:r>
      <w:r w:rsidR="00765170">
        <w:t>uspokojenie</w:t>
      </w:r>
      <w:r>
        <w:t xml:space="preserve"> inwestorów poprzez </w:t>
      </w:r>
      <w:r w:rsidR="00765170">
        <w:t xml:space="preserve">fakt, że środki te dotyczyły </w:t>
      </w:r>
      <w:r>
        <w:t xml:space="preserve">elementów, </w:t>
      </w:r>
      <w:r w:rsidR="00765170">
        <w:t>które</w:t>
      </w:r>
      <w:r>
        <w:t xml:space="preserve"> umożliwiły popełnienie przestępstwa administracyjnego (w tym miejscu, </w:t>
      </w:r>
      <w:r w:rsidR="0007121C">
        <w:t>R</w:t>
      </w:r>
      <w:r w:rsidR="00C14B97">
        <w:t xml:space="preserve">ząd odniósł </w:t>
      </w:r>
      <w:r>
        <w:t xml:space="preserve">się również do </w:t>
      </w:r>
      <w:r w:rsidR="00C14B97">
        <w:t xml:space="preserve">celów </w:t>
      </w:r>
      <w:r>
        <w:t xml:space="preserve">dyrektywy 2003/6/WE). Miały na celu naprawienie i zrekompensowanie szkód finansowych, a także zapobieżenie sytuacji, w której osoba winna czerpałaby korzyści z nielegalnej działalności. Ponadto, w sprawie </w:t>
      </w:r>
      <w:proofErr w:type="spellStart"/>
      <w:r>
        <w:rPr>
          <w:i/>
        </w:rPr>
        <w:t>Spector</w:t>
      </w:r>
      <w:proofErr w:type="spellEnd"/>
      <w:r>
        <w:rPr>
          <w:i/>
        </w:rPr>
        <w:t xml:space="preserve"> Photo </w:t>
      </w:r>
      <w:proofErr w:type="spellStart"/>
      <w:r>
        <w:rPr>
          <w:i/>
        </w:rPr>
        <w:t>Group</w:t>
      </w:r>
      <w:proofErr w:type="spellEnd"/>
      <w:r>
        <w:rPr>
          <w:i/>
        </w:rPr>
        <w:t xml:space="preserve"> </w:t>
      </w:r>
      <w:r>
        <w:t>(</w:t>
      </w:r>
      <w:proofErr w:type="spellStart"/>
      <w:r>
        <w:rPr>
          <w:i/>
        </w:rPr>
        <w:t>Spector</w:t>
      </w:r>
      <w:proofErr w:type="spellEnd"/>
      <w:r>
        <w:rPr>
          <w:i/>
        </w:rPr>
        <w:t xml:space="preserve"> Photo </w:t>
      </w:r>
      <w:proofErr w:type="spellStart"/>
      <w:r>
        <w:rPr>
          <w:i/>
        </w:rPr>
        <w:t>Group</w:t>
      </w:r>
      <w:proofErr w:type="spellEnd"/>
      <w:r>
        <w:rPr>
          <w:i/>
        </w:rPr>
        <w:t xml:space="preserve"> NV przeciwko </w:t>
      </w:r>
      <w:proofErr w:type="spellStart"/>
      <w:r>
        <w:rPr>
          <w:i/>
        </w:rPr>
        <w:t>Commissie</w:t>
      </w:r>
      <w:proofErr w:type="spellEnd"/>
      <w:r>
        <w:rPr>
          <w:i/>
        </w:rPr>
        <w:t xml:space="preserve"> </w:t>
      </w:r>
      <w:proofErr w:type="spellStart"/>
      <w:r>
        <w:rPr>
          <w:i/>
        </w:rPr>
        <w:t>voor</w:t>
      </w:r>
      <w:proofErr w:type="spellEnd"/>
      <w:r>
        <w:rPr>
          <w:i/>
        </w:rPr>
        <w:t xml:space="preserve"> het Bank, </w:t>
      </w:r>
      <w:proofErr w:type="spellStart"/>
      <w:r>
        <w:rPr>
          <w:i/>
        </w:rPr>
        <w:t>Financie</w:t>
      </w:r>
      <w:proofErr w:type="spellEnd"/>
      <w:r>
        <w:rPr>
          <w:i/>
        </w:rPr>
        <w:t xml:space="preserve">-en </w:t>
      </w:r>
      <w:proofErr w:type="spellStart"/>
      <w:r>
        <w:rPr>
          <w:i/>
        </w:rPr>
        <w:t>Assurantiewezen</w:t>
      </w:r>
      <w:proofErr w:type="spellEnd"/>
      <w:r>
        <w:t>, C-45/08, 23 grudnia 2009</w:t>
      </w:r>
      <w:r w:rsidR="007E48CB">
        <w:t xml:space="preserve"> roku</w:t>
      </w:r>
      <w:r>
        <w:t xml:space="preserve">), </w:t>
      </w:r>
      <w:r w:rsidR="0007121C">
        <w:t xml:space="preserve">Europejski </w:t>
      </w:r>
      <w:r>
        <w:t xml:space="preserve">Trybunał Sprawiedliwości </w:t>
      </w:r>
      <w:r w:rsidR="0007121C">
        <w:t xml:space="preserve">(ETS) </w:t>
      </w:r>
      <w:r w:rsidR="00C14B97">
        <w:lastRenderedPageBreak/>
        <w:t>zaakceptował</w:t>
      </w:r>
      <w:r>
        <w:t xml:space="preserve"> współistnienie w tym sektorze sankcji administracyjnych i karnych.</w:t>
      </w:r>
    </w:p>
    <w:p w14:paraId="4959310F" w14:textId="77777777" w:rsidR="000D5DD6" w:rsidRPr="00110749" w:rsidRDefault="000D5DD6" w:rsidP="000D5DD6">
      <w:pPr>
        <w:pStyle w:val="ECHRHeading5"/>
      </w:pPr>
      <w:r>
        <w:t>ii.  Skarżący</w:t>
      </w:r>
    </w:p>
    <w:bookmarkStart w:id="29" w:name="arretFransson"/>
    <w:p w14:paraId="7DBBECE1" w14:textId="1C75CC72"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92</w:t>
      </w:r>
      <w:r w:rsidRPr="00110749">
        <w:fldChar w:fldCharType="end"/>
      </w:r>
      <w:bookmarkEnd w:id="29"/>
      <w:r w:rsidR="00874EA3">
        <w:t>. </w:t>
      </w:r>
      <w:r>
        <w:t xml:space="preserve">Skarżący uznali, że pomimo iż są one uznawane za „administracyjne” w prawie krajowym, sankcje nałożone przez CONSOB należy uznać za „karne” w </w:t>
      </w:r>
      <w:r w:rsidR="00C14B97">
        <w:t>świetle autonomicznego znaczenia</w:t>
      </w:r>
      <w:r>
        <w:t xml:space="preserve"> tego pojęcia w orzecznictwie Trybunału. Wyrok  </w:t>
      </w:r>
      <w:r w:rsidR="0007121C">
        <w:t xml:space="preserve">ETS </w:t>
      </w:r>
      <w:r>
        <w:t xml:space="preserve">w sprawie </w:t>
      </w:r>
      <w:proofErr w:type="spellStart"/>
      <w:r>
        <w:rPr>
          <w:i/>
        </w:rPr>
        <w:t>Spector</w:t>
      </w:r>
      <w:proofErr w:type="spellEnd"/>
      <w:r>
        <w:rPr>
          <w:i/>
        </w:rPr>
        <w:t xml:space="preserve"> Photo </w:t>
      </w:r>
      <w:proofErr w:type="spellStart"/>
      <w:r>
        <w:rPr>
          <w:i/>
        </w:rPr>
        <w:t>Group</w:t>
      </w:r>
      <w:proofErr w:type="spellEnd"/>
      <w:r>
        <w:t xml:space="preserve">, cytowany przez Rząd, nie przyjął przeciwnego kierunku, </w:t>
      </w:r>
      <w:r w:rsidR="00C14B97">
        <w:t>a stwierdzał</w:t>
      </w:r>
      <w:r>
        <w:t xml:space="preserve"> jedynie, że jeżeli </w:t>
      </w:r>
      <w:r w:rsidR="00A8717F">
        <w:t>państwo c</w:t>
      </w:r>
      <w:r>
        <w:t>złonkowskie wprowadziło możliwość karnej sankcji o charakterze finansowym, nie było konieczności, w celu oceny, czy sankcja administracyjna była skuteczna, proporcjonaln</w:t>
      </w:r>
      <w:r w:rsidR="00A8717F">
        <w:t xml:space="preserve">a i </w:t>
      </w:r>
      <w:r w:rsidR="00C14B97">
        <w:t>odstraszająca</w:t>
      </w:r>
      <w:r w:rsidR="00A8717F">
        <w:t>, uwzględnienia</w:t>
      </w:r>
      <w:r>
        <w:t xml:space="preserve"> poziomu tej sankcji. Ponadto, </w:t>
      </w:r>
      <w:r w:rsidRPr="0037116E">
        <w:t>w wyroku</w:t>
      </w:r>
      <w:r>
        <w:t xml:space="preserve"> z 26 lutego 2013</w:t>
      </w:r>
      <w:r w:rsidR="007E48CB">
        <w:t xml:space="preserve"> roku</w:t>
      </w:r>
      <w:r>
        <w:t xml:space="preserve"> w sprawie C-617/10 (</w:t>
      </w:r>
      <w:proofErr w:type="spellStart"/>
      <w:r>
        <w:rPr>
          <w:i/>
        </w:rPr>
        <w:t>Åklagaren</w:t>
      </w:r>
      <w:proofErr w:type="spellEnd"/>
      <w:r>
        <w:rPr>
          <w:i/>
        </w:rPr>
        <w:t xml:space="preserve"> przeciwko Hans </w:t>
      </w:r>
      <w:proofErr w:type="spellStart"/>
      <w:r>
        <w:rPr>
          <w:i/>
        </w:rPr>
        <w:t>Åkerberg</w:t>
      </w:r>
      <w:proofErr w:type="spellEnd"/>
      <w:r>
        <w:rPr>
          <w:i/>
        </w:rPr>
        <w:t xml:space="preserve"> </w:t>
      </w:r>
      <w:proofErr w:type="spellStart"/>
      <w:r>
        <w:rPr>
          <w:i/>
        </w:rPr>
        <w:t>Fransson</w:t>
      </w:r>
      <w:proofErr w:type="spellEnd"/>
      <w:r w:rsidR="0037116E">
        <w:t>)</w:t>
      </w:r>
      <w:r>
        <w:t xml:space="preserve"> </w:t>
      </w:r>
      <w:r w:rsidR="0007121C">
        <w:t xml:space="preserve">ETS </w:t>
      </w:r>
      <w:r>
        <w:t>potwierdził następujące zasady: (a) stosowanie prawa Unii Europejskiej pociąga za so</w:t>
      </w:r>
      <w:r w:rsidR="00A531B8">
        <w:t>bą stosowanie praw</w:t>
      </w:r>
      <w:r>
        <w:t xml:space="preserve"> </w:t>
      </w:r>
      <w:r w:rsidR="00C14B97">
        <w:t xml:space="preserve">podstawowych </w:t>
      </w:r>
      <w:r>
        <w:t>gwarantowanych przez Kartę</w:t>
      </w:r>
      <w:r w:rsidR="00C14B97">
        <w:t xml:space="preserve"> [Praw Podstawowych Unii Europejskiej – przyp. </w:t>
      </w:r>
      <w:r w:rsidR="0037116E">
        <w:t>t</w:t>
      </w:r>
      <w:r w:rsidR="00C14B97">
        <w:t>łumacza]</w:t>
      </w:r>
      <w:r>
        <w:t xml:space="preserve">; (b) artykuł 50 Karty (gwarantujący stosowanie zasady </w:t>
      </w:r>
      <w:proofErr w:type="spellStart"/>
      <w:r>
        <w:rPr>
          <w:i/>
        </w:rPr>
        <w:t>ne</w:t>
      </w:r>
      <w:proofErr w:type="spellEnd"/>
      <w:r>
        <w:rPr>
          <w:i/>
        </w:rPr>
        <w:t xml:space="preserve"> bis in </w:t>
      </w:r>
      <w:proofErr w:type="spellStart"/>
      <w:r>
        <w:rPr>
          <w:i/>
        </w:rPr>
        <w:t>idem</w:t>
      </w:r>
      <w:proofErr w:type="spellEnd"/>
      <w:r>
        <w:t xml:space="preserve">) zakłada, że środki podjęte przeciwko pozwanemu mają charakter karny; (c) </w:t>
      </w:r>
      <w:r w:rsidR="00F2617B">
        <w:t>w celu oceny</w:t>
      </w:r>
      <w:r>
        <w:t xml:space="preserve">, czy kary podatkowe mają charakter </w:t>
      </w:r>
      <w:r w:rsidR="00F2617B">
        <w:t>kar</w:t>
      </w:r>
      <w:r>
        <w:t>ny, niezbędna jest analiza klasyfikacji prawnej przestępstwa</w:t>
      </w:r>
      <w:r w:rsidR="0031267D">
        <w:t xml:space="preserve"> </w:t>
      </w:r>
      <w:r>
        <w:t>w prawie krajowym, charakteru samego przestępstwa, a także stopnia surowości kary, jaką dana osoba ma ponieść.</w:t>
      </w:r>
    </w:p>
    <w:p w14:paraId="2D7B6B2D" w14:textId="30A4C735" w:rsidR="000D5DD6" w:rsidRPr="00110749" w:rsidRDefault="00346F6F" w:rsidP="000D5DD6">
      <w:pPr>
        <w:pStyle w:val="ECHRPara"/>
      </w:pPr>
      <w:fldSimple w:instr=" SEQ level0 \*arabic ">
        <w:r w:rsidR="00AB4482">
          <w:rPr>
            <w:noProof/>
          </w:rPr>
          <w:t>93</w:t>
        </w:r>
      </w:fldSimple>
      <w:r w:rsidR="00F2617B">
        <w:t>. </w:t>
      </w:r>
      <w:r w:rsidR="000D5DD6">
        <w:t>W obecnej sprawie, powaga sankcji była oczywista, gdyż maksymalna kwota, jaką można było nałożyć</w:t>
      </w:r>
      <w:r w:rsidR="0031267D">
        <w:t>,</w:t>
      </w:r>
      <w:r w:rsidR="000D5DD6">
        <w:t xml:space="preserve"> wynosiła 5.000.000 EUR. Ta główna sankcja była uzupełniona drugorzędnymi karami, takimi jak tymczasowa utrata uprawnień (do trzech lat) do pełnienia funkcji administracyjnej, zarządzającej lub nadzorującej w spółkach</w:t>
      </w:r>
      <w:r w:rsidR="0031267D" w:rsidRPr="0031267D">
        <w:t xml:space="preserve"> </w:t>
      </w:r>
      <w:r w:rsidR="0031267D">
        <w:t>notowanych na giełdzie</w:t>
      </w:r>
      <w:r w:rsidR="000D5DD6">
        <w:t>, tymczasowe zawieszenie (na okres do trzech lat) w pełnieniu funkcji w organach zawodowych, a także konfiskata wpływów z pełnionego urzędu oraz aktywów wykorzystywanych do popełnienia przestępstwa. Od</w:t>
      </w:r>
      <w:r w:rsidR="00EC272D">
        <w:t>wołując</w:t>
      </w:r>
      <w:r w:rsidR="000D5DD6">
        <w:t xml:space="preserve"> się do orzecznictwa Trybunału w tym zakresie (w szczególności do sprawy </w:t>
      </w:r>
      <w:proofErr w:type="spellStart"/>
      <w:r w:rsidR="000D5DD6" w:rsidRPr="00EC272D">
        <w:rPr>
          <w:i/>
        </w:rPr>
        <w:t>Dubus</w:t>
      </w:r>
      <w:proofErr w:type="spellEnd"/>
      <w:r w:rsidR="000D5DD6" w:rsidRPr="00EC272D">
        <w:rPr>
          <w:i/>
        </w:rPr>
        <w:t> S.A. przeciwko Francji</w:t>
      </w:r>
      <w:r w:rsidR="000D5DD6">
        <w:t>, nr 5242/04, 11 czerwca 2009</w:t>
      </w:r>
      <w:r w:rsidR="007E48CB">
        <w:t xml:space="preserve"> roku</w:t>
      </w:r>
      <w:r w:rsidR="000D5DD6">
        <w:t xml:space="preserve">; </w:t>
      </w:r>
      <w:proofErr w:type="spellStart"/>
      <w:r w:rsidR="000D5DD6" w:rsidRPr="00F2617B">
        <w:rPr>
          <w:i/>
        </w:rPr>
        <w:t>Messier</w:t>
      </w:r>
      <w:proofErr w:type="spellEnd"/>
      <w:r w:rsidR="000D5DD6" w:rsidRPr="00F2617B">
        <w:rPr>
          <w:i/>
        </w:rPr>
        <w:t xml:space="preserve"> przeciwko Francji</w:t>
      </w:r>
      <w:r w:rsidR="000D5DD6">
        <w:t>, nr 25041/07, 30 czerwca 2001</w:t>
      </w:r>
      <w:r w:rsidR="007E48CB">
        <w:t xml:space="preserve"> roku</w:t>
      </w:r>
      <w:r w:rsidR="000D5DD6">
        <w:t xml:space="preserve">; a także </w:t>
      </w:r>
      <w:proofErr w:type="spellStart"/>
      <w:r w:rsidR="000D5DD6" w:rsidRPr="00F2617B">
        <w:rPr>
          <w:i/>
        </w:rPr>
        <w:t>Menarini</w:t>
      </w:r>
      <w:proofErr w:type="spellEnd"/>
      <w:r w:rsidR="000D5DD6" w:rsidRPr="00F2617B">
        <w:rPr>
          <w:i/>
        </w:rPr>
        <w:t xml:space="preserve"> Diagnostics </w:t>
      </w:r>
      <w:proofErr w:type="spellStart"/>
      <w:r w:rsidR="000D5DD6" w:rsidRPr="00F2617B">
        <w:rPr>
          <w:i/>
        </w:rPr>
        <w:t>S.r.l</w:t>
      </w:r>
      <w:proofErr w:type="spellEnd"/>
      <w:r w:rsidR="000D5DD6" w:rsidRPr="00F2617B">
        <w:rPr>
          <w:i/>
        </w:rPr>
        <w:t>. przeciwko Włochom</w:t>
      </w:r>
      <w:r w:rsidR="000D5DD6">
        <w:t>, nr 43509/08, 27 września 2011</w:t>
      </w:r>
      <w:r w:rsidR="007E48CB">
        <w:t xml:space="preserve"> roku</w:t>
      </w:r>
      <w:r w:rsidR="000D5DD6">
        <w:t xml:space="preserve">), skarżący doszli do wniosku, że artykuł 6 miał zastosowanie </w:t>
      </w:r>
      <w:r w:rsidR="00EC272D">
        <w:t xml:space="preserve">w </w:t>
      </w:r>
      <w:r w:rsidR="0037116E">
        <w:t>jego</w:t>
      </w:r>
      <w:r w:rsidR="00EC272D">
        <w:t xml:space="preserve"> aspekcie karnym</w:t>
      </w:r>
      <w:r w:rsidR="000D5DD6">
        <w:t>.</w:t>
      </w:r>
    </w:p>
    <w:p w14:paraId="72CB6580" w14:textId="77777777" w:rsidR="00AB4482" w:rsidRDefault="000D5DD6" w:rsidP="000D5DD6">
      <w:pPr>
        <w:pStyle w:val="ECHRHeading4"/>
      </w:pPr>
      <w:r>
        <w:t>(b)  Ocena Trybunału</w:t>
      </w:r>
    </w:p>
    <w:p w14:paraId="0001DCA2" w14:textId="6A4FAC59" w:rsidR="000D5DD6" w:rsidRPr="00110749" w:rsidRDefault="00346F6F" w:rsidP="000D5DD6">
      <w:pPr>
        <w:pStyle w:val="ECHRPara"/>
      </w:pPr>
      <w:fldSimple w:instr=" SEQ level0 \*arabic ">
        <w:r w:rsidR="00AB4482">
          <w:rPr>
            <w:noProof/>
          </w:rPr>
          <w:t>94</w:t>
        </w:r>
      </w:fldSimple>
      <w:r w:rsidR="000D5DD6">
        <w:t>.</w:t>
      </w:r>
      <w:bookmarkStart w:id="30" w:name="jurisprudence"/>
      <w:bookmarkEnd w:id="30"/>
      <w:r w:rsidR="00F2617B">
        <w:t> </w:t>
      </w:r>
      <w:r w:rsidR="000D5DD6">
        <w:t xml:space="preserve">Trybunał </w:t>
      </w:r>
      <w:r w:rsidR="00317BF0">
        <w:t>przypomina swoje ugruntowane orzecznictwo</w:t>
      </w:r>
      <w:r w:rsidR="000D5DD6">
        <w:t>, zgodnie z którym, w celu ustalenia istnienia „</w:t>
      </w:r>
      <w:r w:rsidR="00317BF0">
        <w:t>oskarżenia w sprawie karnej</w:t>
      </w:r>
      <w:r w:rsidR="000D5DD6">
        <w:t>”, niezbędne jest uwzględnienie trzech czynników: klasyfikacji prawnej danego środka w prawie krajowym, samego charakte</w:t>
      </w:r>
      <w:r w:rsidR="00F33B0E">
        <w:t>ru środka, a także charakteru i</w:t>
      </w:r>
      <w:r w:rsidR="000D5DD6">
        <w:t xml:space="preserve"> </w:t>
      </w:r>
      <w:r w:rsidR="0065752F">
        <w:t>surowości</w:t>
      </w:r>
      <w:r w:rsidR="000D5DD6">
        <w:t xml:space="preserve"> „kary” (zobacz </w:t>
      </w:r>
      <w:proofErr w:type="spellStart"/>
      <w:r w:rsidR="000D5DD6">
        <w:rPr>
          <w:i/>
        </w:rPr>
        <w:t>Engel</w:t>
      </w:r>
      <w:proofErr w:type="spellEnd"/>
      <w:r w:rsidR="000D5DD6">
        <w:rPr>
          <w:i/>
        </w:rPr>
        <w:t xml:space="preserve"> i inni przeciwko Holandii</w:t>
      </w:r>
      <w:r w:rsidR="006E51A5">
        <w:t xml:space="preserve">, 8 czerwca 1976, </w:t>
      </w:r>
      <w:r w:rsidR="007E48CB">
        <w:rPr>
          <w:rFonts w:cstheme="minorHAnsi"/>
        </w:rPr>
        <w:t>§</w:t>
      </w:r>
      <w:r w:rsidR="000D5DD6">
        <w:t> 82, Seria A nr</w:t>
      </w:r>
      <w:r w:rsidR="000D5DD6">
        <w:rPr>
          <w:vertAlign w:val="superscript"/>
        </w:rPr>
        <w:t> </w:t>
      </w:r>
      <w:r w:rsidR="000D5DD6">
        <w:t xml:space="preserve">22). Ponadto, kryteria te są alternatywne, a nie kumulacyjne: aby artykuł </w:t>
      </w:r>
      <w:r w:rsidR="000D5DD6">
        <w:lastRenderedPageBreak/>
        <w:t>6 mógł mieć zastosowanie do słów „</w:t>
      </w:r>
      <w:r w:rsidR="00317BF0">
        <w:t>oskarżenia w sprawie karnej</w:t>
      </w:r>
      <w:r w:rsidR="000D5DD6">
        <w:t xml:space="preserve">”, wystarczy, by dane przestępstwo miało ze swojej natury charakter „karny” z punktu widzenia Konwencji lub sprawiało, że dana osoba podlega sankcji, która, ze względu na jej charakter i stopień surowości, należy ogólnie do sfery „karnej”. Nie wyłącza to, jednakże, kumulacyjnego podejścia </w:t>
      </w:r>
      <w:r w:rsidR="0037116E">
        <w:t>w przypadku, gdy</w:t>
      </w:r>
      <w:r w:rsidR="000D5DD6">
        <w:t xml:space="preserve"> osobna analiza każdego z kryteriów nie umożliwia wyciągnięcia jasnego wniosku co do faktu istnienia „</w:t>
      </w:r>
      <w:r w:rsidR="00317BF0">
        <w:t>oskarżenia w sprawie karnej</w:t>
      </w:r>
      <w:r w:rsidR="000D5DD6">
        <w:t>” (</w:t>
      </w:r>
      <w:bookmarkStart w:id="31" w:name="HIT1"/>
      <w:bookmarkEnd w:id="31"/>
      <w:r w:rsidR="000D5DD6">
        <w:t xml:space="preserve">zobacz </w:t>
      </w:r>
      <w:proofErr w:type="spellStart"/>
      <w:r w:rsidR="000D5DD6">
        <w:rPr>
          <w:i/>
        </w:rPr>
        <w:t>Jussila</w:t>
      </w:r>
      <w:proofErr w:type="spellEnd"/>
      <w:r w:rsidR="000D5DD6">
        <w:rPr>
          <w:i/>
        </w:rPr>
        <w:t xml:space="preserve"> przeciwko Finlandii</w:t>
      </w:r>
      <w:r w:rsidR="006E51A5">
        <w:t> </w:t>
      </w:r>
      <w:r w:rsidR="00347306">
        <w:t>[Wielka Izba]</w:t>
      </w:r>
      <w:r w:rsidR="006E51A5">
        <w:t xml:space="preserve">, nr 73053/01, </w:t>
      </w:r>
      <w:r w:rsidR="007E48CB">
        <w:t>§§</w:t>
      </w:r>
      <w:r w:rsidR="000D5DD6">
        <w:t xml:space="preserve"> 30 i 31, ECHR 2006-XIII, oraz </w:t>
      </w:r>
      <w:proofErr w:type="spellStart"/>
      <w:r w:rsidR="000D5DD6">
        <w:rPr>
          <w:i/>
        </w:rPr>
        <w:t>Zaicevs</w:t>
      </w:r>
      <w:proofErr w:type="spellEnd"/>
      <w:r w:rsidR="000D5DD6">
        <w:rPr>
          <w:i/>
        </w:rPr>
        <w:t xml:space="preserve"> przeciwko Łotwie</w:t>
      </w:r>
      <w:r w:rsidR="006E51A5">
        <w:t xml:space="preserve">, nr 65022/01, </w:t>
      </w:r>
      <w:r w:rsidR="007E48CB">
        <w:t>§</w:t>
      </w:r>
      <w:r w:rsidR="000D5DD6">
        <w:t xml:space="preserve"> 31, ECHR 2007-IX (wyciąg)).</w:t>
      </w:r>
    </w:p>
    <w:p w14:paraId="6279F383" w14:textId="1412B3C5" w:rsidR="000D5DD6" w:rsidRPr="00110749" w:rsidRDefault="00346F6F" w:rsidP="000D5DD6">
      <w:pPr>
        <w:pStyle w:val="ECHRPara"/>
      </w:pPr>
      <w:fldSimple w:instr=" SEQ level0 \*arabic ">
        <w:r w:rsidR="00AB4482">
          <w:rPr>
            <w:noProof/>
          </w:rPr>
          <w:t>95</w:t>
        </w:r>
      </w:fldSimple>
      <w:r w:rsidR="006D11EA">
        <w:t>. </w:t>
      </w:r>
      <w:r w:rsidR="000D5DD6">
        <w:t>W niniejszej sprawie, Trybunał w pierwszej kolejności zauważ</w:t>
      </w:r>
      <w:r w:rsidR="00317BF0">
        <w:t>a</w:t>
      </w:r>
      <w:r w:rsidR="000D5DD6">
        <w:t xml:space="preserve">, że manipulacje rynkowe zarzucane skarżącym nie stanowiły przestępstwa </w:t>
      </w:r>
      <w:r w:rsidR="006D11EA">
        <w:t xml:space="preserve">karnego </w:t>
      </w:r>
      <w:r w:rsidR="000D5DD6">
        <w:t xml:space="preserve">zgodnie z prawem włoskim. W konsekwencji, </w:t>
      </w:r>
      <w:r w:rsidR="002430EA">
        <w:t>zachowanie</w:t>
      </w:r>
      <w:r w:rsidR="000D5DD6">
        <w:t xml:space="preserve"> takie podlega karze klasyfikowanej jako kara „administracyjna” zgodnie z artykułem 187 </w:t>
      </w:r>
      <w:r w:rsidR="000D5DD6">
        <w:rPr>
          <w:i/>
        </w:rPr>
        <w:t xml:space="preserve">ter </w:t>
      </w:r>
      <w:r w:rsidR="000D5DD6">
        <w:t>§ 1 Dekretu Legislacyjnego nr 58 z 1998</w:t>
      </w:r>
      <w:r w:rsidR="007E48CB">
        <w:t xml:space="preserve"> roku</w:t>
      </w:r>
      <w:r w:rsidR="000D5DD6">
        <w:t xml:space="preserve"> (zobacz punkt </w:t>
      </w:r>
      <w:r w:rsidR="000D5DD6" w:rsidRPr="00110749">
        <w:fldChar w:fldCharType="begin"/>
      </w:r>
      <w:r w:rsidR="000D5DD6" w:rsidRPr="00110749">
        <w:instrText xml:space="preserve"> REF art187ter \h </w:instrText>
      </w:r>
      <w:r w:rsidR="000D5DD6" w:rsidRPr="00110749">
        <w:fldChar w:fldCharType="separate"/>
      </w:r>
      <w:r w:rsidR="00AB4482">
        <w:rPr>
          <w:noProof/>
        </w:rPr>
        <w:t>20</w:t>
      </w:r>
      <w:r w:rsidR="000D5DD6" w:rsidRPr="00110749">
        <w:fldChar w:fldCharType="end"/>
      </w:r>
      <w:r w:rsidR="000D5DD6">
        <w:t xml:space="preserve"> powyżej). Nie miało to jednak decydującego znaczenia dla celów stosowania artykułu 6 w </w:t>
      </w:r>
      <w:r w:rsidR="00317BF0">
        <w:t xml:space="preserve">jego </w:t>
      </w:r>
      <w:r w:rsidR="000D5DD6">
        <w:t xml:space="preserve">aspekcie karnym, gdyż wskazówki udzielone przez prawo krajowe mają jedynie wartość względną (zobacz </w:t>
      </w:r>
      <w:proofErr w:type="spellStart"/>
      <w:r w:rsidR="000D5DD6">
        <w:rPr>
          <w:i/>
        </w:rPr>
        <w:t>Öztürk</w:t>
      </w:r>
      <w:proofErr w:type="spellEnd"/>
      <w:r w:rsidR="000D5DD6">
        <w:rPr>
          <w:i/>
        </w:rPr>
        <w:t xml:space="preserve"> przeciwko Niemcom</w:t>
      </w:r>
      <w:r w:rsidR="006E51A5">
        <w:t xml:space="preserve">, 21 lutego 1984, </w:t>
      </w:r>
      <w:r w:rsidR="007E48CB">
        <w:t>§</w:t>
      </w:r>
      <w:r w:rsidR="000D5DD6">
        <w:t xml:space="preserve"> 52, Seria A nr 73, oraz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6E51A5">
        <w:t xml:space="preserve">, cytowany wyżej, </w:t>
      </w:r>
      <w:r w:rsidR="007E48CB">
        <w:t>§</w:t>
      </w:r>
      <w:r w:rsidR="000D5DD6">
        <w:t xml:space="preserve"> 39).</w:t>
      </w:r>
    </w:p>
    <w:p w14:paraId="7B7FDF6D" w14:textId="68A6A402" w:rsidR="00AB4482" w:rsidRDefault="00346F6F" w:rsidP="000D5DD6">
      <w:pPr>
        <w:pStyle w:val="ECHRPara"/>
      </w:pPr>
      <w:fldSimple w:instr=" SEQ level0 \*arabic ">
        <w:r w:rsidR="00AB4482">
          <w:rPr>
            <w:noProof/>
          </w:rPr>
          <w:t>96</w:t>
        </w:r>
      </w:fldSimple>
      <w:r w:rsidR="006D11EA">
        <w:t>. </w:t>
      </w:r>
      <w:r w:rsidR="000D5DD6">
        <w:t>Jeżeli chodzi o charakter przestępstwa, wydaje się, że przepisy, których złamanie zarzuca się skarżącym, miały na celu zagwarantowanie integralności rynków finansowych oraz utrzymanie zaufania publicznego do bezpieczeństwa transakcji. Trybunał powt</w:t>
      </w:r>
      <w:r w:rsidR="00317BF0">
        <w:t>arza</w:t>
      </w:r>
      <w:r w:rsidR="000D5DD6">
        <w:t xml:space="preserve">, że CONSOB, niezależny organ administracyjny, ma za zadanie ochronę inwestorów i zapewnienie skuteczności, przejrzystości i rozwoju rynków giełdowych (zobacz punkt </w:t>
      </w:r>
      <w:r w:rsidR="000D5DD6" w:rsidRPr="00110749">
        <w:fldChar w:fldCharType="begin"/>
      </w:r>
      <w:r w:rsidR="000D5DD6" w:rsidRPr="00110749">
        <w:instrText xml:space="preserve"> REF fonctonsCONSOB \h </w:instrText>
      </w:r>
      <w:r w:rsidR="000D5DD6" w:rsidRPr="00110749">
        <w:fldChar w:fldCharType="separate"/>
      </w:r>
      <w:r w:rsidR="00AB4482">
        <w:rPr>
          <w:noProof/>
        </w:rPr>
        <w:t>9</w:t>
      </w:r>
      <w:r w:rsidR="000D5DD6" w:rsidRPr="00110749">
        <w:fldChar w:fldCharType="end"/>
      </w:r>
      <w:r w:rsidR="000D5DD6">
        <w:t xml:space="preserve"> powyżej). Są to ogólne interesy społeczne, zwykle chronione na mocy prawa karnego (zobacz, </w:t>
      </w:r>
      <w:r w:rsidR="000D5DD6">
        <w:rPr>
          <w:i/>
        </w:rPr>
        <w:t>mutatis mutandis</w:t>
      </w:r>
      <w:r w:rsidR="000D5DD6">
        <w:t>,</w:t>
      </w:r>
      <w:r w:rsidR="000D5DD6">
        <w:rPr>
          <w:i/>
        </w:rPr>
        <w:t xml:space="preserve">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6E51A5">
        <w:t xml:space="preserve">, </w:t>
      </w:r>
      <w:r w:rsidR="00A63E4A" w:rsidRPr="00A63E4A">
        <w:rPr>
          <w:i/>
        </w:rPr>
        <w:t>op. cit.</w:t>
      </w:r>
      <w:r w:rsidR="006E51A5">
        <w:t xml:space="preserve">, </w:t>
      </w:r>
      <w:r w:rsidR="007E48CB">
        <w:t>§</w:t>
      </w:r>
      <w:r w:rsidR="000D5DD6">
        <w:t xml:space="preserve"> 40; zobacz również </w:t>
      </w:r>
      <w:proofErr w:type="spellStart"/>
      <w:r w:rsidR="000D5DD6">
        <w:rPr>
          <w:i/>
        </w:rPr>
        <w:t>Société</w:t>
      </w:r>
      <w:proofErr w:type="spellEnd"/>
      <w:r w:rsidR="000D5DD6">
        <w:rPr>
          <w:i/>
        </w:rPr>
        <w:t xml:space="preserve"> </w:t>
      </w:r>
      <w:proofErr w:type="spellStart"/>
      <w:r w:rsidR="000D5DD6">
        <w:rPr>
          <w:i/>
        </w:rPr>
        <w:t>Stenuit</w:t>
      </w:r>
      <w:proofErr w:type="spellEnd"/>
      <w:r w:rsidR="000D5DD6">
        <w:rPr>
          <w:i/>
        </w:rPr>
        <w:t xml:space="preserve"> przeciwko Francji</w:t>
      </w:r>
      <w:r w:rsidR="000D5DD6">
        <w:t xml:space="preserve">, raport Europejskiej Komisji Praw Człowieka, </w:t>
      </w:r>
      <w:r w:rsidR="006E51A5">
        <w:rPr>
          <w:color w:val="000000"/>
        </w:rPr>
        <w:t xml:space="preserve">30 maja 1991, </w:t>
      </w:r>
      <w:r w:rsidR="007E48CB">
        <w:rPr>
          <w:color w:val="000000"/>
        </w:rPr>
        <w:t>§</w:t>
      </w:r>
      <w:r w:rsidR="000D5DD6">
        <w:rPr>
          <w:color w:val="000000"/>
        </w:rPr>
        <w:t xml:space="preserve"> 62, </w:t>
      </w:r>
      <w:r w:rsidR="000D5DD6">
        <w:t>Seria A nr 232</w:t>
      </w:r>
      <w:r w:rsidR="000D5DD6">
        <w:noBreakHyphen/>
        <w:t xml:space="preserve">A). Ponadto, Trybunał uważa, że nałożone grzywny miały co do zasady za zadanie ukarać w celu zniechęcenia do ponownego popełnienia przestępstwa. Były zatem oparte o zasady, których zadaniem było odstraszenie, a mianowicie zniechęcenie skarżących do ponownego podejmowania danych działań, a także ukaranie, gdyż karały niezgodne z prawem </w:t>
      </w:r>
      <w:r w:rsidR="002430EA">
        <w:t xml:space="preserve">zachowanie </w:t>
      </w:r>
      <w:r w:rsidR="000D5DD6">
        <w:t xml:space="preserve">(zobacz, </w:t>
      </w:r>
      <w:r w:rsidR="000D5DD6">
        <w:rPr>
          <w:i/>
        </w:rPr>
        <w:t>mutatis mutandis</w:t>
      </w:r>
      <w:r w:rsidR="000D5DD6">
        <w:t xml:space="preserve">, </w:t>
      </w:r>
      <w:proofErr w:type="spellStart"/>
      <w:r w:rsidR="000D5DD6">
        <w:rPr>
          <w:i/>
        </w:rPr>
        <w:t>Jussila</w:t>
      </w:r>
      <w:proofErr w:type="spellEnd"/>
      <w:r w:rsidR="000D5DD6">
        <w:t xml:space="preserve">, </w:t>
      </w:r>
      <w:r w:rsidR="00A63E4A" w:rsidRPr="00A63E4A">
        <w:rPr>
          <w:i/>
        </w:rPr>
        <w:t>op. cit.</w:t>
      </w:r>
      <w:r w:rsidR="006E51A5">
        <w:t xml:space="preserve">, </w:t>
      </w:r>
      <w:r w:rsidR="007E48CB">
        <w:t>§</w:t>
      </w:r>
      <w:r w:rsidR="000D5DD6">
        <w:t xml:space="preserve"> 38). A zatem, </w:t>
      </w:r>
      <w:r w:rsidR="00B71A79">
        <w:t xml:space="preserve">ich celem nie było </w:t>
      </w:r>
      <w:r w:rsidR="000D5DD6">
        <w:t xml:space="preserve">wyłącznie, </w:t>
      </w:r>
      <w:r w:rsidR="00B71A79">
        <w:t>jak twierdził Rząd</w:t>
      </w:r>
      <w:r w:rsidR="000D5DD6">
        <w:t xml:space="preserve"> (zobacz punkt </w:t>
      </w:r>
      <w:r w:rsidR="000D5DD6" w:rsidRPr="00110749">
        <w:fldChar w:fldCharType="begin"/>
      </w:r>
      <w:r w:rsidR="000D5DD6" w:rsidRPr="00110749">
        <w:instrText xml:space="preserve"> REF butcompensatoire \h </w:instrText>
      </w:r>
      <w:r w:rsidR="000D5DD6" w:rsidRPr="00110749">
        <w:fldChar w:fldCharType="separate"/>
      </w:r>
      <w:r w:rsidR="00AB4482">
        <w:rPr>
          <w:noProof/>
        </w:rPr>
        <w:t>91</w:t>
      </w:r>
      <w:r w:rsidR="000D5DD6" w:rsidRPr="00110749">
        <w:fldChar w:fldCharType="end"/>
      </w:r>
      <w:r w:rsidR="000D5DD6">
        <w:t xml:space="preserve"> powyżej) naprawieni</w:t>
      </w:r>
      <w:r w:rsidR="005C4338">
        <w:t>e</w:t>
      </w:r>
      <w:r w:rsidR="000D5DD6">
        <w:t xml:space="preserve"> szkód o charakterze finansowym. W tym aspekcie, należy zauważyć, że kary zostały nałożone przez CONSOB na podstawie powagi kwestionowanego zachowania, a nie szkody </w:t>
      </w:r>
      <w:r w:rsidR="00B71A79">
        <w:t>wyrządzonej</w:t>
      </w:r>
      <w:r w:rsidR="000D5DD6">
        <w:t xml:space="preserve"> inwestorom.</w:t>
      </w:r>
    </w:p>
    <w:bookmarkStart w:id="32" w:name="honorabilité2"/>
    <w:p w14:paraId="73AB4371" w14:textId="1FC5692D" w:rsidR="000D5DD6" w:rsidRPr="00110749" w:rsidRDefault="000D5DD6" w:rsidP="000D5DD6">
      <w:pPr>
        <w:ind w:firstLine="284"/>
      </w:pPr>
      <w:r w:rsidRPr="00110749">
        <w:fldChar w:fldCharType="begin"/>
      </w:r>
      <w:r w:rsidRPr="00110749">
        <w:instrText xml:space="preserve"> SEQ level0 \*arabic </w:instrText>
      </w:r>
      <w:r w:rsidRPr="00110749">
        <w:fldChar w:fldCharType="separate"/>
      </w:r>
      <w:r w:rsidR="00AB4482">
        <w:rPr>
          <w:noProof/>
        </w:rPr>
        <w:t>97</w:t>
      </w:r>
      <w:r w:rsidRPr="00110749">
        <w:fldChar w:fldCharType="end"/>
      </w:r>
      <w:bookmarkEnd w:id="32"/>
      <w:r w:rsidR="00937E06">
        <w:t>. </w:t>
      </w:r>
      <w:r>
        <w:t>Jeżeli chodzi o c</w:t>
      </w:r>
      <w:r w:rsidR="0065752F">
        <w:t>harakter i surowość</w:t>
      </w:r>
      <w:r>
        <w:t xml:space="preserve"> kary, która „</w:t>
      </w:r>
      <w:r w:rsidR="0065752F">
        <w:t>mogła zostać nałożona</w:t>
      </w:r>
      <w:r>
        <w:t xml:space="preserve">” na skarżących (zobacz </w:t>
      </w:r>
      <w:proofErr w:type="spellStart"/>
      <w:r>
        <w:rPr>
          <w:i/>
        </w:rPr>
        <w:t>Ezeh</w:t>
      </w:r>
      <w:proofErr w:type="spellEnd"/>
      <w:r>
        <w:rPr>
          <w:i/>
        </w:rPr>
        <w:t xml:space="preserve"> i Connors przeciwko Wielkiej Brytanii</w:t>
      </w:r>
      <w:r w:rsidR="006E51A5">
        <w:t> </w:t>
      </w:r>
      <w:r w:rsidR="00347306">
        <w:t>[Wielka Izba]</w:t>
      </w:r>
      <w:r w:rsidR="006E51A5">
        <w:t xml:space="preserve">, nr 39665/98 i 40086/98, </w:t>
      </w:r>
      <w:r w:rsidR="007E48CB">
        <w:t>§</w:t>
      </w:r>
      <w:r>
        <w:t xml:space="preserve"> 120, ECHR 2003-X), Trybunał, podobnie jak Rząd (zobacz punkt </w:t>
      </w:r>
      <w:r w:rsidRPr="00110749">
        <w:fldChar w:fldCharType="begin"/>
      </w:r>
      <w:r w:rsidRPr="00110749">
        <w:instrText xml:space="preserve"> REF amendesnonconvertibles \h </w:instrText>
      </w:r>
      <w:r w:rsidRPr="00110749">
        <w:fldChar w:fldCharType="separate"/>
      </w:r>
      <w:r w:rsidR="00AB4482">
        <w:rPr>
          <w:noProof/>
        </w:rPr>
        <w:t>90</w:t>
      </w:r>
      <w:r w:rsidRPr="00110749">
        <w:fldChar w:fldCharType="end"/>
      </w:r>
      <w:r>
        <w:t xml:space="preserve"> powyżej), zauważa, że </w:t>
      </w:r>
      <w:r w:rsidR="00A63E4A">
        <w:lastRenderedPageBreak/>
        <w:t>przedmiotowe</w:t>
      </w:r>
      <w:r>
        <w:t xml:space="preserve"> grzywny nie mogą być zastąpione karą pozbawienia wolności</w:t>
      </w:r>
      <w:r w:rsidR="00937E06">
        <w:t xml:space="preserve"> w przypadku braku ich zapłaty </w:t>
      </w:r>
      <w:r>
        <w:t xml:space="preserve">(zobacz, </w:t>
      </w:r>
      <w:r>
        <w:rPr>
          <w:i/>
        </w:rPr>
        <w:t>a contrario</w:t>
      </w:r>
      <w:r>
        <w:t xml:space="preserve">, </w:t>
      </w:r>
      <w:proofErr w:type="spellStart"/>
      <w:r>
        <w:rPr>
          <w:i/>
        </w:rPr>
        <w:t>Anghel</w:t>
      </w:r>
      <w:proofErr w:type="spellEnd"/>
      <w:r>
        <w:rPr>
          <w:i/>
        </w:rPr>
        <w:t xml:space="preserve"> przeciwko Rumunii</w:t>
      </w:r>
      <w:r w:rsidR="006E51A5">
        <w:t xml:space="preserve">, nr 28183/03, </w:t>
      </w:r>
      <w:r w:rsidR="007E48CB">
        <w:t>§</w:t>
      </w:r>
      <w:r w:rsidR="006E51A5">
        <w:t xml:space="preserve"> </w:t>
      </w:r>
      <w:r>
        <w:t>52, 4 października 2007</w:t>
      </w:r>
      <w:r w:rsidR="007E48CB">
        <w:t xml:space="preserve"> roku</w:t>
      </w:r>
      <w:r>
        <w:t>). Jednakże, grzywna, jaką m</w:t>
      </w:r>
      <w:r w:rsidR="00A63E4A">
        <w:t>ogła</w:t>
      </w:r>
      <w:r>
        <w:t xml:space="preserve"> nałożyć CONSOB</w:t>
      </w:r>
      <w:r w:rsidR="00A63E4A">
        <w:t>,</w:t>
      </w:r>
      <w:r>
        <w:t xml:space="preserve"> mogła </w:t>
      </w:r>
      <w:r w:rsidR="00A63E4A">
        <w:t>sięgać</w:t>
      </w:r>
      <w:r>
        <w:t xml:space="preserve"> 5.000.000 EUR (zobacz punkt </w:t>
      </w:r>
      <w:r w:rsidRPr="00110749">
        <w:fldChar w:fldCharType="begin"/>
      </w:r>
      <w:r w:rsidRPr="00110749">
        <w:instrText xml:space="preserve"> REF art187ter \h </w:instrText>
      </w:r>
      <w:r w:rsidRPr="00110749">
        <w:fldChar w:fldCharType="separate"/>
      </w:r>
      <w:r w:rsidR="00AB4482">
        <w:rPr>
          <w:noProof/>
        </w:rPr>
        <w:t>20</w:t>
      </w:r>
      <w:r w:rsidRPr="00110749">
        <w:fldChar w:fldCharType="end"/>
      </w:r>
      <w:r>
        <w:t xml:space="preserve"> powyżej), przy czym ta zwykła kwota </w:t>
      </w:r>
      <w:r w:rsidR="00A63E4A">
        <w:t xml:space="preserve">maksymalna </w:t>
      </w:r>
      <w:r>
        <w:t>mo</w:t>
      </w:r>
      <w:r w:rsidR="00FE0DF8">
        <w:t>gła</w:t>
      </w:r>
      <w:r>
        <w:t xml:space="preserve">, w pewnych okolicznościach, być potrojona bądź nawet podwyższona do dziesięciokrotności wpływów lub zysków uzyskanych w wyniku </w:t>
      </w:r>
      <w:r w:rsidR="00937E06">
        <w:t xml:space="preserve">bezprawnego </w:t>
      </w:r>
      <w:r w:rsidR="00094CB2">
        <w:t>zachowania</w:t>
      </w:r>
      <w:r w:rsidR="00FB61C4">
        <w:t xml:space="preserve"> </w:t>
      </w:r>
      <w:r>
        <w:t xml:space="preserve">(zobacz punkt 53 powyżej). Nałożenie wymienionych wyżej pieniężnych sankcji administracyjnych pociąga za sobą tymczasową utratę dobrego imienia przez przedstawicieli zaangażowanych spółek, a jeżeli spółki te są notowane na giełdzie papierów wartościowych, ich przedstawiciele mogą zostać tymczasowo objęci zakazem administrowania, zarządzania lub nadzorowania </w:t>
      </w:r>
      <w:r w:rsidR="00A63E4A">
        <w:t xml:space="preserve">notowanymi </w:t>
      </w:r>
      <w:r>
        <w:t xml:space="preserve">spółkami na okres czasu od dwóch miesięcy do trzech lat. CONSOB może również zabronić notowanym spółkom, kierownictwu spółek i ich audytorom korzystania z usług świadczonych przez </w:t>
      </w:r>
      <w:r w:rsidR="00A63E4A">
        <w:t>sprawcę</w:t>
      </w:r>
      <w:r>
        <w:t xml:space="preserve"> przez maksymalny okres trzech lat, a także wystąpić do stowarzyszeń </w:t>
      </w:r>
      <w:r w:rsidR="00A63E4A">
        <w:t xml:space="preserve">zawodowych </w:t>
      </w:r>
      <w:r>
        <w:t>o tymczasowe zawieszenie prawa danej osoby do wykonywania jej działalności zawodowej (zobacz punkt 54 powyżej). Wreszcie, nałożenie finansowych sankcji administracyjnych pociąga za sobą konfiskatę wpływów lub zysków z nielegalnej działalności oraz aktywów, które ją umożliwiły (zobacz punkt 56 powyżej).</w:t>
      </w:r>
    </w:p>
    <w:bookmarkStart w:id="33" w:name="honorabilité3"/>
    <w:p w14:paraId="0C474728" w14:textId="0F60C622" w:rsidR="000D5DD6" w:rsidRPr="00110749" w:rsidRDefault="000D5DD6" w:rsidP="000D5DD6">
      <w:pPr>
        <w:ind w:firstLine="284"/>
        <w:rPr>
          <w:highlight w:val="yellow"/>
        </w:rPr>
      </w:pPr>
      <w:r w:rsidRPr="00110749">
        <w:fldChar w:fldCharType="begin"/>
      </w:r>
      <w:r w:rsidRPr="00110749">
        <w:instrText xml:space="preserve"> SEQ level0 \*arabic </w:instrText>
      </w:r>
      <w:r w:rsidRPr="00110749">
        <w:fldChar w:fldCharType="separate"/>
      </w:r>
      <w:r w:rsidR="00AB4482">
        <w:rPr>
          <w:noProof/>
        </w:rPr>
        <w:t>98</w:t>
      </w:r>
      <w:r w:rsidRPr="00110749">
        <w:fldChar w:fldCharType="end"/>
      </w:r>
      <w:bookmarkEnd w:id="33"/>
      <w:r w:rsidR="00937E06">
        <w:t>. </w:t>
      </w:r>
      <w:r>
        <w:t xml:space="preserve">Prawdą jest, że w niniejszej sprawie nie zostały nałożone maksymalne kary, a Sąd Apelacyjny w Turynie obniżył niektóre z kar nałożonych przez CONSOB (zobacz punkt </w:t>
      </w:r>
      <w:r w:rsidRPr="00110749">
        <w:fldChar w:fldCharType="begin"/>
      </w:r>
      <w:r w:rsidRPr="00110749">
        <w:instrText xml:space="preserve"> REF amendesappel \h </w:instrText>
      </w:r>
      <w:r w:rsidRPr="00110749">
        <w:fldChar w:fldCharType="separate"/>
      </w:r>
      <w:r w:rsidR="00AB4482">
        <w:rPr>
          <w:noProof/>
        </w:rPr>
        <w:t>30</w:t>
      </w:r>
      <w:r w:rsidRPr="00110749">
        <w:fldChar w:fldCharType="end"/>
      </w:r>
      <w:r>
        <w:t xml:space="preserve"> powyżej), nie orzeczono </w:t>
      </w:r>
      <w:r w:rsidR="00A63E4A">
        <w:t xml:space="preserve">też </w:t>
      </w:r>
      <w:r>
        <w:t xml:space="preserve">żadnej konfiskaty. Jednakże, karny charakter postępowania zależy od </w:t>
      </w:r>
      <w:r w:rsidR="0065752F">
        <w:t>surowości</w:t>
      </w:r>
      <w:r>
        <w:t xml:space="preserve"> kary, na jaką narażona jest dana osoba </w:t>
      </w:r>
      <w:r>
        <w:rPr>
          <w:i/>
        </w:rPr>
        <w:t>a priori</w:t>
      </w:r>
      <w:r>
        <w:t xml:space="preserve"> (zobacz </w:t>
      </w:r>
      <w:proofErr w:type="spellStart"/>
      <w:r>
        <w:rPr>
          <w:i/>
        </w:rPr>
        <w:t>Engel</w:t>
      </w:r>
      <w:proofErr w:type="spellEnd"/>
      <w:r>
        <w:rPr>
          <w:i/>
        </w:rPr>
        <w:t xml:space="preserve"> i inni</w:t>
      </w:r>
      <w:r>
        <w:t xml:space="preserve">, </w:t>
      </w:r>
      <w:r w:rsidR="00A63E4A" w:rsidRPr="00A63E4A">
        <w:rPr>
          <w:i/>
        </w:rPr>
        <w:t>op. cit.</w:t>
      </w:r>
      <w:r w:rsidR="0072366F">
        <w:t xml:space="preserve">, </w:t>
      </w:r>
      <w:r w:rsidR="007E48CB">
        <w:t>§</w:t>
      </w:r>
      <w:r w:rsidR="00D0776C">
        <w:t xml:space="preserve"> 82), a nie </w:t>
      </w:r>
      <w:r w:rsidR="00A63E4A">
        <w:t xml:space="preserve">od </w:t>
      </w:r>
      <w:r w:rsidR="0065752F">
        <w:t>surowości</w:t>
      </w:r>
      <w:r w:rsidR="00D0776C">
        <w:t xml:space="preserve"> kary</w:t>
      </w:r>
      <w:r>
        <w:t xml:space="preserve"> ostatecznie nałożonej (zobacz </w:t>
      </w:r>
      <w:proofErr w:type="spellStart"/>
      <w:r>
        <w:rPr>
          <w:i/>
        </w:rPr>
        <w:t>Dubus</w:t>
      </w:r>
      <w:proofErr w:type="spellEnd"/>
      <w:r>
        <w:rPr>
          <w:i/>
        </w:rPr>
        <w:t xml:space="preserve"> S.A.</w:t>
      </w:r>
      <w:r w:rsidR="0072366F">
        <w:t xml:space="preserve">, </w:t>
      </w:r>
      <w:r w:rsidR="00A63E4A" w:rsidRPr="00A63E4A">
        <w:rPr>
          <w:i/>
        </w:rPr>
        <w:t>op. cit.</w:t>
      </w:r>
      <w:r w:rsidR="0072366F">
        <w:t xml:space="preserve">, </w:t>
      </w:r>
      <w:r w:rsidR="007E48CB">
        <w:t>§</w:t>
      </w:r>
      <w:r>
        <w:t xml:space="preserve"> 37). Ponadto, w niniejszej sprawie na skarżących nałożone zostały ostatecznie kary w wysokości od 500.000 do </w:t>
      </w:r>
      <w:r w:rsidR="00D0776C">
        <w:t xml:space="preserve">3.000.000 EUR, a Panu </w:t>
      </w:r>
      <w:proofErr w:type="spellStart"/>
      <w:r w:rsidR="00D0776C">
        <w:t>Gabettiemu</w:t>
      </w:r>
      <w:proofErr w:type="spellEnd"/>
      <w:r>
        <w:t xml:space="preserve">, Panu Grande Stevensowi i Panu </w:t>
      </w:r>
      <w:proofErr w:type="spellStart"/>
      <w:r>
        <w:t>Marrone</w:t>
      </w:r>
      <w:proofErr w:type="spellEnd"/>
      <w:r>
        <w:t xml:space="preserve"> zabroniono administrowania, zarządzania lub nadzorowania spółek </w:t>
      </w:r>
      <w:r w:rsidR="00EC272D">
        <w:t xml:space="preserve">notowanych na giełdzie </w:t>
      </w:r>
      <w:r>
        <w:t xml:space="preserve">przez okresy od dwóch do czterech miesięcy (zobacz punkty </w:t>
      </w:r>
      <w:r w:rsidRPr="00110749">
        <w:fldChar w:fldCharType="begin"/>
      </w:r>
      <w:r w:rsidRPr="00110749">
        <w:instrText xml:space="preserve"> REF amendesCONSOB \h </w:instrText>
      </w:r>
      <w:r w:rsidRPr="00110749">
        <w:fldChar w:fldCharType="separate"/>
      </w:r>
      <w:r w:rsidR="00AB4482">
        <w:rPr>
          <w:noProof/>
        </w:rPr>
        <w:t>25</w:t>
      </w:r>
      <w:r w:rsidRPr="00110749">
        <w:fldChar w:fldCharType="end"/>
      </w:r>
      <w:r>
        <w:t>-</w:t>
      </w:r>
      <w:r w:rsidRPr="00110749">
        <w:fldChar w:fldCharType="begin"/>
      </w:r>
      <w:r w:rsidRPr="00110749">
        <w:instrText xml:space="preserve"> REF interdictionsCONSOB \h </w:instrText>
      </w:r>
      <w:r w:rsidRPr="00110749">
        <w:fldChar w:fldCharType="separate"/>
      </w:r>
      <w:r w:rsidR="00AB4482">
        <w:rPr>
          <w:noProof/>
        </w:rPr>
        <w:t>26</w:t>
      </w:r>
      <w:r w:rsidRPr="00110749">
        <w:fldChar w:fldCharType="end"/>
      </w:r>
      <w:r>
        <w:t xml:space="preserve"> i </w:t>
      </w:r>
      <w:r w:rsidRPr="00110749">
        <w:fldChar w:fldCharType="begin"/>
      </w:r>
      <w:r w:rsidRPr="00110749">
        <w:instrText xml:space="preserve"> REF amendesappel \h </w:instrText>
      </w:r>
      <w:r w:rsidRPr="00110749">
        <w:fldChar w:fldCharType="separate"/>
      </w:r>
      <w:r w:rsidR="00AB4482">
        <w:rPr>
          <w:noProof/>
        </w:rPr>
        <w:t>30</w:t>
      </w:r>
      <w:r w:rsidRPr="00110749">
        <w:fldChar w:fldCharType="end"/>
      </w:r>
      <w:r>
        <w:t>-</w:t>
      </w:r>
      <w:r w:rsidRPr="00110749">
        <w:fldChar w:fldCharType="begin"/>
      </w:r>
      <w:r w:rsidRPr="00110749">
        <w:instrText xml:space="preserve"> REF interdictionsappel \h </w:instrText>
      </w:r>
      <w:r w:rsidRPr="00110749">
        <w:fldChar w:fldCharType="separate"/>
      </w:r>
      <w:r w:rsidR="00AB4482">
        <w:rPr>
          <w:noProof/>
        </w:rPr>
        <w:t>31</w:t>
      </w:r>
      <w:r w:rsidRPr="00110749">
        <w:fldChar w:fldCharType="end"/>
      </w:r>
      <w:r>
        <w:t xml:space="preserve"> powyżej). Ta ostatnia kara miała </w:t>
      </w:r>
      <w:r w:rsidR="00A63E4A">
        <w:t>taki charakter, że mogła narazi</w:t>
      </w:r>
      <w:r w:rsidR="00FE0DF8">
        <w:t>ć</w:t>
      </w:r>
      <w:r>
        <w:t xml:space="preserve"> na szwank </w:t>
      </w:r>
      <w:r w:rsidR="00A63E4A">
        <w:t>reputację</w:t>
      </w:r>
      <w:r>
        <w:t xml:space="preserve"> danych osób (zobacz, </w:t>
      </w:r>
      <w:r>
        <w:rPr>
          <w:i/>
        </w:rPr>
        <w:t>mutatis mutandis</w:t>
      </w:r>
      <w:r>
        <w:t xml:space="preserve">, </w:t>
      </w:r>
      <w:proofErr w:type="spellStart"/>
      <w:r>
        <w:rPr>
          <w:i/>
        </w:rPr>
        <w:t>Dubus</w:t>
      </w:r>
      <w:proofErr w:type="spellEnd"/>
      <w:r>
        <w:rPr>
          <w:i/>
        </w:rPr>
        <w:t xml:space="preserve"> S.A.</w:t>
      </w:r>
      <w:r>
        <w:t xml:space="preserve">, </w:t>
      </w:r>
      <w:proofErr w:type="spellStart"/>
      <w:r>
        <w:rPr>
          <w:i/>
        </w:rPr>
        <w:t>loc</w:t>
      </w:r>
      <w:proofErr w:type="spellEnd"/>
      <w:r>
        <w:rPr>
          <w:i/>
        </w:rPr>
        <w:t xml:space="preserve">. </w:t>
      </w:r>
      <w:proofErr w:type="spellStart"/>
      <w:r>
        <w:rPr>
          <w:i/>
        </w:rPr>
        <w:t>ult</w:t>
      </w:r>
      <w:proofErr w:type="spellEnd"/>
      <w:r>
        <w:rPr>
          <w:i/>
        </w:rPr>
        <w:t>. cit.</w:t>
      </w:r>
      <w:r>
        <w:t>),</w:t>
      </w:r>
      <w:r>
        <w:rPr>
          <w:i/>
        </w:rPr>
        <w:t xml:space="preserve"> </w:t>
      </w:r>
      <w:r>
        <w:t>a, zważywszy na</w:t>
      </w:r>
      <w:r w:rsidR="00FE0DF8">
        <w:t xml:space="preserve"> zasądzone </w:t>
      </w:r>
      <w:r>
        <w:t>kwot</w:t>
      </w:r>
      <w:r w:rsidR="00A63E4A">
        <w:t>y</w:t>
      </w:r>
      <w:r>
        <w:t xml:space="preserve">, kary były bez wątpienia </w:t>
      </w:r>
      <w:r w:rsidR="0065752F">
        <w:t>surowe</w:t>
      </w:r>
      <w:r>
        <w:t xml:space="preserve"> i miały istotne implikacje finansowe dla skarżących. </w:t>
      </w:r>
      <w:r w:rsidRPr="00110749">
        <w:fldChar w:fldCharType="begin"/>
      </w:r>
      <w:r w:rsidRPr="00110749">
        <w:instrText xml:space="preserve"> REF jurisprudence \h </w:instrText>
      </w:r>
      <w:r w:rsidRPr="00110749">
        <w:fldChar w:fldCharType="end"/>
      </w:r>
      <w:r w:rsidRPr="00110749">
        <w:fldChar w:fldCharType="begin"/>
      </w:r>
      <w:r w:rsidRPr="00110749">
        <w:instrText xml:space="preserve"> REF jurisprudence \h </w:instrText>
      </w:r>
      <w:r w:rsidRPr="00110749">
        <w:fldChar w:fldCharType="end"/>
      </w:r>
      <w:r w:rsidRPr="00110749">
        <w:fldChar w:fldCharType="begin"/>
      </w:r>
      <w:r w:rsidRPr="00110749">
        <w:instrText xml:space="preserve"> REF jurisprudence \h </w:instrText>
      </w:r>
      <w:r w:rsidRPr="00110749">
        <w:fldChar w:fldCharType="end"/>
      </w:r>
      <w:r w:rsidRPr="00110749">
        <w:fldChar w:fldCharType="begin"/>
      </w:r>
      <w:r w:rsidRPr="00110749">
        <w:instrText xml:space="preserve"> REF jurisprudence \h </w:instrText>
      </w:r>
      <w:r w:rsidRPr="00110749">
        <w:fldChar w:fldCharType="end"/>
      </w:r>
      <w:r w:rsidRPr="00110749">
        <w:fldChar w:fldCharType="begin"/>
      </w:r>
      <w:r w:rsidRPr="00110749">
        <w:instrText xml:space="preserve"> REF jurisprudence \h </w:instrText>
      </w:r>
      <w:r w:rsidRPr="00110749">
        <w:fldChar w:fldCharType="end"/>
      </w:r>
    </w:p>
    <w:p w14:paraId="25817BCF" w14:textId="5BEEE26D" w:rsidR="000D5DD6" w:rsidRPr="00110749" w:rsidRDefault="00346F6F" w:rsidP="000D5DD6">
      <w:pPr>
        <w:ind w:firstLine="284"/>
        <w:rPr>
          <w:highlight w:val="yellow"/>
        </w:rPr>
      </w:pPr>
      <w:fldSimple w:instr=" SEQ level0 \*arabic ">
        <w:r w:rsidR="00AB4482">
          <w:rPr>
            <w:noProof/>
          </w:rPr>
          <w:t>99</w:t>
        </w:r>
      </w:fldSimple>
      <w:r w:rsidR="00964511">
        <w:t>. </w:t>
      </w:r>
      <w:r w:rsidR="000D5DD6">
        <w:t xml:space="preserve">W świetle powyższego, a także uwzględniając </w:t>
      </w:r>
      <w:r w:rsidR="00964511">
        <w:t>surowość grzywien i</w:t>
      </w:r>
      <w:r w:rsidR="000D5DD6">
        <w:t xml:space="preserve"> kar</w:t>
      </w:r>
      <w:r w:rsidR="00A63E4A">
        <w:t xml:space="preserve"> nałożonych na skarżących, jak też wysokość ustawowego zagrożenia kar</w:t>
      </w:r>
      <w:r w:rsidR="006C44F8">
        <w:t>ą</w:t>
      </w:r>
      <w:r w:rsidR="000D5DD6">
        <w:t xml:space="preserve">, Trybunał uznaje, że kary te, ze względu na ich </w:t>
      </w:r>
      <w:r w:rsidR="0065752F">
        <w:t>surowość</w:t>
      </w:r>
      <w:r w:rsidR="000D5DD6">
        <w:t xml:space="preserve">, miały charakter karny (zobacz, </w:t>
      </w:r>
      <w:r w:rsidR="000D5DD6">
        <w:rPr>
          <w:i/>
        </w:rPr>
        <w:t>mutatis mutandis</w:t>
      </w:r>
      <w:r w:rsidR="000D5DD6">
        <w:t>,</w:t>
      </w:r>
      <w:r w:rsidR="000D5DD6">
        <w:rPr>
          <w:i/>
        </w:rPr>
        <w:t xml:space="preserve"> </w:t>
      </w:r>
      <w:proofErr w:type="spellStart"/>
      <w:r w:rsidR="000D5DD6">
        <w:rPr>
          <w:i/>
        </w:rPr>
        <w:t>Öztürk</w:t>
      </w:r>
      <w:proofErr w:type="spellEnd"/>
      <w:r w:rsidR="000D5DD6">
        <w:t xml:space="preserve">, </w:t>
      </w:r>
      <w:r w:rsidR="00A63E4A" w:rsidRPr="00A63E4A">
        <w:rPr>
          <w:i/>
        </w:rPr>
        <w:t>op. cit.</w:t>
      </w:r>
      <w:r w:rsidR="000D5DD6">
        <w:t xml:space="preserve">, </w:t>
      </w:r>
      <w:r w:rsidR="007E48CB">
        <w:t>§</w:t>
      </w:r>
      <w:r w:rsidR="000D5DD6">
        <w:t xml:space="preserve"> 54, oraz, </w:t>
      </w:r>
      <w:r w:rsidR="000D5DD6">
        <w:rPr>
          <w:i/>
        </w:rPr>
        <w:t>a contrario</w:t>
      </w:r>
      <w:r w:rsidR="000D5DD6">
        <w:t xml:space="preserve">, </w:t>
      </w:r>
      <w:proofErr w:type="spellStart"/>
      <w:r w:rsidR="000D5DD6">
        <w:rPr>
          <w:i/>
        </w:rPr>
        <w:t>Inocêncio</w:t>
      </w:r>
      <w:proofErr w:type="spellEnd"/>
      <w:r w:rsidR="000D5DD6">
        <w:rPr>
          <w:i/>
        </w:rPr>
        <w:t xml:space="preserve"> przeciwko Portugalii</w:t>
      </w:r>
      <w:r w:rsidR="000D5DD6">
        <w:t xml:space="preserve"> (</w:t>
      </w:r>
      <w:r w:rsidR="00FA7858">
        <w:t>decyzja</w:t>
      </w:r>
      <w:r w:rsidR="000D5DD6">
        <w:t>), nr 43862/98, ECHR 2001</w:t>
      </w:r>
      <w:r w:rsidR="000D5DD6">
        <w:noBreakHyphen/>
        <w:t>I).</w:t>
      </w:r>
    </w:p>
    <w:p w14:paraId="73778977" w14:textId="53C53330" w:rsidR="000D5DD6" w:rsidRPr="00110749" w:rsidRDefault="00346F6F" w:rsidP="000D5DD6">
      <w:pPr>
        <w:ind w:firstLine="284"/>
        <w:rPr>
          <w:highlight w:val="yellow"/>
        </w:rPr>
      </w:pPr>
      <w:fldSimple w:instr=" SEQ level0 \*arabic ">
        <w:r w:rsidR="00AB4482">
          <w:rPr>
            <w:noProof/>
          </w:rPr>
          <w:t>100</w:t>
        </w:r>
      </w:fldSimple>
      <w:r w:rsidR="00964511">
        <w:t>. </w:t>
      </w:r>
      <w:r w:rsidR="000D5DD6">
        <w:t>Ponadto, Trybunał podkreśla</w:t>
      </w:r>
      <w:r w:rsidR="0065752F" w:rsidRPr="0065752F">
        <w:t xml:space="preserve"> </w:t>
      </w:r>
      <w:r w:rsidR="0065752F">
        <w:t>również</w:t>
      </w:r>
      <w:r w:rsidR="000D5DD6">
        <w:t>, że, w odniesieniu do pewnych francuskich władz administracyjnych mających jurysdykcję i prawo do skazywania w sprawach gospodarczych i finansowych, Trybunał uznał, że aspekt karny artykułu 6 ma w szczególności zastosowanie w odniesieniu do Sądu ds. Przestępstw Dyscyplinarnych (Budżetowych i Finansowych) (</w:t>
      </w:r>
      <w:proofErr w:type="spellStart"/>
      <w:r w:rsidR="000D5DD6">
        <w:rPr>
          <w:i/>
        </w:rPr>
        <w:t>Guisset</w:t>
      </w:r>
      <w:proofErr w:type="spellEnd"/>
      <w:r w:rsidR="000D5DD6">
        <w:rPr>
          <w:i/>
        </w:rPr>
        <w:t xml:space="preserve"> przeciwko Francji</w:t>
      </w:r>
      <w:r w:rsidR="000D5DD6">
        <w:t xml:space="preserve">, nr 33933/96, </w:t>
      </w:r>
      <w:r w:rsidR="007E48CB">
        <w:t>§</w:t>
      </w:r>
      <w:r w:rsidR="000D5DD6">
        <w:t> 59, ECHR 2000</w:t>
      </w:r>
      <w:r w:rsidR="000D5DD6">
        <w:noBreakHyphen/>
        <w:t>IX), Rady ds. Rynków Finansowych (</w:t>
      </w:r>
      <w:proofErr w:type="spellStart"/>
      <w:r w:rsidR="000D5DD6">
        <w:rPr>
          <w:i/>
        </w:rPr>
        <w:t>Didier</w:t>
      </w:r>
      <w:proofErr w:type="spellEnd"/>
      <w:r w:rsidR="000D5DD6">
        <w:rPr>
          <w:i/>
        </w:rPr>
        <w:t xml:space="preserve"> przeciwko Francji</w:t>
      </w:r>
      <w:r w:rsidR="000D5DD6">
        <w:t> (</w:t>
      </w:r>
      <w:r w:rsidR="00FA7858">
        <w:t>decyzja</w:t>
      </w:r>
      <w:r w:rsidR="000D5DD6">
        <w:t>), nr 58188/00, 27 sierpnia 2002</w:t>
      </w:r>
      <w:r w:rsidR="007E48CB">
        <w:t xml:space="preserve"> roku</w:t>
      </w:r>
      <w:r w:rsidR="000D5DD6">
        <w:t>), Komisji ds. Konkurencji (</w:t>
      </w:r>
      <w:proofErr w:type="spellStart"/>
      <w:r w:rsidR="000D5DD6">
        <w:rPr>
          <w:i/>
        </w:rPr>
        <w:t>Lilly</w:t>
      </w:r>
      <w:proofErr w:type="spellEnd"/>
      <w:r w:rsidR="000D5DD6">
        <w:rPr>
          <w:i/>
        </w:rPr>
        <w:t xml:space="preserve"> France S.A. przeciwko Francji</w:t>
      </w:r>
      <w:r w:rsidR="000D5DD6">
        <w:t xml:space="preserve"> (</w:t>
      </w:r>
      <w:r w:rsidR="00FA7858">
        <w:t>decyzja</w:t>
      </w:r>
      <w:r w:rsidR="000D5DD6">
        <w:t>), nr 53892/00, 3 grudnia 2002</w:t>
      </w:r>
      <w:r w:rsidR="007E48CB">
        <w:t xml:space="preserve"> roku</w:t>
      </w:r>
      <w:r w:rsidR="000D5DD6">
        <w:t xml:space="preserve">), </w:t>
      </w:r>
      <w:r w:rsidR="0065752F">
        <w:t xml:space="preserve">komitetu </w:t>
      </w:r>
      <w:r w:rsidR="000D5DD6">
        <w:t>ds. sankcji organu nadzorującego rynek finansowy (</w:t>
      </w:r>
      <w:proofErr w:type="spellStart"/>
      <w:r w:rsidR="000D5DD6">
        <w:rPr>
          <w:i/>
        </w:rPr>
        <w:t>Messier</w:t>
      </w:r>
      <w:proofErr w:type="spellEnd"/>
      <w:r w:rsidR="000D5DD6">
        <w:rPr>
          <w:i/>
        </w:rPr>
        <w:t xml:space="preserve"> przeciwko Francji </w:t>
      </w:r>
      <w:r w:rsidR="000D5DD6">
        <w:t>(</w:t>
      </w:r>
      <w:r w:rsidR="00FA7858">
        <w:t>decyzja</w:t>
      </w:r>
      <w:r w:rsidR="000D5DD6">
        <w:t>), nr 25041/07, 19 maja 2009), a także Komisji ds. Bankowości (</w:t>
      </w:r>
      <w:proofErr w:type="spellStart"/>
      <w:r w:rsidR="000D5DD6">
        <w:rPr>
          <w:i/>
        </w:rPr>
        <w:t>Dubus</w:t>
      </w:r>
      <w:proofErr w:type="spellEnd"/>
      <w:r w:rsidR="000D5DD6">
        <w:rPr>
          <w:i/>
        </w:rPr>
        <w:t xml:space="preserve"> S.A.</w:t>
      </w:r>
      <w:r w:rsidR="000D5DD6">
        <w:t xml:space="preserve">, </w:t>
      </w:r>
      <w:r w:rsidR="00A63E4A" w:rsidRPr="00A63E4A">
        <w:rPr>
          <w:i/>
        </w:rPr>
        <w:t>op. cit.</w:t>
      </w:r>
      <w:r w:rsidR="000D5DD6">
        <w:t xml:space="preserve">, </w:t>
      </w:r>
      <w:r w:rsidR="007E48CB">
        <w:t>§</w:t>
      </w:r>
      <w:r w:rsidR="000D5DD6">
        <w:t> 38). T</w:t>
      </w:r>
      <w:r w:rsidR="002E5166">
        <w:t xml:space="preserve">e same ustalenia poczyniono w </w:t>
      </w:r>
      <w:r w:rsidR="000D5DD6">
        <w:t xml:space="preserve">stosunku do włoskich organów regulacyjnych odpowiedzialnych za konkurencję i rynek (AGCM – </w:t>
      </w:r>
      <w:proofErr w:type="spellStart"/>
      <w:r w:rsidR="000D5DD6">
        <w:rPr>
          <w:i/>
        </w:rPr>
        <w:t>Autorità</w:t>
      </w:r>
      <w:proofErr w:type="spellEnd"/>
      <w:r w:rsidR="000D5DD6">
        <w:rPr>
          <w:i/>
        </w:rPr>
        <w:t xml:space="preserve"> </w:t>
      </w:r>
      <w:proofErr w:type="spellStart"/>
      <w:r w:rsidR="000D5DD6">
        <w:rPr>
          <w:i/>
        </w:rPr>
        <w:t>Garante</w:t>
      </w:r>
      <w:proofErr w:type="spellEnd"/>
      <w:r w:rsidR="000D5DD6">
        <w:rPr>
          <w:i/>
        </w:rPr>
        <w:t xml:space="preserve"> </w:t>
      </w:r>
      <w:proofErr w:type="spellStart"/>
      <w:r w:rsidR="000D5DD6">
        <w:rPr>
          <w:i/>
        </w:rPr>
        <w:t>della</w:t>
      </w:r>
      <w:proofErr w:type="spellEnd"/>
      <w:r w:rsidR="000D5DD6">
        <w:rPr>
          <w:i/>
        </w:rPr>
        <w:t xml:space="preserve"> </w:t>
      </w:r>
      <w:proofErr w:type="spellStart"/>
      <w:r w:rsidR="000D5DD6">
        <w:rPr>
          <w:i/>
        </w:rPr>
        <w:t>Concorrenza</w:t>
      </w:r>
      <w:proofErr w:type="spellEnd"/>
      <w:r w:rsidR="000D5DD6">
        <w:rPr>
          <w:i/>
        </w:rPr>
        <w:t xml:space="preserve"> e del </w:t>
      </w:r>
      <w:proofErr w:type="spellStart"/>
      <w:r w:rsidR="000D5DD6">
        <w:rPr>
          <w:i/>
        </w:rPr>
        <w:t>Mercato</w:t>
      </w:r>
      <w:proofErr w:type="spellEnd"/>
      <w:r w:rsidR="000D5DD6">
        <w:t xml:space="preserve">; </w:t>
      </w:r>
      <w:proofErr w:type="spellStart"/>
      <w:r w:rsidR="000D5DD6">
        <w:t>see</w:t>
      </w:r>
      <w:proofErr w:type="spellEnd"/>
      <w:r w:rsidR="000D5DD6">
        <w:t xml:space="preserve">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0D5DD6">
        <w:t xml:space="preserve">, </w:t>
      </w:r>
      <w:r w:rsidR="00A63E4A" w:rsidRPr="00A63E4A">
        <w:rPr>
          <w:i/>
        </w:rPr>
        <w:t>op. cit.</w:t>
      </w:r>
      <w:r w:rsidR="000D5DD6">
        <w:t xml:space="preserve">, </w:t>
      </w:r>
      <w:r w:rsidR="007E48CB">
        <w:t>§</w:t>
      </w:r>
      <w:r w:rsidR="000D5DD6">
        <w:t xml:space="preserve"> 44).</w:t>
      </w:r>
    </w:p>
    <w:bookmarkStart w:id="34" w:name="CONSOBpenal"/>
    <w:p w14:paraId="4BE18F31" w14:textId="2EC17DDE" w:rsidR="000D5DD6" w:rsidRPr="00110749" w:rsidRDefault="000D5DD6" w:rsidP="000D5DD6">
      <w:pPr>
        <w:pStyle w:val="ECHRPara"/>
      </w:pPr>
      <w:r w:rsidRPr="00110749">
        <w:fldChar w:fldCharType="begin"/>
      </w:r>
      <w:r w:rsidRPr="00110749">
        <w:instrText xml:space="preserve"> SEQ level0 \r101 </w:instrText>
      </w:r>
      <w:r w:rsidRPr="00110749">
        <w:fldChar w:fldCharType="separate"/>
      </w:r>
      <w:r w:rsidR="00AB4482">
        <w:rPr>
          <w:noProof/>
        </w:rPr>
        <w:t>101</w:t>
      </w:r>
      <w:r w:rsidRPr="00110749">
        <w:fldChar w:fldCharType="end"/>
      </w:r>
      <w:bookmarkEnd w:id="34"/>
      <w:r>
        <w:t>. Po przeanalizowaniu i nadaniu właściwej wagi poszczególnym aspektom sprawy, Trybunał uznaje, że kary nałożone na skarżących miały charakter karny</w:t>
      </w:r>
      <w:r w:rsidR="0065752F">
        <w:t xml:space="preserve"> i w konsekwencji</w:t>
      </w:r>
      <w:r w:rsidR="00053E6E">
        <w:t>, artykuł 6 ust.</w:t>
      </w:r>
      <w:r>
        <w:t xml:space="preserve"> 1 ma zastosowanie w tej sprawie w </w:t>
      </w:r>
      <w:r w:rsidR="0037116E">
        <w:t>jego</w:t>
      </w:r>
      <w:r>
        <w:t xml:space="preserve"> aspekcie karnym (zobacz, </w:t>
      </w:r>
      <w:r>
        <w:rPr>
          <w:i/>
        </w:rPr>
        <w:t>mutatis mutandis</w:t>
      </w:r>
      <w:r>
        <w:t xml:space="preserve">, </w:t>
      </w:r>
      <w:proofErr w:type="spellStart"/>
      <w:r>
        <w:rPr>
          <w:i/>
        </w:rPr>
        <w:t>Menarini</w:t>
      </w:r>
      <w:proofErr w:type="spellEnd"/>
      <w:r>
        <w:rPr>
          <w:i/>
        </w:rPr>
        <w:t xml:space="preserve"> Diagnostics </w:t>
      </w:r>
      <w:proofErr w:type="spellStart"/>
      <w:r>
        <w:rPr>
          <w:i/>
        </w:rPr>
        <w:t>S.r.l</w:t>
      </w:r>
      <w:proofErr w:type="spellEnd"/>
      <w:r>
        <w:rPr>
          <w:i/>
        </w:rPr>
        <w:t>.</w:t>
      </w:r>
      <w:r>
        <w:t xml:space="preserve">, </w:t>
      </w:r>
      <w:proofErr w:type="spellStart"/>
      <w:r>
        <w:rPr>
          <w:i/>
        </w:rPr>
        <w:t>loc</w:t>
      </w:r>
      <w:proofErr w:type="spellEnd"/>
      <w:r>
        <w:rPr>
          <w:i/>
        </w:rPr>
        <w:t xml:space="preserve">. </w:t>
      </w:r>
      <w:proofErr w:type="spellStart"/>
      <w:r>
        <w:rPr>
          <w:i/>
        </w:rPr>
        <w:t>ult</w:t>
      </w:r>
      <w:proofErr w:type="spellEnd"/>
      <w:r>
        <w:rPr>
          <w:i/>
        </w:rPr>
        <w:t>. cit.</w:t>
      </w:r>
      <w:r>
        <w:t>).</w:t>
      </w:r>
    </w:p>
    <w:p w14:paraId="273F3979" w14:textId="77777777" w:rsidR="000D5DD6" w:rsidRDefault="00AB4482" w:rsidP="000D5DD6">
      <w:pPr>
        <w:pStyle w:val="ECHRPara"/>
      </w:pPr>
      <w:r>
        <w:t>...</w:t>
      </w:r>
    </w:p>
    <w:p w14:paraId="3F8C954C" w14:textId="77777777" w:rsidR="001B2BAE" w:rsidRPr="00E52B05" w:rsidRDefault="001B2BAE" w:rsidP="001B2BAE">
      <w:pPr>
        <w:pStyle w:val="ECHRPara"/>
        <w:ind w:firstLine="0"/>
        <w:rPr>
          <w:i/>
          <w:sz w:val="20"/>
        </w:rPr>
      </w:pPr>
      <w:r w:rsidRPr="00E52B05">
        <w:rPr>
          <w:i/>
          <w:sz w:val="20"/>
        </w:rPr>
        <w:t>[Punkty 102-105 dotyczące innych przesłanek niedopuszczalności zostały pominięte w niniejszym tłumaczeniu</w:t>
      </w:r>
      <w:r w:rsidR="00FE0DF8">
        <w:rPr>
          <w:i/>
          <w:sz w:val="20"/>
        </w:rPr>
        <w:t xml:space="preserve"> – przyp. </w:t>
      </w:r>
      <w:proofErr w:type="spellStart"/>
      <w:r w:rsidR="00FE0DF8">
        <w:rPr>
          <w:i/>
          <w:sz w:val="20"/>
        </w:rPr>
        <w:t>tlum</w:t>
      </w:r>
      <w:proofErr w:type="spellEnd"/>
      <w:r w:rsidR="00FE0DF8">
        <w:rPr>
          <w:i/>
          <w:sz w:val="20"/>
        </w:rPr>
        <w:t>.</w:t>
      </w:r>
      <w:r w:rsidRPr="00E52B05">
        <w:rPr>
          <w:i/>
          <w:sz w:val="20"/>
        </w:rPr>
        <w:t>]</w:t>
      </w:r>
    </w:p>
    <w:p w14:paraId="0F48633F" w14:textId="50067847" w:rsidR="00AB4482" w:rsidRDefault="000D5DD6" w:rsidP="000D5DD6">
      <w:pPr>
        <w:pStyle w:val="ECHRHeading2"/>
      </w:pPr>
      <w:r>
        <w:t>B.  </w:t>
      </w:r>
      <w:r w:rsidR="00E52B05">
        <w:t>Przedmiot</w:t>
      </w:r>
      <w:r>
        <w:t xml:space="preserve"> sprawy</w:t>
      </w:r>
    </w:p>
    <w:p w14:paraId="67142B2C" w14:textId="23411256" w:rsidR="00AB4482" w:rsidRPr="0041557E" w:rsidRDefault="000D5DD6" w:rsidP="000D5DD6">
      <w:pPr>
        <w:pStyle w:val="ECHRHeading3"/>
      </w:pPr>
      <w:r>
        <w:t xml:space="preserve">1.  Czy postępowanie przed CONSOB było </w:t>
      </w:r>
      <w:r w:rsidR="00E52B05" w:rsidRPr="0041557E">
        <w:t>rzetelne</w:t>
      </w:r>
    </w:p>
    <w:p w14:paraId="0BC9152C" w14:textId="77777777" w:rsidR="000D5DD6" w:rsidRPr="0041557E" w:rsidRDefault="000D5DD6" w:rsidP="000D5DD6">
      <w:pPr>
        <w:pStyle w:val="ECHRHeading4"/>
      </w:pPr>
      <w:r w:rsidRPr="0041557E">
        <w:t>(a)  Stanowiska stron</w:t>
      </w:r>
    </w:p>
    <w:p w14:paraId="3C3DF8D3" w14:textId="77777777" w:rsidR="000D5DD6" w:rsidRPr="0041557E" w:rsidRDefault="000D5DD6" w:rsidP="000D5DD6">
      <w:pPr>
        <w:pStyle w:val="ECHRHeading5"/>
      </w:pPr>
      <w:r w:rsidRPr="0041557E">
        <w:t>i.  Skarżący</w:t>
      </w:r>
    </w:p>
    <w:p w14:paraId="307F8734" w14:textId="3AC16ED8" w:rsidR="000D5DD6" w:rsidRPr="00110749" w:rsidRDefault="00346F6F" w:rsidP="000D5DD6">
      <w:pPr>
        <w:pStyle w:val="ECHRPara"/>
      </w:pPr>
      <w:fldSimple w:instr=" SEQ level0 \r106 ">
        <w:r w:rsidR="00AB4482" w:rsidRPr="0041557E">
          <w:rPr>
            <w:noProof/>
          </w:rPr>
          <w:t>106</w:t>
        </w:r>
      </w:fldSimple>
      <w:r w:rsidR="004A4CEC" w:rsidRPr="0041557E">
        <w:t>. </w:t>
      </w:r>
      <w:r w:rsidR="000D5DD6" w:rsidRPr="0041557E">
        <w:t xml:space="preserve">Skarżący zarzucili, że postępowanie przed CONSOB prowadzone było zasadniczo w formie pisemnej, że nie zaplanowano żadnej </w:t>
      </w:r>
      <w:r w:rsidR="00FE0DF8" w:rsidRPr="0041557E">
        <w:t>jawnej</w:t>
      </w:r>
      <w:r w:rsidR="001B6612" w:rsidRPr="0041557E">
        <w:t xml:space="preserve"> </w:t>
      </w:r>
      <w:r w:rsidR="000D5DD6" w:rsidRPr="0041557E">
        <w:t xml:space="preserve">rozprawy oraz, że nie były poszanowane prawa do obrony. Sam </w:t>
      </w:r>
      <w:r w:rsidR="00D4677F" w:rsidRPr="0041557E">
        <w:t>S</w:t>
      </w:r>
      <w:r w:rsidR="000D5DD6" w:rsidRPr="0041557E">
        <w:t>ąd</w:t>
      </w:r>
      <w:r w:rsidR="000D5DD6">
        <w:t xml:space="preserve"> </w:t>
      </w:r>
      <w:r w:rsidR="00D4677F">
        <w:t>K</w:t>
      </w:r>
      <w:r w:rsidR="000D5DD6">
        <w:t xml:space="preserve">asacyjny przyznał, że gwarancje </w:t>
      </w:r>
      <w:r w:rsidR="00DB25B4">
        <w:t>rzetelnego</w:t>
      </w:r>
      <w:r w:rsidR="000D5DD6">
        <w:t xml:space="preserve"> procesu i ochrony praw</w:t>
      </w:r>
      <w:r w:rsidR="001B6612">
        <w:t>a</w:t>
      </w:r>
      <w:r w:rsidR="000D5DD6">
        <w:t xml:space="preserve"> do obrony (artykuły 111 i 24 Konstytucji) nie miały zastosowania do postępowania administracyjnego (zobacz punkt </w:t>
      </w:r>
      <w:r w:rsidR="000D5DD6" w:rsidRPr="00110749">
        <w:fldChar w:fldCharType="begin"/>
      </w:r>
      <w:r w:rsidR="000D5DD6" w:rsidRPr="00110749">
        <w:instrText xml:space="preserve"> REF arretscassation \h </w:instrText>
      </w:r>
      <w:r w:rsidR="000D5DD6" w:rsidRPr="00110749">
        <w:fldChar w:fldCharType="separate"/>
      </w:r>
      <w:r w:rsidR="00AB4482">
        <w:rPr>
          <w:noProof/>
        </w:rPr>
        <w:t>38</w:t>
      </w:r>
      <w:r w:rsidR="000D5DD6" w:rsidRPr="00110749">
        <w:fldChar w:fldCharType="end"/>
      </w:r>
      <w:r w:rsidR="000D5DD6">
        <w:t xml:space="preserve"> powyżej).</w:t>
      </w:r>
    </w:p>
    <w:p w14:paraId="2772937C" w14:textId="70CECD3D" w:rsidR="000D5DD6" w:rsidRPr="00110749" w:rsidRDefault="00346F6F" w:rsidP="000D5DD6">
      <w:pPr>
        <w:pStyle w:val="ECHRPara"/>
      </w:pPr>
      <w:fldSimple w:instr=" SEQ level0 \*arabic ">
        <w:r w:rsidR="00AB4482">
          <w:rPr>
            <w:noProof/>
          </w:rPr>
          <w:t>107</w:t>
        </w:r>
      </w:fldSimple>
      <w:r w:rsidR="00D4677F">
        <w:t>. </w:t>
      </w:r>
      <w:r w:rsidR="000D5DD6">
        <w:t xml:space="preserve">Skarżący oświadczyli, że Uchwały CONSOB nr 12697 z 2 sierpnia 2000 roku i nr 15086 z 21 czerwca 2005 roku </w:t>
      </w:r>
      <w:r w:rsidR="001B6612">
        <w:t>zlikwidowały</w:t>
      </w:r>
      <w:r w:rsidR="000D5DD6">
        <w:t xml:space="preserve"> </w:t>
      </w:r>
      <w:r w:rsidR="000D5DD6">
        <w:rPr>
          <w:i/>
        </w:rPr>
        <w:t xml:space="preserve">de facto </w:t>
      </w:r>
      <w:r w:rsidR="000D5DD6">
        <w:t xml:space="preserve">zasadę postępowania </w:t>
      </w:r>
      <w:r w:rsidR="00770297">
        <w:t>kontradykto</w:t>
      </w:r>
      <w:r w:rsidR="000D5DD6">
        <w:t xml:space="preserve">ryjnego, która stanowi jednakże wymóg zgodnie z artykułem 187 </w:t>
      </w:r>
      <w:proofErr w:type="spellStart"/>
      <w:r w:rsidR="000D5DD6">
        <w:rPr>
          <w:i/>
        </w:rPr>
        <w:t>septies</w:t>
      </w:r>
      <w:proofErr w:type="spellEnd"/>
      <w:r w:rsidR="000D5DD6">
        <w:rPr>
          <w:i/>
        </w:rPr>
        <w:t xml:space="preserve"> </w:t>
      </w:r>
      <w:r w:rsidR="000D5DD6">
        <w:t>Dekretu Legislacyjnego nr 58 z 1998 roku</w:t>
      </w:r>
      <w:r w:rsidR="001B6612">
        <w:t xml:space="preserve"> ... Podobnie jak to miało</w:t>
      </w:r>
      <w:r w:rsidR="000D5DD6">
        <w:t xml:space="preserve"> miejsce w niniejszej sprawie, </w:t>
      </w:r>
      <w:r w:rsidR="001B6612">
        <w:t>uchwały te pozw</w:t>
      </w:r>
      <w:r w:rsidR="00FE0DF8">
        <w:t>alają</w:t>
      </w:r>
      <w:r w:rsidR="000D5DD6">
        <w:t xml:space="preserve"> na zaniechanie p</w:t>
      </w:r>
      <w:r w:rsidR="001B6612">
        <w:t>rzekazania</w:t>
      </w:r>
      <w:r w:rsidR="000D5DD6">
        <w:t xml:space="preserve"> </w:t>
      </w:r>
      <w:r w:rsidR="001B6612">
        <w:t xml:space="preserve">pozwanemu </w:t>
      </w:r>
      <w:r w:rsidR="000D5DD6">
        <w:t xml:space="preserve">do wiadomości wniosków Dyrekcji, które </w:t>
      </w:r>
      <w:r w:rsidR="001B6612">
        <w:t xml:space="preserve"> </w:t>
      </w:r>
      <w:r w:rsidR="000D5DD6">
        <w:t>stanowi</w:t>
      </w:r>
      <w:r w:rsidR="001B6612">
        <w:t>ą</w:t>
      </w:r>
      <w:r w:rsidR="00FE0DF8">
        <w:t xml:space="preserve"> następnie</w:t>
      </w:r>
      <w:r w:rsidR="000D5DD6">
        <w:t xml:space="preserve"> podstawę decyzji wyda</w:t>
      </w:r>
      <w:r w:rsidR="001B6612">
        <w:t>wa</w:t>
      </w:r>
      <w:r w:rsidR="000D5DD6">
        <w:t xml:space="preserve">nej przez Komisję; </w:t>
      </w:r>
      <w:r w:rsidR="000D5DD6">
        <w:lastRenderedPageBreak/>
        <w:t>ponadto, Komisja</w:t>
      </w:r>
      <w:r w:rsidR="001B6612">
        <w:t xml:space="preserve"> ta</w:t>
      </w:r>
      <w:r w:rsidR="000D5DD6">
        <w:t xml:space="preserve"> nie otrzymała oświadcze</w:t>
      </w:r>
      <w:r w:rsidR="001B6612">
        <w:t>ń złożonych</w:t>
      </w:r>
      <w:r w:rsidR="000D5DD6">
        <w:t xml:space="preserve"> przez pozwanych podczas fazy dochodzeniowej postępowania. Co więcej, Komisja wydała swoje orzeczenie bez przesłuchania pozwanych i bez </w:t>
      </w:r>
      <w:r w:rsidR="001B6612">
        <w:t xml:space="preserve">przeprowadzenia </w:t>
      </w:r>
      <w:r w:rsidR="00DF3287" w:rsidRPr="0041557E">
        <w:t>jawnej</w:t>
      </w:r>
      <w:r w:rsidR="000D5DD6" w:rsidRPr="0041557E">
        <w:t xml:space="preserve"> rozprawy</w:t>
      </w:r>
      <w:r w:rsidR="000D5DD6">
        <w:t xml:space="preserve">, </w:t>
      </w:r>
      <w:r w:rsidR="001B6612">
        <w:t>co</w:t>
      </w:r>
      <w:r w:rsidR="000D5DD6">
        <w:t xml:space="preserve"> uniemożliwił</w:t>
      </w:r>
      <w:r w:rsidR="001B6612">
        <w:t>o</w:t>
      </w:r>
      <w:r w:rsidR="000D5DD6">
        <w:t xml:space="preserve"> skarżącym w niniejszej sprawie zwrócenie się bezpośrednio do Komisji i </w:t>
      </w:r>
      <w:r w:rsidR="001B6612">
        <w:t>bronienie się</w:t>
      </w:r>
      <w:r w:rsidR="000D5DD6">
        <w:t xml:space="preserve"> w odniesieniu do ustaleń Dyrekcji. Ustalenia te stanowiły ważne dowody, a zaznajomienie się z nimi umożliwiłoby skarżącym znalezienie nieścisłości w procesie dochodzeniowym i uzyskanie odpowiednich informacji na swoją obronę. Komisja </w:t>
      </w:r>
      <w:r w:rsidR="001B6612">
        <w:t xml:space="preserve">przeprowadziła jedynie </w:t>
      </w:r>
      <w:r w:rsidR="000D5DD6">
        <w:t>wewnętrzne posiedzenie, w trakcie którego jedyną przesłuchiwaną osobą był urzędnik z Biura IT (tzn. z organu odpowiedzialnego za „</w:t>
      </w:r>
      <w:r w:rsidR="001B6612">
        <w:t>oskarżenie</w:t>
      </w:r>
      <w:r w:rsidR="000D5DD6">
        <w:t xml:space="preserve">”). Skarżący nie zostali zaproszeni na posiedzenie i nie mogli otrzymać </w:t>
      </w:r>
      <w:r w:rsidR="001B6612">
        <w:t xml:space="preserve">nawet </w:t>
      </w:r>
      <w:r w:rsidR="000D5DD6">
        <w:t>kopii protokołu.</w:t>
      </w:r>
    </w:p>
    <w:p w14:paraId="7190BB5C" w14:textId="77777777" w:rsidR="00AB4482" w:rsidRDefault="00346F6F" w:rsidP="000D5DD6">
      <w:pPr>
        <w:pStyle w:val="ECHRPara"/>
      </w:pPr>
      <w:fldSimple w:instr=" SEQ level0 \*arabic ">
        <w:r w:rsidR="00AB4482">
          <w:rPr>
            <w:noProof/>
          </w:rPr>
          <w:t>108</w:t>
        </w:r>
      </w:fldSimple>
      <w:r w:rsidR="001D503F">
        <w:t>. </w:t>
      </w:r>
      <w:r w:rsidR="000D5DD6">
        <w:t>Skarżący zarzucili również, że nie zostali poinformowani w odpowiednim czasie o</w:t>
      </w:r>
      <w:r w:rsidR="00CC258D">
        <w:t xml:space="preserve"> nowych dokumentach, na których</w:t>
      </w:r>
      <w:r w:rsidR="000D5DD6">
        <w:t xml:space="preserve"> opierała się nota uzupełniająca Biura IT (zobacz punkt </w:t>
      </w:r>
      <w:r w:rsidR="000D5DD6" w:rsidRPr="00110749">
        <w:fldChar w:fldCharType="begin"/>
      </w:r>
      <w:r w:rsidR="000D5DD6" w:rsidRPr="00110749">
        <w:instrText xml:space="preserve"> REF notecomplementaire \h </w:instrText>
      </w:r>
      <w:r w:rsidR="000D5DD6" w:rsidRPr="00110749">
        <w:fldChar w:fldCharType="separate"/>
      </w:r>
      <w:r w:rsidR="00AB4482">
        <w:rPr>
          <w:noProof/>
        </w:rPr>
        <w:t>23</w:t>
      </w:r>
      <w:r w:rsidR="000D5DD6" w:rsidRPr="00110749">
        <w:fldChar w:fldCharType="end"/>
      </w:r>
      <w:r w:rsidR="000D5DD6">
        <w:t xml:space="preserve"> powyżej), oraz że nie mieli czasu ani możliwości niezbędnych do przeprowadzenia swojej obrony w kontekście tej noty. Dokumenty te zostały rzekomo poddane pod ich uwagę na późniejszym etapie.</w:t>
      </w:r>
    </w:p>
    <w:p w14:paraId="5870A4EB" w14:textId="77777777" w:rsidR="00AB4482" w:rsidRDefault="00346F6F" w:rsidP="000D5DD6">
      <w:pPr>
        <w:pStyle w:val="ECHRPara"/>
      </w:pPr>
      <w:fldSimple w:instr=" SEQ level0 \*arabic ">
        <w:r w:rsidR="00AB4482">
          <w:rPr>
            <w:noProof/>
          </w:rPr>
          <w:t>109</w:t>
        </w:r>
      </w:fldSimple>
      <w:r w:rsidR="001D503F">
        <w:t>. </w:t>
      </w:r>
      <w:r w:rsidR="000D5DD6">
        <w:t>Skarżący uznali, że postępowanie przed CONSOB nie gwarantowało prawdziwego oddzielenia etapu dochodzeniowego od orzekającego, co ich zdaniem stanowiło naruszenie zasady równości broni. W istocie, dochodzenie było w całości podporządkowane uprawnieniom do wydania poleceń przysługującym przewodniczącemu CONSOB, który był odpowiedzialny za dużą liczbę środków dochodzeniowych, łącznie ze sformułowaniem oskarżenia lub oskarżeń.</w:t>
      </w:r>
    </w:p>
    <w:p w14:paraId="7473A5CF" w14:textId="77777777" w:rsidR="00AB4482" w:rsidRDefault="00346F6F" w:rsidP="000D5DD6">
      <w:pPr>
        <w:pStyle w:val="ECHRPara"/>
      </w:pPr>
      <w:fldSimple w:instr=" SEQ level0 \*arabic ">
        <w:r w:rsidR="00AB4482">
          <w:rPr>
            <w:noProof/>
          </w:rPr>
          <w:t>110</w:t>
        </w:r>
      </w:fldSimple>
      <w:r w:rsidR="001D503F">
        <w:t>. </w:t>
      </w:r>
      <w:r w:rsidR="000D5DD6">
        <w:t xml:space="preserve">Zarzucali, że w obecnej sprawie działalność dochodzeniowa była jednostronna i opierała się </w:t>
      </w:r>
      <w:r w:rsidR="00EA78FC">
        <w:t>na</w:t>
      </w:r>
      <w:r w:rsidR="000D5DD6">
        <w:t xml:space="preserve"> zeznania</w:t>
      </w:r>
      <w:r w:rsidR="00EA78FC">
        <w:t>ch świadków składanych</w:t>
      </w:r>
      <w:r w:rsidR="000D5DD6">
        <w:t xml:space="preserve"> pod nieobecność oskarżonych lub ich obrońców, którzy nie mieli okazji zadać pytań świadkom ani uczestniczy</w:t>
      </w:r>
      <w:r w:rsidR="00EA78FC">
        <w:t>ć w procesie przeprowadzania róż</w:t>
      </w:r>
      <w:r w:rsidR="000D5DD6">
        <w:t>nych czynności dochodzeniowych. Skarżący mieli możliwość złożyć swoje oświadczenia wyłącznie na piśmie.</w:t>
      </w:r>
    </w:p>
    <w:p w14:paraId="13ACD942" w14:textId="77777777" w:rsidR="000D5DD6" w:rsidRPr="00110749" w:rsidRDefault="000D5DD6" w:rsidP="000D5DD6">
      <w:pPr>
        <w:pStyle w:val="ECHRHeading5"/>
      </w:pPr>
      <w:r>
        <w:t>ii.  Rząd</w:t>
      </w:r>
    </w:p>
    <w:p w14:paraId="6917718C" w14:textId="14013A0A" w:rsidR="000D5DD6" w:rsidRPr="00110749" w:rsidRDefault="00346F6F" w:rsidP="000D5DD6">
      <w:pPr>
        <w:pStyle w:val="ECHRPara"/>
      </w:pPr>
      <w:fldSimple w:instr=" SEQ level0 \*arabic ">
        <w:r w:rsidR="00AB4482">
          <w:rPr>
            <w:noProof/>
          </w:rPr>
          <w:t>111</w:t>
        </w:r>
      </w:fldSimple>
      <w:r w:rsidR="00EA78FC">
        <w:t xml:space="preserve">. Rząd argumentował, że Biuro IT </w:t>
      </w:r>
      <w:r w:rsidR="000D5DD6">
        <w:t>CONSOB załączyło do swojego raportu wszystkie dokumenty z dochodzenia, w tym również oświadczenia obrony złożone przez skarżących. Podkreśli</w:t>
      </w:r>
      <w:r w:rsidR="00655041">
        <w:t>ł</w:t>
      </w:r>
      <w:r w:rsidR="000D5DD6">
        <w:t xml:space="preserve"> również, że skarżącym </w:t>
      </w:r>
      <w:r w:rsidR="00655041">
        <w:t xml:space="preserve">przyznano termin </w:t>
      </w:r>
      <w:r w:rsidR="000D5DD6">
        <w:t>trzydziestu dni</w:t>
      </w:r>
      <w:r w:rsidR="00655041">
        <w:t xml:space="preserve"> na złożenie uwag dotyczących</w:t>
      </w:r>
      <w:r w:rsidR="000D5DD6">
        <w:t xml:space="preserve"> noty uzupełniającej Biura IT z dnia 19 października 2006 roku, a także, że skarżący złożyli takie uwagi w dniu 24 listopada 2006 roku bez wnoszenia jakichkolwiek skarg</w:t>
      </w:r>
      <w:r w:rsidR="00DF3287">
        <w:t xml:space="preserve"> że przyznany im termin był za krótki</w:t>
      </w:r>
      <w:r w:rsidR="000D5DD6">
        <w:t xml:space="preserve">. Ponadto, skarżący nigdy nie wystąpili z wnioskiem o wezwanie i przesłuchanie świadków; </w:t>
      </w:r>
      <w:r w:rsidR="00655041">
        <w:t xml:space="preserve">w </w:t>
      </w:r>
      <w:r w:rsidR="000D5DD6">
        <w:t xml:space="preserve">normalnym toku postępowania ich obecność niczemu nie służyła w postępowaniu przed CONSOB, które opierało się </w:t>
      </w:r>
      <w:r w:rsidR="00EA78FC">
        <w:t>na pozyskaniu</w:t>
      </w:r>
      <w:r w:rsidR="000D5DD6">
        <w:t xml:space="preserve"> informacji i </w:t>
      </w:r>
      <w:r w:rsidR="000D5DD6">
        <w:lastRenderedPageBreak/>
        <w:t>danych technicznych. Techniczny charakter przestępstw uzasadniał decyzję o ograniczeniu się do postępowania w formie pisemnej.</w:t>
      </w:r>
    </w:p>
    <w:p w14:paraId="436BE705" w14:textId="7585238D" w:rsidR="00AB4482" w:rsidRDefault="00346F6F" w:rsidP="000D5DD6">
      <w:pPr>
        <w:pStyle w:val="ECHRPara"/>
      </w:pPr>
      <w:fldSimple w:instr=" SEQ level0 \*arabic ">
        <w:r w:rsidR="00AB4482">
          <w:rPr>
            <w:noProof/>
          </w:rPr>
          <w:t>112</w:t>
        </w:r>
      </w:fldSimple>
      <w:r w:rsidR="000D5DD6">
        <w:t xml:space="preserve">. Uwzględniając „administracyjny” charakter postępowania przed CONSOB, Rząd argumentował, że nie można kwestionować jego </w:t>
      </w:r>
      <w:r w:rsidR="00EA78FC">
        <w:t>rzetelności</w:t>
      </w:r>
      <w:r w:rsidR="000D5DD6">
        <w:t xml:space="preserve"> wyłącznie na tej podstawie, że było prowadzone w całości w formie pisemnej. Ponieważ w artykule 6 Konwencji nie ma mowy o postępo</w:t>
      </w:r>
      <w:r w:rsidR="00655041">
        <w:t>waniu administracy</w:t>
      </w:r>
      <w:r w:rsidR="00DB25B4">
        <w:t>jnym, zasady rzetelnego procesu</w:t>
      </w:r>
      <w:r w:rsidR="00655041">
        <w:t xml:space="preserve"> </w:t>
      </w:r>
      <w:r w:rsidR="000D5DD6">
        <w:t xml:space="preserve">mogą być do niego stosowane wyłącznie na zasadzie </w:t>
      </w:r>
      <w:r w:rsidR="000D5DD6">
        <w:rPr>
          <w:i/>
        </w:rPr>
        <w:t>mutatis mutandis</w:t>
      </w:r>
      <w:r w:rsidR="000D5DD6">
        <w:t xml:space="preserve">. Kwestionowane postępowanie zostało faktycznie podyktowane chęcią zapewnienia poszanowania praw do obrony, zasady </w:t>
      </w:r>
      <w:r w:rsidR="00EA78FC">
        <w:t>kontradyktoryjności</w:t>
      </w:r>
      <w:r w:rsidR="000D5DD6">
        <w:t xml:space="preserve"> oraz zasady, ż</w:t>
      </w:r>
      <w:r w:rsidR="006C44F8">
        <w:t>e</w:t>
      </w:r>
      <w:r w:rsidR="000D5DD6">
        <w:t xml:space="preserve"> oskarżenie powinno </w:t>
      </w:r>
      <w:r w:rsidR="00566A88">
        <w:t>korespondować z</w:t>
      </w:r>
      <w:r w:rsidR="000D5DD6">
        <w:t xml:space="preserve"> </w:t>
      </w:r>
      <w:r w:rsidR="00566A88">
        <w:t>czynem podlegającym karze</w:t>
      </w:r>
      <w:r w:rsidR="000D5DD6">
        <w:t>. Skarżący mieli dostęp do akt postępowania, natomiast faza dochodzeniowa i faza orzekająca były od siebie rozdzielone – pierwszy etap odbywał się w ramach jurysdykcji Biura IT i Dyrekcji ds. Sankcji Administracyjnych, podczas gdy drugi etap został powierzony Komisji CONSOB.</w:t>
      </w:r>
    </w:p>
    <w:p w14:paraId="1D8A7885" w14:textId="77777777" w:rsidR="000D5DD6" w:rsidRPr="00110749" w:rsidRDefault="00346F6F" w:rsidP="000D5DD6">
      <w:pPr>
        <w:pStyle w:val="ECHRPara"/>
      </w:pPr>
      <w:fldSimple w:instr=" SEQ level0 \*arabic ">
        <w:r w:rsidR="00AB4482">
          <w:rPr>
            <w:noProof/>
          </w:rPr>
          <w:t>113</w:t>
        </w:r>
      </w:fldSimple>
      <w:r w:rsidR="00566A88">
        <w:t>. </w:t>
      </w:r>
      <w:r w:rsidR="000D5DD6">
        <w:t xml:space="preserve">W związku z powyższym, Rząd podkreślił, że pismo oskarżające skarżących o naruszenie artykułu 87 </w:t>
      </w:r>
      <w:r w:rsidR="000D5DD6">
        <w:rPr>
          <w:i/>
        </w:rPr>
        <w:t xml:space="preserve">ter </w:t>
      </w:r>
      <w:r w:rsidR="000D5DD6">
        <w:t>§ 1 Dekretu Legislacyjnego nr 58 z 1998 roku nie zostało podpisane przez przewodniczącego CONSOB, lecz przez szefa działu ds. opinii na temat rynków i opinii gospodarczych oraz przez dyrektora generalnego ds. działalności instytucjonalnej.</w:t>
      </w:r>
    </w:p>
    <w:bookmarkStart w:id="35" w:name="para114"/>
    <w:p w14:paraId="643E47A7" w14:textId="013734B6"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114</w:t>
      </w:r>
      <w:r w:rsidRPr="00110749">
        <w:fldChar w:fldCharType="end"/>
      </w:r>
      <w:bookmarkEnd w:id="35"/>
      <w:r w:rsidR="001F1119">
        <w:t>. </w:t>
      </w:r>
      <w:r>
        <w:t xml:space="preserve">Z chwilą, gdy postępowanie dotyczące popełnienia </w:t>
      </w:r>
      <w:r w:rsidRPr="00DF3287">
        <w:t>przestępstwa</w:t>
      </w:r>
      <w:r>
        <w:t xml:space="preserve"> zostało </w:t>
      </w:r>
      <w:r w:rsidR="00655041">
        <w:t>wszczęte</w:t>
      </w:r>
      <w:r>
        <w:t xml:space="preserve">, zainteresowane osoby mogły skorzystać ze swoich praw do obrony poprzez </w:t>
      </w:r>
      <w:r w:rsidR="001F1119">
        <w:t>z</w:t>
      </w:r>
      <w:r>
        <w:t xml:space="preserve">łożenie </w:t>
      </w:r>
      <w:r w:rsidR="00655041">
        <w:t xml:space="preserve">pisemnych </w:t>
      </w:r>
      <w:r>
        <w:t>uwag lub poprzez złożenie wniosku o ich przesłuchanie, najpierw przez właściw</w:t>
      </w:r>
      <w:r w:rsidR="00655041">
        <w:t>e biuro</w:t>
      </w:r>
      <w:r>
        <w:t xml:space="preserve">, a następnie przez Dyrekcję ds. Sankcji Administracyjnych. A zatem, </w:t>
      </w:r>
      <w:r w:rsidR="00655041">
        <w:t xml:space="preserve">jak to miało miejsce </w:t>
      </w:r>
      <w:r>
        <w:t>w niniejszej sprawie, osoby te</w:t>
      </w:r>
      <w:r w:rsidR="00655041">
        <w:t xml:space="preserve"> </w:t>
      </w:r>
      <w:r>
        <w:t xml:space="preserve">miały możliwość złożenia uwag dotyczących poszczególnych elementów składających się na </w:t>
      </w:r>
      <w:r w:rsidRPr="00DF3287">
        <w:t>przestępstwo, a</w:t>
      </w:r>
      <w:r>
        <w:t xml:space="preserve"> także wszelkich innych okoliczności, przed rozpatrzeniem ich sprawy. Dochodzenie odbyło się w dwóch etapach (pierwszy etap przed Biurem IT, drugi przed Dyrekcją), przy czym raport Biura został przekazany nie tylko do Dyrekcji, ale również do pozwanych, którzy mogli następnie przedstawić Dyrekcji </w:t>
      </w:r>
      <w:r w:rsidR="00655041">
        <w:t xml:space="preserve">argumenty na </w:t>
      </w:r>
      <w:r>
        <w:t xml:space="preserve">swoją obronę w </w:t>
      </w:r>
      <w:r w:rsidR="00655041">
        <w:t xml:space="preserve">odniesieniu do </w:t>
      </w:r>
      <w:r>
        <w:t xml:space="preserve">jego treści. Fakt, że wnioski Dyrekcji nie zostały przekazane </w:t>
      </w:r>
      <w:r w:rsidR="00655041">
        <w:t>oskarżonym</w:t>
      </w:r>
      <w:r>
        <w:t xml:space="preserve"> oraz, że nie zostali oni osobiście przesłuchani przez Komisję</w:t>
      </w:r>
      <w:r w:rsidR="00655041">
        <w:t>,</w:t>
      </w:r>
      <w:r>
        <w:t xml:space="preserve"> nie miał wpływu na </w:t>
      </w:r>
      <w:r w:rsidR="001F1119">
        <w:t xml:space="preserve">rzetelność </w:t>
      </w:r>
      <w:r>
        <w:t>postępowania.</w:t>
      </w:r>
    </w:p>
    <w:p w14:paraId="444FBA7E" w14:textId="6ABC71FB" w:rsidR="000D5DD6" w:rsidRPr="00110749" w:rsidRDefault="00346F6F" w:rsidP="000D5DD6">
      <w:pPr>
        <w:pStyle w:val="ECHRPara"/>
      </w:pPr>
      <w:fldSimple w:instr=" SEQ level0 \*arabic ">
        <w:r w:rsidR="00AB4482">
          <w:rPr>
            <w:noProof/>
          </w:rPr>
          <w:t>115</w:t>
        </w:r>
      </w:fldSimple>
      <w:r w:rsidR="001F1119">
        <w:t>. </w:t>
      </w:r>
      <w:r w:rsidR="000D5DD6">
        <w:t>Rząd podkreślił, że nawet w sądowym postępowaniu oskarżony nie ma prawa omawiać kary na etapie podejmowania decyzji. Ponadto, maksymalny wymiar tych kar by</w:t>
      </w:r>
      <w:r w:rsidR="00794249">
        <w:t>ł</w:t>
      </w:r>
      <w:r w:rsidR="000D5DD6">
        <w:t xml:space="preserve"> określony prawem, które wskazywało również kryteria, jakie winny być p</w:t>
      </w:r>
      <w:r w:rsidR="00655041">
        <w:t>rzestrzegane</w:t>
      </w:r>
      <w:r w:rsidR="000D5DD6">
        <w:t xml:space="preserve"> dla zapewnienia, że</w:t>
      </w:r>
      <w:r w:rsidR="00794249">
        <w:t>by</w:t>
      </w:r>
      <w:r w:rsidR="000D5DD6">
        <w:t xml:space="preserve"> były one </w:t>
      </w:r>
      <w:r w:rsidR="00794249">
        <w:t>proporcjonalne</w:t>
      </w:r>
      <w:r w:rsidR="000D5DD6">
        <w:t xml:space="preserve"> do powagi popełnionych czynów. Wreszcie, zgodnie z tym, co potwierdziły połączone i</w:t>
      </w:r>
      <w:r w:rsidR="007C0AEE">
        <w:t>zby Sądu K</w:t>
      </w:r>
      <w:r w:rsidR="000D5DD6">
        <w:t xml:space="preserve">asacyjnego w swoim wyroku nr 20935 z 2009 roku, artykuł 187 </w:t>
      </w:r>
      <w:proofErr w:type="spellStart"/>
      <w:r w:rsidR="000D5DD6">
        <w:rPr>
          <w:i/>
        </w:rPr>
        <w:t>septies</w:t>
      </w:r>
      <w:proofErr w:type="spellEnd"/>
      <w:r w:rsidR="000D5DD6">
        <w:t xml:space="preserve"> Dekretu Legislacyjnego nr 58 z 1998 roku (regulując</w:t>
      </w:r>
      <w:r w:rsidR="00FA7858">
        <w:t>y</w:t>
      </w:r>
      <w:r w:rsidR="000D5DD6">
        <w:t xml:space="preserve"> praw</w:t>
      </w:r>
      <w:r w:rsidR="00FA7858">
        <w:t xml:space="preserve">o </w:t>
      </w:r>
      <w:r w:rsidR="000D5DD6">
        <w:t xml:space="preserve">do obrony w kontekście postępowania przed </w:t>
      </w:r>
      <w:r w:rsidR="000D5DD6">
        <w:lastRenderedPageBreak/>
        <w:t>CONSOB) został wprowadzony do włoskiego systemu prawnego szczególnie w celu zapewnienia zgodności z wymaganiami Konwencji.</w:t>
      </w:r>
    </w:p>
    <w:p w14:paraId="41B25209" w14:textId="77777777" w:rsidR="000D5DD6" w:rsidRPr="00110749" w:rsidRDefault="000D5DD6" w:rsidP="000D5DD6">
      <w:pPr>
        <w:pStyle w:val="ECHRHeading4"/>
      </w:pPr>
      <w:r>
        <w:t>(b)  Ocena Trybunału</w:t>
      </w:r>
    </w:p>
    <w:p w14:paraId="7101EA13" w14:textId="3C9BA4B9"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116</w:t>
      </w:r>
      <w:r w:rsidRPr="00110749">
        <w:rPr>
          <w:szCs w:val="24"/>
        </w:rPr>
        <w:fldChar w:fldCharType="end"/>
      </w:r>
      <w:r w:rsidR="007C0AEE">
        <w:t>. </w:t>
      </w:r>
      <w:r>
        <w:t>Trybunał jest gotowy zaakceptować, że, zgodnie z tym, co podkreślił Rząd, postępowanie przed CONSOB umożliwi</w:t>
      </w:r>
      <w:r w:rsidR="00FA7858">
        <w:t>a</w:t>
      </w:r>
      <w:r>
        <w:t>ło oskarżonym złożenie dowodów na swoją obronę. Oskarżenie sformułowane przez Biuro IT zostało faktycznie p</w:t>
      </w:r>
      <w:r w:rsidR="00FA7858">
        <w:t>rzekazan</w:t>
      </w:r>
      <w:r>
        <w:t xml:space="preserve">e do wiadomości skarżącym, którzy zostali zaproszeni do obrony (zobacz punkty </w:t>
      </w:r>
      <w:r w:rsidRPr="00110749">
        <w:rPr>
          <w:szCs w:val="24"/>
        </w:rPr>
        <w:fldChar w:fldCharType="begin"/>
      </w:r>
      <w:r w:rsidRPr="00110749">
        <w:rPr>
          <w:szCs w:val="24"/>
        </w:rPr>
        <w:instrText xml:space="preserve"> REF art187ter \h </w:instrText>
      </w:r>
      <w:r w:rsidRPr="00110749">
        <w:rPr>
          <w:szCs w:val="24"/>
        </w:rPr>
      </w:r>
      <w:r w:rsidRPr="00110749">
        <w:rPr>
          <w:szCs w:val="24"/>
        </w:rPr>
        <w:fldChar w:fldCharType="separate"/>
      </w:r>
      <w:r w:rsidR="00AB4482">
        <w:rPr>
          <w:noProof/>
        </w:rPr>
        <w:t>20</w:t>
      </w:r>
      <w:r w:rsidRPr="00110749">
        <w:rPr>
          <w:szCs w:val="24"/>
        </w:rPr>
        <w:fldChar w:fldCharType="end"/>
      </w:r>
      <w:r>
        <w:t xml:space="preserve"> i </w:t>
      </w:r>
      <w:r w:rsidRPr="00110749">
        <w:rPr>
          <w:szCs w:val="24"/>
        </w:rPr>
        <w:fldChar w:fldCharType="begin"/>
      </w:r>
      <w:r w:rsidRPr="00110749">
        <w:rPr>
          <w:szCs w:val="24"/>
        </w:rPr>
        <w:instrText xml:space="preserve"> REF requsinvitésdefendre \h </w:instrText>
      </w:r>
      <w:r w:rsidRPr="00110749">
        <w:rPr>
          <w:szCs w:val="24"/>
        </w:rPr>
      </w:r>
      <w:r w:rsidRPr="00110749">
        <w:rPr>
          <w:szCs w:val="24"/>
        </w:rPr>
        <w:fldChar w:fldCharType="separate"/>
      </w:r>
      <w:r w:rsidR="00AB4482">
        <w:rPr>
          <w:noProof/>
        </w:rPr>
        <w:t>21</w:t>
      </w:r>
      <w:r w:rsidRPr="00110749">
        <w:rPr>
          <w:szCs w:val="24"/>
        </w:rPr>
        <w:fldChar w:fldCharType="end"/>
      </w:r>
      <w:r>
        <w:t xml:space="preserve"> powyżej). Skarżący zostali również powiadomieni o raporcie Biura IT oraz o nocie uzupełniającej, a także dano im trzydzieści dni na założenie uwag dotyczących drugiego z tych dokumentów (zobacz punkt </w:t>
      </w:r>
      <w:r w:rsidRPr="00110749">
        <w:rPr>
          <w:szCs w:val="24"/>
        </w:rPr>
        <w:fldChar w:fldCharType="begin"/>
      </w:r>
      <w:r w:rsidRPr="00110749">
        <w:rPr>
          <w:szCs w:val="24"/>
        </w:rPr>
        <w:instrText xml:space="preserve"> REF notecomplementaire \h </w:instrText>
      </w:r>
      <w:r w:rsidRPr="00110749">
        <w:rPr>
          <w:szCs w:val="24"/>
        </w:rPr>
      </w:r>
      <w:r w:rsidRPr="00110749">
        <w:rPr>
          <w:szCs w:val="24"/>
        </w:rPr>
        <w:fldChar w:fldCharType="separate"/>
      </w:r>
      <w:r w:rsidR="00AB4482">
        <w:rPr>
          <w:noProof/>
        </w:rPr>
        <w:t>23</w:t>
      </w:r>
      <w:r w:rsidRPr="00110749">
        <w:rPr>
          <w:szCs w:val="24"/>
        </w:rPr>
        <w:fldChar w:fldCharType="end"/>
      </w:r>
      <w:r>
        <w:t xml:space="preserve"> powyżej). Termin ten nie wydaje się niewystarczający, a skarżący nie wystąpili o jego przedłużenie.</w:t>
      </w:r>
    </w:p>
    <w:p w14:paraId="717DCDB1" w14:textId="4F7B551A"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117</w:t>
      </w:r>
      <w:r w:rsidRPr="00110749">
        <w:rPr>
          <w:szCs w:val="24"/>
        </w:rPr>
        <w:fldChar w:fldCharType="end"/>
      </w:r>
      <w:r w:rsidR="00EC4E00">
        <w:t>. </w:t>
      </w:r>
      <w:r>
        <w:t>Niemniej jednak, zgodnie z tym, co potwierdził Rząd (zobacz punkt  </w:t>
      </w:r>
      <w:r w:rsidRPr="00110749">
        <w:rPr>
          <w:szCs w:val="24"/>
        </w:rPr>
        <w:fldChar w:fldCharType="begin"/>
      </w:r>
      <w:r w:rsidRPr="00110749">
        <w:rPr>
          <w:szCs w:val="24"/>
        </w:rPr>
        <w:instrText xml:space="preserve"> REF para114 \h </w:instrText>
      </w:r>
      <w:r w:rsidRPr="00110749">
        <w:rPr>
          <w:szCs w:val="24"/>
        </w:rPr>
      </w:r>
      <w:r w:rsidRPr="00110749">
        <w:rPr>
          <w:szCs w:val="24"/>
        </w:rPr>
        <w:fldChar w:fldCharType="separate"/>
      </w:r>
      <w:r w:rsidR="00AB4482">
        <w:rPr>
          <w:noProof/>
        </w:rPr>
        <w:t>114</w:t>
      </w:r>
      <w:r w:rsidRPr="00110749">
        <w:rPr>
          <w:szCs w:val="24"/>
        </w:rPr>
        <w:fldChar w:fldCharType="end"/>
      </w:r>
      <w:r>
        <w:t xml:space="preserve"> powyżej), raport zawierający wnioski Dyrekcji, który następnie </w:t>
      </w:r>
      <w:r w:rsidR="00FA7858">
        <w:t xml:space="preserve">miał być </w:t>
      </w:r>
      <w:r>
        <w:t xml:space="preserve">wykorzystany jako podstawa </w:t>
      </w:r>
      <w:r w:rsidR="00FA7858">
        <w:t>d</w:t>
      </w:r>
      <w:r>
        <w:t>o podjęcia decyzji przez Komisję, nie został p</w:t>
      </w:r>
      <w:r w:rsidR="00FA7858">
        <w:t>rzekazany</w:t>
      </w:r>
      <w:r>
        <w:t xml:space="preserve"> do wiadomości skarżących, którzy w związku z tym nie byli w stanie bronić się w</w:t>
      </w:r>
      <w:r w:rsidR="00FA7858">
        <w:t xml:space="preserve"> odniesieniu do </w:t>
      </w:r>
      <w:r>
        <w:t>dokumentu ostatecznie złożonego przez organy dochodzeniowe CONSOB do organu odpowiedzialnego za wydanie merytorycznego orzeczenia w sprawie zarzutów. Ponadto, skarżący nie mieli okazji, by przesłuchać lub wystąpić o przesłuchanie tych osób, które były przesłuchiwane przez Biuro IT.</w:t>
      </w:r>
    </w:p>
    <w:p w14:paraId="0248E3A2" w14:textId="6CF6A914"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118</w:t>
      </w:r>
      <w:r w:rsidRPr="00110749">
        <w:rPr>
          <w:szCs w:val="24"/>
        </w:rPr>
        <w:fldChar w:fldCharType="end"/>
      </w:r>
      <w:r w:rsidR="00EC4E00">
        <w:t>. </w:t>
      </w:r>
      <w:r>
        <w:t xml:space="preserve">Trybunał zauważa również, że postępowanie przed CONSOB odbyło się w formie pisemnej oraz, że skarżący nie byli w stanie uczestniczyć w jedynym posiedzeniu </w:t>
      </w:r>
      <w:r w:rsidR="00FA7858">
        <w:t>przeprowadzonym</w:t>
      </w:r>
      <w:r>
        <w:t xml:space="preserve"> przez komisję, na które nie zostali zaproszeni. Fakt ten nie jest kwestionowany przez Rząd. W tym kontekście, Trybunał pragnie podkreślić, że </w:t>
      </w:r>
      <w:r w:rsidR="00F125AB">
        <w:t>jawna</w:t>
      </w:r>
      <w:r>
        <w:t xml:space="preserve"> rozprawa stanowi fundamentalną za</w:t>
      </w:r>
      <w:r w:rsidR="006F5056">
        <w:t>sadę przewidzianą w artykule 6 ust.</w:t>
      </w:r>
      <w:r>
        <w:t xml:space="preserve"> 1 (zobacz </w:t>
      </w:r>
      <w:proofErr w:type="spellStart"/>
      <w:r>
        <w:rPr>
          <w:i/>
        </w:rPr>
        <w:t>Jussila</w:t>
      </w:r>
      <w:proofErr w:type="spellEnd"/>
      <w:r>
        <w:t xml:space="preserve">, </w:t>
      </w:r>
      <w:r w:rsidR="00A63E4A" w:rsidRPr="00A63E4A">
        <w:rPr>
          <w:i/>
        </w:rPr>
        <w:t>op. cit.</w:t>
      </w:r>
      <w:r>
        <w:t xml:space="preserve">, </w:t>
      </w:r>
      <w:r w:rsidR="007E48CB">
        <w:t>§</w:t>
      </w:r>
      <w:r>
        <w:t xml:space="preserve"> 40).</w:t>
      </w:r>
    </w:p>
    <w:p w14:paraId="415179B8" w14:textId="03B54DFC" w:rsidR="000D5DD6" w:rsidRPr="00110749" w:rsidRDefault="00346F6F" w:rsidP="000D5DD6">
      <w:pPr>
        <w:pStyle w:val="ECHRPara"/>
        <w:rPr>
          <w:szCs w:val="24"/>
        </w:rPr>
      </w:pPr>
      <w:fldSimple w:instr=" SEQ level0 \*arabic ">
        <w:r w:rsidR="00AB4482">
          <w:rPr>
            <w:noProof/>
          </w:rPr>
          <w:t>119</w:t>
        </w:r>
      </w:fldSimple>
      <w:r w:rsidR="004D1EA7">
        <w:t>. </w:t>
      </w:r>
      <w:r w:rsidR="000D5DD6">
        <w:t>Jednakże, zobowiązanie d</w:t>
      </w:r>
      <w:r w:rsidR="00DF3287">
        <w:t>o</w:t>
      </w:r>
      <w:r w:rsidR="000D5DD6">
        <w:t xml:space="preserve"> </w:t>
      </w:r>
      <w:r w:rsidR="00FA7858">
        <w:t>przeprowadzenia</w:t>
      </w:r>
      <w:r w:rsidR="000D5DD6">
        <w:t xml:space="preserve"> rozprawy nie ma charakteru absolutnego (zobacz </w:t>
      </w:r>
      <w:proofErr w:type="spellStart"/>
      <w:r w:rsidR="000D5DD6">
        <w:rPr>
          <w:i/>
        </w:rPr>
        <w:t>Håkansson</w:t>
      </w:r>
      <w:proofErr w:type="spellEnd"/>
      <w:r w:rsidR="000D5DD6">
        <w:rPr>
          <w:i/>
        </w:rPr>
        <w:t xml:space="preserve"> i </w:t>
      </w:r>
      <w:proofErr w:type="spellStart"/>
      <w:r w:rsidR="000D5DD6">
        <w:rPr>
          <w:i/>
        </w:rPr>
        <w:t>Sturesson</w:t>
      </w:r>
      <w:proofErr w:type="spellEnd"/>
      <w:r w:rsidR="000D5DD6">
        <w:rPr>
          <w:i/>
        </w:rPr>
        <w:t xml:space="preserve"> przeciwko Szwecji</w:t>
      </w:r>
      <w:r w:rsidR="000D5DD6">
        <w:t xml:space="preserve">, 21 lutego 1990 roku, </w:t>
      </w:r>
      <w:r w:rsidR="007E48CB">
        <w:t>§</w:t>
      </w:r>
      <w:r w:rsidR="000D5DD6">
        <w:t> 66, Seria A nr 171-A) i mogą wystąpić postępowania, w których rozprawa może nie być wymagana, na przykład w s</w:t>
      </w:r>
      <w:r w:rsidR="00491441">
        <w:t>prawach</w:t>
      </w:r>
      <w:r w:rsidR="000D5DD6">
        <w:t xml:space="preserve">, gdzie nie ma kwestii wiarygodności lub gdzie nie kwestionuje się faktów, </w:t>
      </w:r>
      <w:r w:rsidR="00491441">
        <w:t xml:space="preserve">które </w:t>
      </w:r>
      <w:r w:rsidR="000D5DD6">
        <w:t>pociąga</w:t>
      </w:r>
      <w:r w:rsidR="00491441">
        <w:t>łyby za sobą konieczność</w:t>
      </w:r>
      <w:r w:rsidR="000D5DD6">
        <w:t xml:space="preserve"> </w:t>
      </w:r>
      <w:r w:rsidR="00FA7858">
        <w:t xml:space="preserve">przeprowadzenia </w:t>
      </w:r>
      <w:r w:rsidR="00491441">
        <w:t xml:space="preserve">ustnej konfrontacji, w których </w:t>
      </w:r>
      <w:r w:rsidR="000D5DD6">
        <w:t xml:space="preserve">to </w:t>
      </w:r>
      <w:r w:rsidR="00491441">
        <w:t xml:space="preserve">sprawach </w:t>
      </w:r>
      <w:r w:rsidR="000D5DD6">
        <w:t xml:space="preserve">sądy mogą w sposób </w:t>
      </w:r>
      <w:r w:rsidR="006F5056">
        <w:t>rzetelny</w:t>
      </w:r>
      <w:r w:rsidR="000D5DD6">
        <w:t xml:space="preserve"> i uzasadniony wydać orzeczenie na podstawie oświadczeń złożonych przez strony oraz innych pisemnych materiałów (zobacz, na przykład, </w:t>
      </w:r>
      <w:proofErr w:type="spellStart"/>
      <w:r w:rsidR="000D5DD6">
        <w:rPr>
          <w:i/>
        </w:rPr>
        <w:t>Döry</w:t>
      </w:r>
      <w:proofErr w:type="spellEnd"/>
      <w:r w:rsidR="000D5DD6">
        <w:rPr>
          <w:i/>
        </w:rPr>
        <w:t xml:space="preserve"> przeciwko Szwecji</w:t>
      </w:r>
      <w:r w:rsidR="000D5DD6">
        <w:t xml:space="preserve">, nr 28394/95, </w:t>
      </w:r>
      <w:r w:rsidR="007E48CB">
        <w:t>§</w:t>
      </w:r>
      <w:r w:rsidR="000D5DD6">
        <w:t xml:space="preserve"> 37, 12 listopada 2002 roku; </w:t>
      </w:r>
      <w:proofErr w:type="spellStart"/>
      <w:r w:rsidR="000D5DD6">
        <w:rPr>
          <w:i/>
        </w:rPr>
        <w:t>Pursiheimo</w:t>
      </w:r>
      <w:proofErr w:type="spellEnd"/>
      <w:r w:rsidR="000D5DD6">
        <w:rPr>
          <w:i/>
        </w:rPr>
        <w:t xml:space="preserve"> przeciwko Finlandii</w:t>
      </w:r>
      <w:r w:rsidR="000D5DD6">
        <w:t xml:space="preserve"> (</w:t>
      </w:r>
      <w:r w:rsidR="00FA7858">
        <w:t>decyzja</w:t>
      </w:r>
      <w:r w:rsidR="000D5DD6">
        <w:t xml:space="preserve">), nr 57795/00, 25 listopada 2003 roku; </w:t>
      </w:r>
      <w:proofErr w:type="spellStart"/>
      <w:r w:rsidR="000D5DD6">
        <w:rPr>
          <w:i/>
        </w:rPr>
        <w:t>Jussila</w:t>
      </w:r>
      <w:proofErr w:type="spellEnd"/>
      <w:r w:rsidR="000D5DD6">
        <w:t xml:space="preserve">, </w:t>
      </w:r>
      <w:r w:rsidR="00A63E4A" w:rsidRPr="00A63E4A">
        <w:rPr>
          <w:i/>
        </w:rPr>
        <w:t>op. cit.</w:t>
      </w:r>
      <w:r w:rsidR="000D5DD6">
        <w:t xml:space="preserve">, </w:t>
      </w:r>
      <w:r w:rsidR="007E48CB">
        <w:t>§</w:t>
      </w:r>
      <w:r w:rsidR="000D5DD6">
        <w:t xml:space="preserve"> 41; oraz </w:t>
      </w:r>
      <w:proofErr w:type="spellStart"/>
      <w:r w:rsidR="000D5DD6">
        <w:rPr>
          <w:i/>
          <w:color w:val="000000"/>
        </w:rPr>
        <w:t>Suhadolc</w:t>
      </w:r>
      <w:proofErr w:type="spellEnd"/>
      <w:r w:rsidR="000D5DD6">
        <w:rPr>
          <w:i/>
        </w:rPr>
        <w:t xml:space="preserve"> przeciwko Słowenii </w:t>
      </w:r>
      <w:r w:rsidR="000D5DD6">
        <w:t>(dec</w:t>
      </w:r>
      <w:r w:rsidR="00FA7858">
        <w:t>yzja</w:t>
      </w:r>
      <w:r w:rsidR="000D5DD6">
        <w:t xml:space="preserve">), nr </w:t>
      </w:r>
      <w:r w:rsidR="000D5DD6">
        <w:rPr>
          <w:vertAlign w:val="superscript"/>
        </w:rPr>
        <w:t> </w:t>
      </w:r>
      <w:r w:rsidR="000D5DD6">
        <w:rPr>
          <w:color w:val="000000"/>
        </w:rPr>
        <w:t>57655/08</w:t>
      </w:r>
      <w:r w:rsidR="000D5DD6">
        <w:t xml:space="preserve">, </w:t>
      </w:r>
      <w:r w:rsidR="00FA7858">
        <w:rPr>
          <w:color w:val="000000"/>
        </w:rPr>
        <w:t>17 maja 2011 roku, w której</w:t>
      </w:r>
      <w:r w:rsidR="000D5DD6">
        <w:rPr>
          <w:color w:val="000000"/>
        </w:rPr>
        <w:t xml:space="preserve"> </w:t>
      </w:r>
      <w:r w:rsidR="00FA7858">
        <w:rPr>
          <w:color w:val="000000"/>
        </w:rPr>
        <w:t xml:space="preserve">Trybunał </w:t>
      </w:r>
      <w:r w:rsidR="000D5DD6">
        <w:rPr>
          <w:color w:val="000000"/>
        </w:rPr>
        <w:t xml:space="preserve">stwierdził, że brak </w:t>
      </w:r>
      <w:r w:rsidR="00DF3287">
        <w:rPr>
          <w:color w:val="000000"/>
        </w:rPr>
        <w:t>jawnej</w:t>
      </w:r>
      <w:r w:rsidR="00491441">
        <w:rPr>
          <w:color w:val="000000"/>
        </w:rPr>
        <w:t xml:space="preserve"> </w:t>
      </w:r>
      <w:r w:rsidR="000D5DD6">
        <w:rPr>
          <w:color w:val="000000"/>
        </w:rPr>
        <w:t xml:space="preserve">rozprawy nie sprawiał wrażenia naruszenia artykułu 6 Konwencji, w sprawie dotyczącej przekroczenia prędkości oraz prowadzenia pojazdu pod wpływem alkoholu, gdzie dowody </w:t>
      </w:r>
      <w:r w:rsidR="000D5DD6">
        <w:rPr>
          <w:color w:val="000000"/>
        </w:rPr>
        <w:lastRenderedPageBreak/>
        <w:t>przeciwko oskarżonemu zostały pozyskane przy wykorzystaniu urządzeń technicznych)</w:t>
      </w:r>
      <w:r w:rsidR="000D5DD6">
        <w:t>.</w:t>
      </w:r>
    </w:p>
    <w:p w14:paraId="6DB766B4" w14:textId="34B5CDF8" w:rsidR="000D5DD6" w:rsidRPr="00110749"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120</w:t>
      </w:r>
      <w:r w:rsidRPr="00110749">
        <w:rPr>
          <w:szCs w:val="24"/>
        </w:rPr>
        <w:fldChar w:fldCharType="end"/>
      </w:r>
      <w:r w:rsidR="007F398B">
        <w:t>. </w:t>
      </w:r>
      <w:r>
        <w:t xml:space="preserve">Podczas gdy wymagania dotyczące </w:t>
      </w:r>
      <w:r w:rsidR="00DB25B4">
        <w:t xml:space="preserve">rzetelnego procesu </w:t>
      </w:r>
      <w:r>
        <w:t>są najsurowsze w sferze prawa karnego, Trybunał nie może wykluczyć, że w sferze karnej charakter sprawy, jaka ma być rozpatrzona przez sąd</w:t>
      </w:r>
      <w:r w:rsidR="00FA7858">
        <w:t>,</w:t>
      </w:r>
      <w:r>
        <w:t xml:space="preserve"> może nie wymagać rozprawy. Niezależnie od uznania, że pewna powaga jest związana z postępowaniem karnym, które </w:t>
      </w:r>
      <w:r w:rsidR="00FA7858">
        <w:t>dotyczy pociągnięcia</w:t>
      </w:r>
      <w:r>
        <w:t xml:space="preserve"> do odpowie</w:t>
      </w:r>
      <w:r w:rsidR="00FA7858">
        <w:t>dzialności karnej oraz nałożenia</w:t>
      </w:r>
      <w:r>
        <w:t xml:space="preserve"> sankcji karnych i odstraszających, ewidentne jest, że są sprawy karne, które nie są związane z jakimś szczególnie znaczącym </w:t>
      </w:r>
      <w:r w:rsidR="002555E6">
        <w:t>stopniem napiętnowania</w:t>
      </w:r>
      <w:r>
        <w:t>. Istnieją zatem najwyraźniej „</w:t>
      </w:r>
      <w:r w:rsidR="00FA7858">
        <w:t>oskarżenia w sprawie</w:t>
      </w:r>
      <w:r>
        <w:t xml:space="preserve"> karne</w:t>
      </w:r>
      <w:r w:rsidR="00FA7858">
        <w:t>j</w:t>
      </w:r>
      <w:r>
        <w:t xml:space="preserve">” o różnej wadze (zobacz </w:t>
      </w:r>
      <w:proofErr w:type="spellStart"/>
      <w:r>
        <w:rPr>
          <w:i/>
        </w:rPr>
        <w:t>Jussila</w:t>
      </w:r>
      <w:proofErr w:type="spellEnd"/>
      <w:r>
        <w:t xml:space="preserve">, </w:t>
      </w:r>
      <w:r w:rsidR="00A63E4A" w:rsidRPr="00A63E4A">
        <w:rPr>
          <w:i/>
        </w:rPr>
        <w:t>op. cit.</w:t>
      </w:r>
      <w:r>
        <w:t xml:space="preserve">, </w:t>
      </w:r>
      <w:r w:rsidR="007E48CB">
        <w:t>§</w:t>
      </w:r>
      <w:r>
        <w:t xml:space="preserve"> 43).</w:t>
      </w:r>
    </w:p>
    <w:p w14:paraId="2FEBF696" w14:textId="3DD1C88F" w:rsidR="000D5DD6" w:rsidRPr="00110749" w:rsidRDefault="00346F6F" w:rsidP="000D5DD6">
      <w:pPr>
        <w:pStyle w:val="ECHRPara"/>
      </w:pPr>
      <w:fldSimple w:instr=" SEQ level0 \*arabic ">
        <w:r w:rsidR="00AB4482">
          <w:rPr>
            <w:noProof/>
          </w:rPr>
          <w:t>121</w:t>
        </w:r>
      </w:fldSimple>
      <w:r w:rsidR="00BF7791">
        <w:t>. </w:t>
      </w:r>
      <w:r w:rsidR="000D5DD6">
        <w:t>Należy również powiedzieć, że fakt, iż postępowanie m</w:t>
      </w:r>
      <w:r w:rsidR="002555E6">
        <w:t>a</w:t>
      </w:r>
      <w:r w:rsidR="000D5DD6">
        <w:t xml:space="preserve"> istotne osobiste znaczenie dla skarżącego</w:t>
      </w:r>
      <w:r w:rsidR="002555E6">
        <w:t>,</w:t>
      </w:r>
      <w:r w:rsidR="000D5DD6">
        <w:t xml:space="preserve"> nie stanowi decydującego czynnika dla stwierdzenia konieczności </w:t>
      </w:r>
      <w:r w:rsidR="002555E6">
        <w:t>przeprowadzeni</w:t>
      </w:r>
      <w:r w:rsidR="000D5DD6">
        <w:t xml:space="preserve">a rozprawy (zobacz </w:t>
      </w:r>
      <w:proofErr w:type="spellStart"/>
      <w:r w:rsidR="000D5DD6">
        <w:rPr>
          <w:i/>
        </w:rPr>
        <w:t>Pirinen</w:t>
      </w:r>
      <w:proofErr w:type="spellEnd"/>
      <w:r w:rsidR="000D5DD6">
        <w:rPr>
          <w:i/>
        </w:rPr>
        <w:t xml:space="preserve"> przeciwko Finlandii</w:t>
      </w:r>
      <w:r w:rsidR="000D5DD6">
        <w:t xml:space="preserve"> (</w:t>
      </w:r>
      <w:r w:rsidR="00FA7858">
        <w:t>decyzja</w:t>
      </w:r>
      <w:r w:rsidR="000D5DD6">
        <w:t xml:space="preserve">), nr 32447/02, 16 maja 2006 roku). Niemniej jednak, odmowa </w:t>
      </w:r>
      <w:r w:rsidR="002555E6">
        <w:t>przeprowadzenia</w:t>
      </w:r>
      <w:r w:rsidR="000D5DD6">
        <w:t xml:space="preserve"> rozprawy może być uzasadniona jedynie w rzadkich wypadkach (zobacz </w:t>
      </w:r>
      <w:r w:rsidR="000D5DD6">
        <w:rPr>
          <w:i/>
        </w:rPr>
        <w:t>Miller przeciwko Szwecji</w:t>
      </w:r>
      <w:r w:rsidR="000D5DD6">
        <w:t xml:space="preserve">, nr 55853/00, </w:t>
      </w:r>
      <w:r w:rsidR="007E48CB">
        <w:t>§</w:t>
      </w:r>
      <w:r w:rsidR="000D5DD6">
        <w:t xml:space="preserve"> 29, 8 lutego 2005 roku, oraz </w:t>
      </w:r>
      <w:proofErr w:type="spellStart"/>
      <w:r w:rsidR="000D5DD6">
        <w:rPr>
          <w:i/>
        </w:rPr>
        <w:t>Jussila</w:t>
      </w:r>
      <w:proofErr w:type="spellEnd"/>
      <w:r w:rsidR="000D5DD6">
        <w:t xml:space="preserve">, </w:t>
      </w:r>
      <w:r w:rsidR="00A63E4A" w:rsidRPr="00A63E4A">
        <w:rPr>
          <w:i/>
        </w:rPr>
        <w:t>op. cit.</w:t>
      </w:r>
      <w:r w:rsidR="000D5DD6">
        <w:t xml:space="preserve">, </w:t>
      </w:r>
      <w:r w:rsidR="007E48CB">
        <w:t>§</w:t>
      </w:r>
      <w:r w:rsidR="000D5DD6">
        <w:t xml:space="preserve"> 42).</w:t>
      </w:r>
    </w:p>
    <w:bookmarkStart w:id="36" w:name="necessitéaudience"/>
    <w:p w14:paraId="0A5FA140" w14:textId="4068C0F4"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122</w:t>
      </w:r>
      <w:r w:rsidRPr="00110749">
        <w:fldChar w:fldCharType="end"/>
      </w:r>
      <w:bookmarkEnd w:id="36"/>
      <w:r w:rsidR="00BF7791">
        <w:t>. </w:t>
      </w:r>
      <w:r>
        <w:t xml:space="preserve">Co do niniejszej sprawy, Trybunał uznaje, że </w:t>
      </w:r>
      <w:r w:rsidR="00F125AB">
        <w:t xml:space="preserve">jawna </w:t>
      </w:r>
      <w:r>
        <w:t xml:space="preserve">rozprawa, otwarta i dostępna dla skarżących, była niezbędna. W </w:t>
      </w:r>
      <w:r w:rsidR="002555E6">
        <w:t>tym względzie</w:t>
      </w:r>
      <w:r>
        <w:t xml:space="preserve">, Trybunał zauważa, że </w:t>
      </w:r>
      <w:r w:rsidR="002555E6">
        <w:t>k</w:t>
      </w:r>
      <w:r w:rsidR="00D35714">
        <w:t xml:space="preserve">westionowane </w:t>
      </w:r>
      <w:r w:rsidR="002555E6">
        <w:t xml:space="preserve">były </w:t>
      </w:r>
      <w:r>
        <w:t xml:space="preserve">fakty, w szczególności w odniesieniu do </w:t>
      </w:r>
      <w:r w:rsidR="002555E6">
        <w:t xml:space="preserve">stanu </w:t>
      </w:r>
      <w:r>
        <w:t xml:space="preserve">postępów </w:t>
      </w:r>
      <w:r w:rsidR="002555E6">
        <w:t>w negocjacjach</w:t>
      </w:r>
      <w:r>
        <w:t xml:space="preserve"> z Merrill Lynch International </w:t>
      </w:r>
      <w:proofErr w:type="spellStart"/>
      <w:r>
        <w:t>Ltd</w:t>
      </w:r>
      <w:proofErr w:type="spellEnd"/>
      <w:r>
        <w:t xml:space="preserve">, a także, niezależnie od </w:t>
      </w:r>
      <w:r w:rsidR="008D1A9E">
        <w:t>surowości</w:t>
      </w:r>
      <w:r>
        <w:t xml:space="preserve"> finansowej, kary, </w:t>
      </w:r>
      <w:r w:rsidR="002555E6">
        <w:t xml:space="preserve">jakimi zagrożeni byli </w:t>
      </w:r>
      <w:r>
        <w:t>n</w:t>
      </w:r>
      <w:r w:rsidR="00D35714">
        <w:t>iektórzy z oskarżonych</w:t>
      </w:r>
      <w:r w:rsidR="002555E6">
        <w:t>,</w:t>
      </w:r>
      <w:r w:rsidR="00D35714">
        <w:t xml:space="preserve"> niosły za</w:t>
      </w:r>
      <w:r>
        <w:t xml:space="preserve"> sobą</w:t>
      </w:r>
      <w:r w:rsidR="00026C7B">
        <w:t>, jak wcześniej wskazano, znaczący stopień</w:t>
      </w:r>
      <w:r>
        <w:t xml:space="preserve"> </w:t>
      </w:r>
      <w:r w:rsidR="002555E6">
        <w:t>napiętnowania</w:t>
      </w:r>
      <w:r>
        <w:t xml:space="preserve"> </w:t>
      </w:r>
      <w:r w:rsidR="00026C7B">
        <w:t xml:space="preserve">(zob. </w:t>
      </w:r>
      <w:r w:rsidR="004063EE">
        <w:t>punkt</w:t>
      </w:r>
      <w:r w:rsidR="00026C7B">
        <w:t xml:space="preserve"> …, 97 i 98 powyżej) </w:t>
      </w:r>
      <w:r>
        <w:t xml:space="preserve">i </w:t>
      </w:r>
      <w:r w:rsidR="002555E6">
        <w:t>mogły narażać</w:t>
      </w:r>
      <w:r>
        <w:t xml:space="preserve"> na szwank reputację </w:t>
      </w:r>
      <w:r w:rsidR="002555E6">
        <w:t xml:space="preserve">zawodową </w:t>
      </w:r>
      <w:r>
        <w:t>i dobre imię zainteresowanych osób.</w:t>
      </w:r>
    </w:p>
    <w:p w14:paraId="11B9D60A" w14:textId="28507ED8" w:rsidR="000D5DD6" w:rsidRPr="00110749" w:rsidRDefault="00346F6F" w:rsidP="000D5DD6">
      <w:pPr>
        <w:pStyle w:val="ECHRPara"/>
      </w:pPr>
      <w:fldSimple w:instr=" SEQ level0 \*arabic ">
        <w:r w:rsidR="00AB4482">
          <w:rPr>
            <w:noProof/>
          </w:rPr>
          <w:t>123</w:t>
        </w:r>
      </w:fldSimple>
      <w:r w:rsidR="00026C7B">
        <w:t>. </w:t>
      </w:r>
      <w:r w:rsidR="000D5DD6">
        <w:t>W świetle powyższego, Trybunał uzna</w:t>
      </w:r>
      <w:r w:rsidR="002555E6">
        <w:t>je</w:t>
      </w:r>
      <w:r w:rsidR="000D5DD6">
        <w:t xml:space="preserve">, że postępowanie przed CONSOB nie spełniło wszystkich wymogów artykułu 6 Konwencji, w szczególności w odniesieniu do zasady równości broni między oskarżycielem a obroną, a także </w:t>
      </w:r>
      <w:r w:rsidR="002555E6">
        <w:t>przeprowadzenia</w:t>
      </w:r>
      <w:r w:rsidR="000D5DD6">
        <w:t xml:space="preserve"> </w:t>
      </w:r>
      <w:r w:rsidR="00F125AB">
        <w:t>jawnej</w:t>
      </w:r>
      <w:r w:rsidR="000D5DD6">
        <w:t xml:space="preserve"> rozprawy, która </w:t>
      </w:r>
      <w:r w:rsidR="002555E6">
        <w:t>umożliwiłaby</w:t>
      </w:r>
      <w:r w:rsidR="000D5DD6">
        <w:t xml:space="preserve"> ustną konfrontację.</w:t>
      </w:r>
    </w:p>
    <w:p w14:paraId="2155038B" w14:textId="77777777" w:rsidR="00AB4482" w:rsidRDefault="000D5DD6" w:rsidP="000D5DD6">
      <w:pPr>
        <w:pStyle w:val="ECHRHeading3"/>
      </w:pPr>
      <w:r>
        <w:t>2.  Czy CONSOB stanowił niezawisły i bezstronny sąd</w:t>
      </w:r>
    </w:p>
    <w:p w14:paraId="5575B107" w14:textId="77777777" w:rsidR="000D5DD6" w:rsidRPr="00110749" w:rsidRDefault="000D5DD6" w:rsidP="000D5DD6">
      <w:pPr>
        <w:pStyle w:val="ECHRHeading4"/>
      </w:pPr>
      <w:r>
        <w:t>(a)  Stanowiska stron</w:t>
      </w:r>
    </w:p>
    <w:p w14:paraId="1F1548F7" w14:textId="77777777" w:rsidR="000D5DD6" w:rsidRPr="00110749" w:rsidRDefault="000D5DD6" w:rsidP="000D5DD6">
      <w:pPr>
        <w:pStyle w:val="ECHRHeading5"/>
      </w:pPr>
      <w:r>
        <w:t>i.  Skarżący</w:t>
      </w:r>
    </w:p>
    <w:p w14:paraId="0E9CE308" w14:textId="77777777" w:rsidR="000D5DD6" w:rsidRPr="00110749" w:rsidRDefault="00346F6F" w:rsidP="000D5DD6">
      <w:pPr>
        <w:pStyle w:val="ECHRPara"/>
      </w:pPr>
      <w:fldSimple w:instr=" SEQ level0 \*arabic ">
        <w:r w:rsidR="00AB4482">
          <w:rPr>
            <w:noProof/>
          </w:rPr>
          <w:t>124</w:t>
        </w:r>
      </w:fldSimple>
      <w:r w:rsidR="00B1549E">
        <w:t>. </w:t>
      </w:r>
      <w:r w:rsidR="000D5DD6">
        <w:t xml:space="preserve">Skarżący zarzucali, że ze względu na swoją strukturę oraz uprawnienia udzielone przewodniczącemu, CONSOB nie był „niezawisłym i bezstronnym </w:t>
      </w:r>
      <w:r w:rsidR="0049633A">
        <w:t>sądem” w rozumieniu artykułu 6 ust.</w:t>
      </w:r>
      <w:r w:rsidR="000D5DD6">
        <w:t xml:space="preserve"> 1 Konwencji.</w:t>
      </w:r>
    </w:p>
    <w:p w14:paraId="33BE5F55" w14:textId="502E83C2" w:rsidR="000D5DD6" w:rsidRPr="00110749" w:rsidRDefault="00346F6F" w:rsidP="000D5DD6">
      <w:pPr>
        <w:pStyle w:val="ECHRPara"/>
      </w:pPr>
      <w:fldSimple w:instr=" SEQ level0 \*arabic ">
        <w:r w:rsidR="00AB4482">
          <w:rPr>
            <w:noProof/>
          </w:rPr>
          <w:t>125</w:t>
        </w:r>
      </w:fldSimple>
      <w:r w:rsidR="0049633A">
        <w:t>. </w:t>
      </w:r>
      <w:r w:rsidR="000D5DD6">
        <w:t xml:space="preserve">Podkreślili, że etap dochodzeniowy w ich sprawie został przeprowadzony przez Biuro IT oraz przez Dyrekcję ds. Sankcji Administracyjnych. Niemniej jednak, przewodniczący CONSOB został wezwany do nadzorowania tej fazy, zanim przewodniczył samej Komisji, </w:t>
      </w:r>
      <w:r w:rsidR="000D5DD6">
        <w:lastRenderedPageBreak/>
        <w:t xml:space="preserve">czyli innymi słowy organowi odpowiedzialnemu za nałożenie kary. Nie było zatem wyraźnego oddzielenia między etapem dochodzenia i orzekania, a pełnienie tej podwójnej roli przez przewodniczącego mogło dać podstawę do </w:t>
      </w:r>
      <w:r w:rsidR="0057727C">
        <w:t xml:space="preserve">obiektywnie </w:t>
      </w:r>
      <w:r w:rsidR="000D5DD6">
        <w:t>uzasadnionych</w:t>
      </w:r>
      <w:r w:rsidR="0057727C">
        <w:t xml:space="preserve"> </w:t>
      </w:r>
      <w:r w:rsidR="000D5DD6">
        <w:t xml:space="preserve">wątpliwości co do jego bezstronności. To samo dotyczyło pozostałych członków Komisji, którzy dowiedzieli się o okolicznościach sprawy wyłącznie od przewodniczącego oraz wyłącznie na podstawie wersji przedstawionej przez Dyrekcję, do której nie były dołączone oświadczenia obrony złożone przez oskarżonych. Wreszcie, organy odpowiedzialne za dochodzenie nie były niezależne od osób stojących </w:t>
      </w:r>
      <w:r w:rsidR="0049633A">
        <w:t xml:space="preserve">wyżej w hierarchii </w:t>
      </w:r>
      <w:r w:rsidR="000D5DD6">
        <w:t>CONSOB.</w:t>
      </w:r>
    </w:p>
    <w:p w14:paraId="295C06EA" w14:textId="77777777" w:rsidR="000D5DD6" w:rsidRPr="00110749" w:rsidRDefault="00346F6F" w:rsidP="000D5DD6">
      <w:pPr>
        <w:pStyle w:val="ECHRPara"/>
      </w:pPr>
      <w:fldSimple w:instr=" SEQ level0 \*arabic ">
        <w:r w:rsidR="00AB4482">
          <w:rPr>
            <w:noProof/>
          </w:rPr>
          <w:t>126</w:t>
        </w:r>
      </w:fldSimple>
      <w:r w:rsidR="000D5DD6">
        <w:t>. Zgodnie z Uchwałą CONSOB nr 15087 z dnia 21 czerwca 2005 roku, przewodniczący stał na czele Komisji: on nakładał kary, nadzorował dochodzenie przygotowawcze oraz upoważniał do wykorzystania uprawnień dochodzeniowych. Miał prawo nakazać przeprowadzenie inspekcji lub podjęcie innych środków dochodzeniowych, a w konsekwencji nie mógł być uznany za „neutralnego” i bezstronnego sędziego.</w:t>
      </w:r>
    </w:p>
    <w:p w14:paraId="4A81F9FA" w14:textId="77777777" w:rsidR="000D5DD6" w:rsidRPr="00110749" w:rsidRDefault="000D5DD6" w:rsidP="000D5DD6">
      <w:pPr>
        <w:pStyle w:val="ECHRHeading5"/>
      </w:pPr>
      <w:r>
        <w:t>ii.  Rząd</w:t>
      </w:r>
    </w:p>
    <w:bookmarkStart w:id="37" w:name="indépendance"/>
    <w:p w14:paraId="775FC3C8" w14:textId="0DB6F6BC"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127</w:t>
      </w:r>
      <w:r w:rsidRPr="00110749">
        <w:fldChar w:fldCharType="end"/>
      </w:r>
      <w:bookmarkEnd w:id="37"/>
      <w:r w:rsidR="00D12C9C">
        <w:t>. </w:t>
      </w:r>
      <w:r>
        <w:t>Rząd zauważył, że CONSOB składał</w:t>
      </w:r>
      <w:r w:rsidR="0057727C">
        <w:t>a</w:t>
      </w:r>
      <w:r>
        <w:t xml:space="preserve"> się z przewodniczącego i czterech członków, wybranych z grona niezależnych osób posiadających specjalne umiejętności oraz właściwe przymioty moralne. W danym czasie, członkowie ci </w:t>
      </w:r>
      <w:r w:rsidR="0057727C">
        <w:t xml:space="preserve">byli </w:t>
      </w:r>
      <w:r>
        <w:t>wyb</w:t>
      </w:r>
      <w:r w:rsidR="0057727C">
        <w:t>ierani</w:t>
      </w:r>
      <w:r>
        <w:t xml:space="preserve"> na okres pięciu lat, a ich kadencja mogła być przedłużona wyłącznie jednokrotnie. Podczas swojej kadencji członkowie ci nie mieli prawa wykonywać żadnej innej działalności zawodowej lub gospodarczej, ani też piastować żadnych </w:t>
      </w:r>
      <w:r w:rsidR="0057727C">
        <w:t xml:space="preserve">stanowisk </w:t>
      </w:r>
      <w:r>
        <w:t>publicznych.</w:t>
      </w:r>
    </w:p>
    <w:bookmarkStart w:id="38" w:name="indépendance2"/>
    <w:p w14:paraId="2FE6D94D" w14:textId="1767198C"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128</w:t>
      </w:r>
      <w:r w:rsidRPr="00110749">
        <w:fldChar w:fldCharType="end"/>
      </w:r>
      <w:bookmarkEnd w:id="38"/>
      <w:r w:rsidR="00D12C9C">
        <w:t>. </w:t>
      </w:r>
      <w:r>
        <w:t>CONSOB był</w:t>
      </w:r>
      <w:r w:rsidR="0057727C">
        <w:t>a</w:t>
      </w:r>
      <w:r>
        <w:t xml:space="preserve"> niezależn</w:t>
      </w:r>
      <w:r w:rsidR="0057727C">
        <w:t>a</w:t>
      </w:r>
      <w:r>
        <w:t xml:space="preserve"> od wszelkich innych organów, a w szczególności od organów wykonawczych. M</w:t>
      </w:r>
      <w:r w:rsidR="00C4105B">
        <w:t>ogła</w:t>
      </w:r>
      <w:r>
        <w:t xml:space="preserve"> w sposób autonomiczny korzystać ze swojego budżetu i podejmować uchwały dotyczące kariery i warunków zatrudnienia swojego personelu. Organ decyzyjny (Komisja) był organem odrębnym od organów dochodzeniowych (Biura i Dyrekcji).</w:t>
      </w:r>
    </w:p>
    <w:p w14:paraId="462B2C60" w14:textId="7645AD2A" w:rsidR="00AB4482" w:rsidRDefault="00346F6F" w:rsidP="000D5DD6">
      <w:pPr>
        <w:pStyle w:val="ECHRPara"/>
      </w:pPr>
      <w:fldSimple w:instr=" SEQ level0 \*arabic ">
        <w:r w:rsidR="00AB4482">
          <w:rPr>
            <w:noProof/>
          </w:rPr>
          <w:t>129</w:t>
        </w:r>
      </w:fldSimple>
      <w:r w:rsidR="00D12C9C">
        <w:t>. </w:t>
      </w:r>
      <w:r w:rsidR="000D5DD6">
        <w:t>Mimo iż</w:t>
      </w:r>
      <w:r w:rsidR="00C4105B">
        <w:t xml:space="preserve"> przewodniczący</w:t>
      </w:r>
      <w:r w:rsidR="000D5DD6">
        <w:t xml:space="preserve"> </w:t>
      </w:r>
      <w:r w:rsidR="00C4105B">
        <w:t xml:space="preserve">CONSOB </w:t>
      </w:r>
      <w:r w:rsidR="000D5DD6">
        <w:t xml:space="preserve">ponosił odpowiedzialność za nadzorowanie różnych </w:t>
      </w:r>
      <w:r w:rsidR="00C4105B">
        <w:t>biur</w:t>
      </w:r>
      <w:r w:rsidR="000D5DD6">
        <w:t xml:space="preserve"> i posiadał pewne uprawnienia do podejmowania inicjatywy podczas dochodzenia (w szczególności mógł </w:t>
      </w:r>
      <w:r w:rsidR="00C4105B">
        <w:t xml:space="preserve">wyrażać zgodę na </w:t>
      </w:r>
      <w:r w:rsidR="000D5DD6">
        <w:t>inspekcje i występować o przeprowadzenie różnych czynno</w:t>
      </w:r>
      <w:r w:rsidR="00D12C9C">
        <w:t>ści dochodzeniowych, takich jak</w:t>
      </w:r>
      <w:r w:rsidR="000D5DD6">
        <w:t xml:space="preserve"> uzyskanie danych na temat komunikacji telefonicznej oraz zajęcie majątku), nie mógł ingerować w dochodzenie dotyczące danej sprawy, które było prowadzone przez </w:t>
      </w:r>
      <w:r w:rsidR="00C4105B">
        <w:t>właściwe</w:t>
      </w:r>
      <w:r w:rsidR="000D5DD6">
        <w:t xml:space="preserve"> biuro oraz przez Dyrekcję. Podobnie, z drugiej strony, departament i Dyrekcja nie od</w:t>
      </w:r>
      <w:r w:rsidR="00C4105B">
        <w:t>grywali</w:t>
      </w:r>
      <w:r w:rsidR="000D5DD6">
        <w:t xml:space="preserve"> żadnej roli w podejmowaniu ostatecznej decyzji. Przewodniczący CONSOB ponosił odpowiedzialność za nadzorowanie ogólnych kryteriów, jakie musiały stosować organy podczas prowadzenia dochodzenia. Nie mógł brać udziału w ocenie aspektów merytorycznych sprawy na podstawie uzyskanych dowodów ani wywierać wpływu na wynik dochodzenia. Jego obowiązki były porównywalne z obowiązkami prezesa sądu.</w:t>
      </w:r>
    </w:p>
    <w:p w14:paraId="01522AB5" w14:textId="07D5BAFA" w:rsidR="000D5DD6" w:rsidRPr="00110749" w:rsidRDefault="00346F6F" w:rsidP="000D5DD6">
      <w:pPr>
        <w:pStyle w:val="ECHRPara"/>
      </w:pPr>
      <w:fldSimple w:instr=" SEQ level0 \*arabic ">
        <w:r w:rsidR="00AB4482">
          <w:rPr>
            <w:noProof/>
          </w:rPr>
          <w:t>130</w:t>
        </w:r>
      </w:fldSimple>
      <w:r w:rsidR="00D12C9C">
        <w:t>. </w:t>
      </w:r>
      <w:r w:rsidR="000D5DD6">
        <w:t xml:space="preserve">Prawo do wszczęcia postępowania w sprawie o </w:t>
      </w:r>
      <w:r w:rsidR="00FB61C4">
        <w:t xml:space="preserve">przestępstwo </w:t>
      </w:r>
      <w:r w:rsidR="000D5DD6">
        <w:t xml:space="preserve">oraz do postawienia zarzutów przysługiwało wyłącznie szefowi </w:t>
      </w:r>
      <w:r w:rsidR="00C4105B">
        <w:t>właściwego</w:t>
      </w:r>
      <w:r w:rsidR="000D5DD6">
        <w:t xml:space="preserve"> wydziału, który działał w pełni niezależnie i wyłącznie według własnego uznania. Jeżeli chodzi o inspekcje, stanowiły one środki dochodzeniowe mające na celu uzyskanie informacji. Były oceniane </w:t>
      </w:r>
      <w:r w:rsidR="00C4105B">
        <w:t>z</w:t>
      </w:r>
      <w:r w:rsidR="000D5DD6">
        <w:t xml:space="preserve"> kolei przez odpowiednie </w:t>
      </w:r>
      <w:r w:rsidR="00C4105B">
        <w:t>biura</w:t>
      </w:r>
      <w:r w:rsidR="000D5DD6">
        <w:t xml:space="preserve">. </w:t>
      </w:r>
      <w:r w:rsidR="00C4105B">
        <w:t>W istocie</w:t>
      </w:r>
      <w:r w:rsidR="000D5DD6">
        <w:t xml:space="preserve">, w obecnej sprawie, przewodniczący CONSOB ani nie </w:t>
      </w:r>
      <w:r w:rsidR="00C4105B">
        <w:t>wyraził zgody na inspekcje</w:t>
      </w:r>
      <w:r w:rsidR="000D5DD6">
        <w:t xml:space="preserve">, ani nie wystąpił o podjęcie środków dochodzeniowych. Ostateczna decyzja o zajęciu </w:t>
      </w:r>
      <w:r w:rsidR="00C4105B">
        <w:t>majątku</w:t>
      </w:r>
      <w:r w:rsidR="000D5DD6">
        <w:t xml:space="preserve"> – która nie została </w:t>
      </w:r>
      <w:r w:rsidR="00940C74">
        <w:t>podjęta</w:t>
      </w:r>
      <w:r w:rsidR="000D5DD6">
        <w:t xml:space="preserve"> w niniejszej sprawie – leżała w gestii Komisji i wymagała pozytywnej opinii ze strony prokuratury, wy</w:t>
      </w:r>
      <w:r w:rsidR="00C4105B">
        <w:t>danej</w:t>
      </w:r>
      <w:r w:rsidR="000D5DD6">
        <w:t xml:space="preserve"> na </w:t>
      </w:r>
      <w:r w:rsidR="00C4105B">
        <w:t xml:space="preserve">wniosek </w:t>
      </w:r>
      <w:r w:rsidR="000D5DD6">
        <w:t xml:space="preserve">przewodniczącego CONSOB. W każdym </w:t>
      </w:r>
      <w:r w:rsidR="00C4105B">
        <w:t>razie</w:t>
      </w:r>
      <w:r w:rsidR="000D5DD6">
        <w:t xml:space="preserve">, był to środek tymczasowy mający na celu zagwarantowanie wypłacalności pozwanych lub pozbawienie ich aktywów wykorzystywanych do popełniania przestępstw. Decyzja dotycząca zajęcia </w:t>
      </w:r>
      <w:r w:rsidR="00C4105B">
        <w:t>majątku</w:t>
      </w:r>
      <w:r w:rsidR="000D5DD6">
        <w:t xml:space="preserve"> w żaden sposób nie </w:t>
      </w:r>
      <w:r w:rsidR="00C4105B">
        <w:t>przesądzała</w:t>
      </w:r>
      <w:r w:rsidR="000D5DD6">
        <w:t xml:space="preserve"> decyzj</w:t>
      </w:r>
      <w:r w:rsidR="00C4105B">
        <w:t>i dotyczących</w:t>
      </w:r>
      <w:r w:rsidR="000D5DD6">
        <w:t xml:space="preserve"> przedmiotu zarzutów ani kar. Nawet w kontekście postępowania sądowego, przyjęto, że decyzja proceduralna, która nie sugerowała żadnego orzeczenia w sprawie winy lub niewinności podejrzanego (na przykład nakaz tymczasowego aresztowania osoby), nie s</w:t>
      </w:r>
      <w:r w:rsidR="00C4105B">
        <w:t xml:space="preserve">tanowi podstawy do </w:t>
      </w:r>
      <w:r w:rsidR="00DE0886">
        <w:t xml:space="preserve">późniejszych </w:t>
      </w:r>
      <w:r w:rsidR="000D5DD6">
        <w:t>wątpliwości co do bezstronności sądu, który ją wydał.</w:t>
      </w:r>
    </w:p>
    <w:p w14:paraId="483D0E56" w14:textId="77777777" w:rsidR="000D5DD6" w:rsidRPr="00110749" w:rsidRDefault="00346F6F" w:rsidP="000D5DD6">
      <w:pPr>
        <w:pStyle w:val="ECHRPara"/>
      </w:pPr>
      <w:fldSimple w:instr=" SEQ level0 \*arabic ">
        <w:r w:rsidR="00AB4482">
          <w:rPr>
            <w:noProof/>
          </w:rPr>
          <w:t>131</w:t>
        </w:r>
      </w:fldSimple>
      <w:r w:rsidR="00D12C9C">
        <w:t>. </w:t>
      </w:r>
      <w:r w:rsidR="000D5DD6">
        <w:t>Wreszcie, Rząd zauważył, że w niniejszej sprawie nie miał miejsca konflikt interesów pomiędzy personelem CONSOB, członkami Komisji a skarżącymi.</w:t>
      </w:r>
    </w:p>
    <w:p w14:paraId="695BD601" w14:textId="77777777" w:rsidR="000D5DD6" w:rsidRPr="00110749" w:rsidRDefault="000D5DD6" w:rsidP="000D5DD6">
      <w:pPr>
        <w:pStyle w:val="ECHRHeading4"/>
      </w:pPr>
      <w:r>
        <w:t>(b)  Ocena Trybunału</w:t>
      </w:r>
    </w:p>
    <w:p w14:paraId="032DC4BA" w14:textId="130E3F6E" w:rsidR="000D5DD6" w:rsidRPr="00110749" w:rsidRDefault="00346F6F" w:rsidP="000D5DD6">
      <w:pPr>
        <w:pStyle w:val="JuParaLast"/>
        <w:spacing w:before="0"/>
      </w:pPr>
      <w:fldSimple w:instr=" SEQ level0 \*arabic ">
        <w:r w:rsidR="00AB4482">
          <w:rPr>
            <w:noProof/>
          </w:rPr>
          <w:t>132</w:t>
        </w:r>
      </w:fldSimple>
      <w:r w:rsidR="00D12C9C">
        <w:t>. </w:t>
      </w:r>
      <w:r w:rsidR="000D5DD6">
        <w:t xml:space="preserve">Trybunał </w:t>
      </w:r>
      <w:r w:rsidR="00E52421">
        <w:t>przypomina</w:t>
      </w:r>
      <w:r w:rsidR="000D5DD6">
        <w:t xml:space="preserve"> swoje dobrze ugruntowane orzecznictwo, zgodnie z którym, aby ustalić, czy sąd może być uznany za „niezawisły”, należy uwzględnić m.in. sposób powołania jego członków oraz ich kadencję, </w:t>
      </w:r>
      <w:r w:rsidR="00E52421">
        <w:t>istnienie</w:t>
      </w:r>
      <w:r w:rsidR="000D5DD6">
        <w:t xml:space="preserve"> zabezpieczeń przed naciskami z zewnątrz oraz kwestię, czy sprawia on wrażenie niezawisłego (zobacz </w:t>
      </w:r>
      <w:proofErr w:type="spellStart"/>
      <w:r w:rsidR="000D5DD6">
        <w:rPr>
          <w:i/>
        </w:rPr>
        <w:t>Kleyn</w:t>
      </w:r>
      <w:proofErr w:type="spellEnd"/>
      <w:r w:rsidR="000D5DD6">
        <w:rPr>
          <w:i/>
        </w:rPr>
        <w:t xml:space="preserve"> i inni przeciwko Holandii </w:t>
      </w:r>
      <w:r w:rsidR="00347306">
        <w:t>[Wielka Izba]</w:t>
      </w:r>
      <w:r w:rsidR="000D5DD6">
        <w:t xml:space="preserve">, nr  39343/98, 39651/98, 43147/98 i 46664/99, </w:t>
      </w:r>
      <w:r w:rsidR="007E48CB">
        <w:t>§</w:t>
      </w:r>
      <w:r w:rsidR="000D5DD6">
        <w:t xml:space="preserve"> 190, ECHR 2003-VI).</w:t>
      </w:r>
    </w:p>
    <w:p w14:paraId="0DE0B751" w14:textId="7DBFE209" w:rsidR="000D5DD6" w:rsidRPr="00110749" w:rsidRDefault="00346F6F" w:rsidP="000D5DD6">
      <w:pPr>
        <w:ind w:firstLine="284"/>
      </w:pPr>
      <w:fldSimple w:instr=" SEQ level0 \*arabic ">
        <w:r w:rsidR="00AB4482">
          <w:rPr>
            <w:noProof/>
          </w:rPr>
          <w:t>133</w:t>
        </w:r>
      </w:fldSimple>
      <w:r w:rsidR="00D12C9C">
        <w:t>. </w:t>
      </w:r>
      <w:r w:rsidR="000D5DD6">
        <w:t xml:space="preserve">Rozpatrując kwestię sposobu i warunków powołania członków CONSOB, </w:t>
      </w:r>
      <w:r w:rsidR="00EF6E59">
        <w:t>wobec</w:t>
      </w:r>
      <w:r w:rsidR="000D5DD6">
        <w:t xml:space="preserve"> braku jakichkolwiek wskazań co do braku wystarczających i adekwatny</w:t>
      </w:r>
      <w:r w:rsidR="008B32F7">
        <w:t>ch zabezpieczeń przed ewentualnymi zewnętrznymi</w:t>
      </w:r>
      <w:r w:rsidR="000D5DD6">
        <w:t xml:space="preserve"> </w:t>
      </w:r>
      <w:r w:rsidR="008B32F7">
        <w:t>naciskami</w:t>
      </w:r>
      <w:r w:rsidR="000D5DD6">
        <w:t>, Trybunał uznaje, że nie ma powodu, by wątpić w niezawisłość CONSOB w odniesieniu do wszelkich innych</w:t>
      </w:r>
      <w:r w:rsidR="00E52421">
        <w:t xml:space="preserve"> władz lub organów</w:t>
      </w:r>
      <w:r w:rsidR="000D5DD6">
        <w:t xml:space="preserve">, a w szczególności w odniesieniu do </w:t>
      </w:r>
      <w:r w:rsidR="00E52421">
        <w:t xml:space="preserve">władzy </w:t>
      </w:r>
      <w:r w:rsidR="000D5DD6">
        <w:t xml:space="preserve">wykonawczej. W tym względzie, Trybunał przychyla się do uwag Rządu dotyczących autonomii CONSOB i </w:t>
      </w:r>
      <w:r w:rsidR="00E52421">
        <w:t>gwarancji</w:t>
      </w:r>
      <w:r w:rsidR="000D5DD6">
        <w:t xml:space="preserve"> towarzyszących powołaniu je</w:t>
      </w:r>
      <w:r w:rsidR="00E52421">
        <w:t>j</w:t>
      </w:r>
      <w:r w:rsidR="000D5DD6">
        <w:t xml:space="preserve"> członków (zobacz punkty </w:t>
      </w:r>
      <w:r w:rsidR="000D5DD6" w:rsidRPr="00110749">
        <w:fldChar w:fldCharType="begin"/>
      </w:r>
      <w:r w:rsidR="000D5DD6" w:rsidRPr="00110749">
        <w:instrText xml:space="preserve"> REF indépendance \h </w:instrText>
      </w:r>
      <w:r w:rsidR="000D5DD6" w:rsidRPr="00110749">
        <w:fldChar w:fldCharType="separate"/>
      </w:r>
      <w:r w:rsidR="00AB4482">
        <w:rPr>
          <w:noProof/>
        </w:rPr>
        <w:t>127</w:t>
      </w:r>
      <w:r w:rsidR="000D5DD6" w:rsidRPr="00110749">
        <w:fldChar w:fldCharType="end"/>
      </w:r>
      <w:r w:rsidR="000D5DD6">
        <w:t xml:space="preserve"> i </w:t>
      </w:r>
      <w:r w:rsidR="000D5DD6" w:rsidRPr="00110749">
        <w:fldChar w:fldCharType="begin"/>
      </w:r>
      <w:r w:rsidR="000D5DD6" w:rsidRPr="00110749">
        <w:instrText xml:space="preserve"> REF indépendance2 \h </w:instrText>
      </w:r>
      <w:r w:rsidR="000D5DD6" w:rsidRPr="00110749">
        <w:fldChar w:fldCharType="separate"/>
      </w:r>
      <w:r w:rsidR="00AB4482">
        <w:rPr>
          <w:noProof/>
        </w:rPr>
        <w:t>128</w:t>
      </w:r>
      <w:r w:rsidR="000D5DD6" w:rsidRPr="00110749">
        <w:fldChar w:fldCharType="end"/>
      </w:r>
      <w:r w:rsidR="000D5DD6">
        <w:t xml:space="preserve"> powyżej).</w:t>
      </w:r>
    </w:p>
    <w:p w14:paraId="00E54432" w14:textId="1DE5B94A" w:rsidR="000D5DD6" w:rsidRPr="00110749" w:rsidRDefault="00346F6F" w:rsidP="000D5DD6">
      <w:pPr>
        <w:ind w:firstLine="284"/>
      </w:pPr>
      <w:fldSimple w:instr=" SEQ level0 \*arabic ">
        <w:r w:rsidR="00AB4482">
          <w:rPr>
            <w:noProof/>
          </w:rPr>
          <w:t>134</w:t>
        </w:r>
      </w:fldSimple>
      <w:r w:rsidR="009C16E4">
        <w:t>. </w:t>
      </w:r>
      <w:r w:rsidR="000D5DD6">
        <w:t>Trybunał dalej p</w:t>
      </w:r>
      <w:r w:rsidR="00E52421">
        <w:t>rzypomina</w:t>
      </w:r>
      <w:r w:rsidR="000D5DD6">
        <w:t xml:space="preserve"> zasady </w:t>
      </w:r>
      <w:r w:rsidR="00E52421">
        <w:t xml:space="preserve">ogólne </w:t>
      </w:r>
      <w:r w:rsidR="000D5DD6">
        <w:t xml:space="preserve">regulujące </w:t>
      </w:r>
      <w:r w:rsidR="00E52421">
        <w:t xml:space="preserve">kolejne </w:t>
      </w:r>
      <w:r w:rsidR="00940C74">
        <w:t>etapy</w:t>
      </w:r>
      <w:r w:rsidR="00E52421">
        <w:t xml:space="preserve"> przeprowadzania oceny</w:t>
      </w:r>
      <w:r w:rsidR="000D5DD6">
        <w:t xml:space="preserve"> bezstronności sądu, które zostały określone m.in. w następujących orzeczeniach: </w:t>
      </w:r>
      <w:r w:rsidR="000D5DD6">
        <w:rPr>
          <w:i/>
        </w:rPr>
        <w:t>Padovani przeciwko Włochom</w:t>
      </w:r>
      <w:r w:rsidR="000D5DD6">
        <w:t xml:space="preserve">, 26 lutego 1993 roku, </w:t>
      </w:r>
      <w:r w:rsidR="007E48CB">
        <w:t>§</w:t>
      </w:r>
      <w:r w:rsidR="000D5DD6">
        <w:t xml:space="preserve"> 20, Seria A nr 257-B; </w:t>
      </w:r>
      <w:proofErr w:type="spellStart"/>
      <w:r w:rsidR="000D5DD6">
        <w:rPr>
          <w:i/>
        </w:rPr>
        <w:t>Thomann</w:t>
      </w:r>
      <w:proofErr w:type="spellEnd"/>
      <w:r w:rsidR="000D5DD6">
        <w:rPr>
          <w:i/>
        </w:rPr>
        <w:t xml:space="preserve"> przeciwko Szwajcarii</w:t>
      </w:r>
      <w:r w:rsidR="000D5DD6">
        <w:t xml:space="preserve">, 10 czerwca 1996 roku, </w:t>
      </w:r>
      <w:r w:rsidR="007E48CB">
        <w:t>§</w:t>
      </w:r>
      <w:r w:rsidR="000D5DD6">
        <w:t xml:space="preserve"> 30, </w:t>
      </w:r>
      <w:r w:rsidR="000D5DD6">
        <w:rPr>
          <w:i/>
        </w:rPr>
        <w:t xml:space="preserve">Raporty z wyroków i decyzji </w:t>
      </w:r>
      <w:r w:rsidR="000D5DD6">
        <w:t xml:space="preserve">1996-III; </w:t>
      </w:r>
      <w:proofErr w:type="spellStart"/>
      <w:r w:rsidR="000D5DD6">
        <w:rPr>
          <w:i/>
        </w:rPr>
        <w:t>Ferrantelli</w:t>
      </w:r>
      <w:proofErr w:type="spellEnd"/>
      <w:r w:rsidR="000D5DD6">
        <w:rPr>
          <w:i/>
        </w:rPr>
        <w:t xml:space="preserve"> i </w:t>
      </w:r>
      <w:proofErr w:type="spellStart"/>
      <w:r w:rsidR="000D5DD6">
        <w:rPr>
          <w:i/>
        </w:rPr>
        <w:t>Santangelo</w:t>
      </w:r>
      <w:proofErr w:type="spellEnd"/>
      <w:r w:rsidR="000D5DD6">
        <w:rPr>
          <w:i/>
        </w:rPr>
        <w:t xml:space="preserve"> przeciwko Włochom</w:t>
      </w:r>
      <w:r w:rsidR="000D5DD6">
        <w:t xml:space="preserve">, 7 sierpnia 1996 roku, </w:t>
      </w:r>
      <w:r w:rsidR="007E48CB">
        <w:t>§</w:t>
      </w:r>
      <w:r w:rsidR="000D5DD6">
        <w:t xml:space="preserve"> 58, </w:t>
      </w:r>
      <w:r w:rsidR="000D5DD6">
        <w:rPr>
          <w:i/>
        </w:rPr>
        <w:t xml:space="preserve">Raporty </w:t>
      </w:r>
      <w:r w:rsidR="000D5DD6">
        <w:t>1996-</w:t>
      </w:r>
      <w:r w:rsidR="000D5DD6">
        <w:lastRenderedPageBreak/>
        <w:t xml:space="preserve">III; </w:t>
      </w:r>
      <w:proofErr w:type="spellStart"/>
      <w:r w:rsidR="000D5DD6">
        <w:rPr>
          <w:i/>
        </w:rPr>
        <w:t>Castillo</w:t>
      </w:r>
      <w:proofErr w:type="spellEnd"/>
      <w:r w:rsidR="000D5DD6">
        <w:rPr>
          <w:i/>
        </w:rPr>
        <w:t xml:space="preserve"> </w:t>
      </w:r>
      <w:proofErr w:type="spellStart"/>
      <w:r w:rsidR="000D5DD6">
        <w:rPr>
          <w:i/>
        </w:rPr>
        <w:t>Algar</w:t>
      </w:r>
      <w:proofErr w:type="spellEnd"/>
      <w:r w:rsidR="000D5DD6">
        <w:rPr>
          <w:i/>
        </w:rPr>
        <w:t xml:space="preserve"> przeciwko Hiszpanii</w:t>
      </w:r>
      <w:r w:rsidR="000D5DD6">
        <w:t xml:space="preserve">, 28 października 1998 roku, </w:t>
      </w:r>
      <w:r w:rsidR="007E48CB">
        <w:t>§</w:t>
      </w:r>
      <w:r w:rsidR="000D5DD6">
        <w:t xml:space="preserve"> 45, </w:t>
      </w:r>
      <w:r w:rsidR="000D5DD6">
        <w:rPr>
          <w:i/>
        </w:rPr>
        <w:t xml:space="preserve">Raporty </w:t>
      </w:r>
      <w:r w:rsidR="000D5DD6">
        <w:t xml:space="preserve">1998-VIII; </w:t>
      </w:r>
      <w:r w:rsidR="000D5DD6">
        <w:rPr>
          <w:i/>
        </w:rPr>
        <w:t>Wettstein przeciwko Szwajcarii</w:t>
      </w:r>
      <w:r w:rsidR="000D5DD6">
        <w:t xml:space="preserve">, nr 33958/96, </w:t>
      </w:r>
      <w:r w:rsidR="007E48CB">
        <w:t>§</w:t>
      </w:r>
      <w:r w:rsidR="000D5DD6">
        <w:t> 44, ECHR 2000</w:t>
      </w:r>
      <w:r w:rsidR="000D5DD6">
        <w:noBreakHyphen/>
        <w:t xml:space="preserve">XII; </w:t>
      </w:r>
      <w:r w:rsidR="000D5DD6">
        <w:rPr>
          <w:i/>
        </w:rPr>
        <w:t>Morel przeciwko Francji</w:t>
      </w:r>
      <w:r w:rsidR="000D5DD6">
        <w:t xml:space="preserve">, nr 34130/96, </w:t>
      </w:r>
      <w:r w:rsidR="007E48CB">
        <w:t>§</w:t>
      </w:r>
      <w:r w:rsidR="000D5DD6">
        <w:t xml:space="preserve"> 42, ECHR 2000-VI; oraz </w:t>
      </w:r>
      <w:proofErr w:type="spellStart"/>
      <w:r w:rsidR="000D5DD6">
        <w:rPr>
          <w:i/>
        </w:rPr>
        <w:t>Cianetti</w:t>
      </w:r>
      <w:proofErr w:type="spellEnd"/>
      <w:r w:rsidR="000D5DD6">
        <w:rPr>
          <w:i/>
        </w:rPr>
        <w:t xml:space="preserve"> przeciwko Włochom</w:t>
      </w:r>
      <w:r w:rsidR="000D5DD6">
        <w:t xml:space="preserve">, nr 55634/00, </w:t>
      </w:r>
      <w:r w:rsidR="007E48CB">
        <w:t>§</w:t>
      </w:r>
      <w:r w:rsidR="000D5DD6">
        <w:t xml:space="preserve"> 37, 22 kwietnia 2004 roku.</w:t>
      </w:r>
    </w:p>
    <w:p w14:paraId="7675EB42" w14:textId="75B8305F" w:rsidR="000D5DD6" w:rsidRPr="00110749" w:rsidRDefault="00346F6F" w:rsidP="000D5DD6">
      <w:pPr>
        <w:ind w:firstLine="284"/>
      </w:pPr>
      <w:fldSimple w:instr=" SEQ level0 \*arabic ">
        <w:r w:rsidR="00AB4482">
          <w:rPr>
            <w:noProof/>
          </w:rPr>
          <w:t>135</w:t>
        </w:r>
      </w:fldSimple>
      <w:r w:rsidR="009C16E4">
        <w:t>. </w:t>
      </w:r>
      <w:r w:rsidR="000D5DD6">
        <w:t xml:space="preserve">Jeżeli chodzi o subiektywny aspekt bezstronności CONSOB, Trybunał zauważa, że żadne z okoliczności niniejszej sprawy nie wskazują na </w:t>
      </w:r>
      <w:r w:rsidR="00E52421">
        <w:t>jakiekolwiek</w:t>
      </w:r>
      <w:r w:rsidR="000D5DD6">
        <w:t xml:space="preserve"> uprzedzenia </w:t>
      </w:r>
      <w:r w:rsidR="00E52421">
        <w:t>bądź</w:t>
      </w:r>
      <w:r w:rsidR="000D5DD6">
        <w:t xml:space="preserve"> stronniczość je</w:t>
      </w:r>
      <w:r w:rsidR="00940C74">
        <w:t>j</w:t>
      </w:r>
      <w:r w:rsidR="000D5DD6">
        <w:t xml:space="preserve"> członków. Sam fakt, że wydali oni decyzje przeciwko skarżącym nie może rzucać cienia wątpliwości na ich bezstronność (zobacz, </w:t>
      </w:r>
      <w:r w:rsidR="000D5DD6">
        <w:rPr>
          <w:i/>
        </w:rPr>
        <w:t>mutatis mutandis</w:t>
      </w:r>
      <w:r w:rsidR="000D5DD6">
        <w:t xml:space="preserve">, </w:t>
      </w:r>
      <w:proofErr w:type="spellStart"/>
      <w:r w:rsidR="000D5DD6">
        <w:rPr>
          <w:i/>
        </w:rPr>
        <w:t>Previti</w:t>
      </w:r>
      <w:proofErr w:type="spellEnd"/>
      <w:r w:rsidR="000D5DD6">
        <w:rPr>
          <w:i/>
        </w:rPr>
        <w:t xml:space="preserve"> przeciwko Włochom </w:t>
      </w:r>
      <w:r w:rsidR="000D5DD6">
        <w:t>(</w:t>
      </w:r>
      <w:r w:rsidR="00FA7858">
        <w:t>decyzja</w:t>
      </w:r>
      <w:r w:rsidR="000D5DD6">
        <w:t xml:space="preserve">), nr 1845/08, </w:t>
      </w:r>
      <w:r w:rsidR="007E48CB">
        <w:t>§</w:t>
      </w:r>
      <w:r w:rsidR="000D5DD6">
        <w:t> 53, 12 lutego 2013 roku). Wynika z tego, że Trybunał może jedynie zakładać osobistą bezstronność członków CONSOB, łącznie z je</w:t>
      </w:r>
      <w:r w:rsidR="00E52421">
        <w:t>j</w:t>
      </w:r>
      <w:r w:rsidR="000D5DD6">
        <w:t xml:space="preserve"> przewodniczącym.</w:t>
      </w:r>
    </w:p>
    <w:p w14:paraId="24CF2C8E" w14:textId="77777777" w:rsidR="00AB4482" w:rsidRDefault="00346F6F" w:rsidP="000D5DD6">
      <w:pPr>
        <w:pStyle w:val="ECHRPara"/>
      </w:pPr>
      <w:fldSimple w:instr=" SEQ level0 \*arabic ">
        <w:r w:rsidR="00AB4482">
          <w:rPr>
            <w:noProof/>
          </w:rPr>
          <w:t>136</w:t>
        </w:r>
      </w:fldSimple>
      <w:r w:rsidR="009C16E4">
        <w:t>. </w:t>
      </w:r>
      <w:r w:rsidR="000D5DD6">
        <w:t xml:space="preserve">Jeżeli chodzi o obiektywną bezstronność, Trybunał zauważa, że regulamin CONSOB przewiduje pewne rozdzielenie podmiotów dochodzeniowych i podmiotu odpowiedzialnego za uznanie, czy </w:t>
      </w:r>
      <w:r w:rsidR="000D5DD6" w:rsidRPr="0041557E">
        <w:t>przestępstwo zostało</w:t>
      </w:r>
      <w:r w:rsidR="000D5DD6">
        <w:t xml:space="preserve"> popełnione, oraz za nałożenie kar. W szczególności, oskarżenie jest sformułowane przez Biuro IT, które prowadzi również dochodzenie; następnie podsumowanie wyników jest przedstawiane w raporcie Dyrekcji, który zawiera wnioski i propozycję k</w:t>
      </w:r>
      <w:r w:rsidR="009C16E4">
        <w:t>ar. Ostateczna decyzja dotycząca</w:t>
      </w:r>
      <w:r w:rsidR="000D5DD6">
        <w:t xml:space="preserve"> nałożenia kar leży wyłącznie w gestii Komisji.</w:t>
      </w:r>
    </w:p>
    <w:p w14:paraId="3AED000E" w14:textId="0FB1D462" w:rsidR="000D5DD6" w:rsidRPr="00110749" w:rsidRDefault="00346F6F" w:rsidP="000D5DD6">
      <w:pPr>
        <w:pStyle w:val="ECHRPara"/>
        <w:rPr>
          <w:i/>
        </w:rPr>
      </w:pPr>
      <w:fldSimple w:instr=" SEQ level0 \*arabic ">
        <w:r w:rsidR="00AB4482">
          <w:rPr>
            <w:noProof/>
          </w:rPr>
          <w:t>137</w:t>
        </w:r>
      </w:fldSimple>
      <w:r w:rsidR="009C16E4">
        <w:t>. </w:t>
      </w:r>
      <w:r w:rsidR="000D5DD6">
        <w:t xml:space="preserve">Niemniej jednak faktem jest, że Biuro IT, Dyrekcja i Komisja stanowią jedynie oddziały tego samego organu administracyjnego, działającego pod zarządem i nadzorem jednego przewodniczącego. Zdaniem Trybunału, </w:t>
      </w:r>
      <w:r w:rsidR="007130A6">
        <w:t>stanowi</w:t>
      </w:r>
      <w:r w:rsidR="000D5DD6">
        <w:t xml:space="preserve"> to </w:t>
      </w:r>
      <w:r w:rsidR="007130A6">
        <w:t>wykonywanie</w:t>
      </w:r>
      <w:r w:rsidR="000D5DD6">
        <w:t xml:space="preserve"> kolejno funkcji dochodzeniowej i orzeczniczej w ramach jednego organu; w sprawach karnych takie połączenie funkcji nie jest zgodne z wymaganiami bezstron</w:t>
      </w:r>
      <w:r w:rsidR="00023AC7">
        <w:t>ności określonymi w artykule 6 ust.</w:t>
      </w:r>
      <w:r w:rsidR="000D5DD6">
        <w:t xml:space="preserve"> 1 Konw</w:t>
      </w:r>
      <w:r w:rsidR="00023AC7">
        <w:t>encji (zobacz, w szczególności i</w:t>
      </w:r>
      <w:r w:rsidR="000D5DD6">
        <w:t xml:space="preserve"> </w:t>
      </w:r>
      <w:r w:rsidR="000D5DD6">
        <w:rPr>
          <w:i/>
        </w:rPr>
        <w:t>mutatis mutandis</w:t>
      </w:r>
      <w:r w:rsidR="000D5DD6">
        <w:t xml:space="preserve">, </w:t>
      </w:r>
      <w:proofErr w:type="spellStart"/>
      <w:r w:rsidR="000D5DD6">
        <w:rPr>
          <w:i/>
        </w:rPr>
        <w:t>Piersack</w:t>
      </w:r>
      <w:proofErr w:type="spellEnd"/>
      <w:r w:rsidR="000D5DD6">
        <w:rPr>
          <w:i/>
        </w:rPr>
        <w:t xml:space="preserve"> przeciwko Belgii</w:t>
      </w:r>
      <w:r w:rsidR="000D5DD6">
        <w:t>, 1</w:t>
      </w:r>
      <w:r w:rsidR="000D5DD6">
        <w:rPr>
          <w:vertAlign w:val="superscript"/>
        </w:rPr>
        <w:t> </w:t>
      </w:r>
      <w:r w:rsidR="000D5DD6">
        <w:t xml:space="preserve">października 1982 roku, </w:t>
      </w:r>
      <w:r w:rsidR="007E48CB">
        <w:t>§§</w:t>
      </w:r>
      <w:r w:rsidR="000D5DD6">
        <w:t xml:space="preserve"> 30-32, Seria A nr 53, oraz </w:t>
      </w:r>
      <w:r w:rsidR="000D5DD6">
        <w:rPr>
          <w:i/>
        </w:rPr>
        <w:t xml:space="preserve">De </w:t>
      </w:r>
      <w:proofErr w:type="spellStart"/>
      <w:r w:rsidR="000D5DD6">
        <w:rPr>
          <w:i/>
        </w:rPr>
        <w:t>Cubber</w:t>
      </w:r>
      <w:proofErr w:type="spellEnd"/>
      <w:r w:rsidR="000D5DD6">
        <w:rPr>
          <w:i/>
        </w:rPr>
        <w:t xml:space="preserve"> przeciwko Belgii</w:t>
      </w:r>
      <w:r w:rsidR="000D5DD6">
        <w:t xml:space="preserve">, 26 października 1984 roku, </w:t>
      </w:r>
      <w:r w:rsidR="007E48CB">
        <w:t>§§</w:t>
      </w:r>
      <w:r w:rsidR="000D5DD6">
        <w:t xml:space="preserve"> 24-30, Seria A nr 86, w</w:t>
      </w:r>
      <w:r w:rsidR="00DD7567">
        <w:t xml:space="preserve">  których</w:t>
      </w:r>
      <w:r w:rsidR="000D5DD6">
        <w:t xml:space="preserve"> Trybunał doszedł do wniosku, że „sądowi” brak </w:t>
      </w:r>
      <w:r w:rsidR="00940C74">
        <w:t xml:space="preserve">było obiektywnej bezstronności – </w:t>
      </w:r>
      <w:r w:rsidR="000D5DD6">
        <w:t xml:space="preserve">w pierwszej </w:t>
      </w:r>
      <w:r w:rsidR="00DD7567">
        <w:t xml:space="preserve">sprawie </w:t>
      </w:r>
      <w:r w:rsidR="000D5DD6">
        <w:t>ze względu na fakt, że sądowi przysięgłych przewodniczył sędzia, który uprzednio pełnił funkcję szefa wydziału brukselskiej prokuratury, odpowiedzialnej za prowadzenie sprawy oskarżonego; a w drugiej</w:t>
      </w:r>
      <w:r w:rsidR="00DD7567">
        <w:t xml:space="preserve"> sprawie</w:t>
      </w:r>
      <w:r w:rsidR="000D5DD6">
        <w:t xml:space="preserve">, w związku z pełnieniem funkcji sędziego dochodzeniowego i </w:t>
      </w:r>
      <w:r w:rsidR="00DD7567">
        <w:t xml:space="preserve">następnie </w:t>
      </w:r>
      <w:r w:rsidR="000D5DD6">
        <w:t>sędziego procesowego przez jedną i tę samą osobę w jednej i tej samej sprawie).</w:t>
      </w:r>
    </w:p>
    <w:p w14:paraId="3127E2F7" w14:textId="77777777" w:rsidR="000D5DD6" w:rsidRPr="00110749" w:rsidRDefault="000D5DD6" w:rsidP="000D5DD6">
      <w:pPr>
        <w:pStyle w:val="ECHRHeading3"/>
      </w:pPr>
      <w:r>
        <w:t xml:space="preserve">3.  Czy skarżący mieli dostęp do sądu posiadającego pełną </w:t>
      </w:r>
      <w:r w:rsidR="00644C3F">
        <w:t>jurysdykcję</w:t>
      </w:r>
    </w:p>
    <w:p w14:paraId="623AFB50" w14:textId="7B7F0A45" w:rsidR="000D5DD6" w:rsidRPr="00110749" w:rsidRDefault="00346F6F" w:rsidP="000D5DD6">
      <w:pPr>
        <w:pStyle w:val="ECHRPara"/>
        <w:rPr>
          <w:szCs w:val="24"/>
        </w:rPr>
      </w:pPr>
      <w:fldSimple w:instr=" SEQ level0 \*arabic ">
        <w:r w:rsidR="00AB4482">
          <w:rPr>
            <w:noProof/>
          </w:rPr>
          <w:t>138</w:t>
        </w:r>
      </w:fldSimple>
      <w:r w:rsidR="00023AC7">
        <w:t>. </w:t>
      </w:r>
      <w:r w:rsidR="000D5DD6">
        <w:t>Powyższe ustalenia dotyczące braku obiektywnej bezstronności CONSOB oraz fakt</w:t>
      </w:r>
      <w:r w:rsidR="00BD4BA9">
        <w:t>u</w:t>
      </w:r>
      <w:r w:rsidR="000D5DD6">
        <w:t>, że postępowanie przed ni</w:t>
      </w:r>
      <w:r w:rsidR="00BD4BA9">
        <w:t>ą</w:t>
      </w:r>
      <w:r w:rsidR="000D5DD6">
        <w:t xml:space="preserve"> nie było zgodne z zasadami </w:t>
      </w:r>
      <w:r w:rsidR="00491441">
        <w:t>rzetelnego procesu</w:t>
      </w:r>
      <w:r w:rsidR="00BD4BA9">
        <w:t>,</w:t>
      </w:r>
      <w:r w:rsidR="000D5DD6">
        <w:t xml:space="preserve"> nie</w:t>
      </w:r>
      <w:r w:rsidR="00BD4BA9">
        <w:t xml:space="preserve"> są</w:t>
      </w:r>
      <w:r w:rsidR="000D5DD6">
        <w:t xml:space="preserve">, jednakże, wystarczające dla </w:t>
      </w:r>
      <w:r w:rsidR="00940C74">
        <w:t>wyciągnięcia</w:t>
      </w:r>
      <w:r w:rsidR="000D5DD6">
        <w:t xml:space="preserve"> wniosku, że w niniejszej sprawie </w:t>
      </w:r>
      <w:r w:rsidR="00BD4BA9">
        <w:t xml:space="preserve">nastąpiło </w:t>
      </w:r>
      <w:r w:rsidR="000D5DD6">
        <w:t>naruszenie artykułu 6. W</w:t>
      </w:r>
      <w:r w:rsidR="00BD4BA9">
        <w:t xml:space="preserve"> tym względzie</w:t>
      </w:r>
      <w:r w:rsidR="000D5DD6">
        <w:t xml:space="preserve">, Trybunał zauważa, że kary zakwestionowane przez </w:t>
      </w:r>
      <w:r w:rsidR="000D5DD6">
        <w:rPr>
          <w:color w:val="000000"/>
        </w:rPr>
        <w:t xml:space="preserve">skarżących </w:t>
      </w:r>
      <w:r w:rsidR="000D5DD6">
        <w:rPr>
          <w:color w:val="000000"/>
        </w:rPr>
        <w:lastRenderedPageBreak/>
        <w:t xml:space="preserve">nie zostały nałożone przez sąd </w:t>
      </w:r>
      <w:r w:rsidR="00BD4BA9">
        <w:rPr>
          <w:color w:val="000000"/>
        </w:rPr>
        <w:t xml:space="preserve">w wyniku </w:t>
      </w:r>
      <w:r w:rsidR="000D5DD6">
        <w:rPr>
          <w:color w:val="000000"/>
        </w:rPr>
        <w:t xml:space="preserve">sądowego postępowania </w:t>
      </w:r>
      <w:r w:rsidR="00023AC7">
        <w:rPr>
          <w:color w:val="000000"/>
        </w:rPr>
        <w:t>kontradyktoryjnego</w:t>
      </w:r>
      <w:r w:rsidR="000D5DD6">
        <w:rPr>
          <w:color w:val="000000"/>
        </w:rPr>
        <w:t xml:space="preserve">, tylko przez organ administracyjny, a mianowicie CONSOB. </w:t>
      </w:r>
      <w:r w:rsidR="00BD4BA9">
        <w:t>Choć</w:t>
      </w:r>
      <w:r w:rsidR="000D5DD6">
        <w:t xml:space="preserve"> p</w:t>
      </w:r>
      <w:r w:rsidR="000D5DD6">
        <w:rPr>
          <w:color w:val="000000"/>
        </w:rPr>
        <w:t xml:space="preserve">owierzenie </w:t>
      </w:r>
      <w:r w:rsidR="00BD4BA9">
        <w:rPr>
          <w:color w:val="000000"/>
        </w:rPr>
        <w:t xml:space="preserve">takim organom </w:t>
      </w:r>
      <w:r w:rsidR="000D5DD6">
        <w:rPr>
          <w:color w:val="000000"/>
        </w:rPr>
        <w:t xml:space="preserve">ścigania i karania za popełnienie </w:t>
      </w:r>
      <w:r w:rsidR="00940C74">
        <w:rPr>
          <w:color w:val="000000"/>
        </w:rPr>
        <w:t xml:space="preserve">wykroczeń </w:t>
      </w:r>
      <w:r w:rsidR="000D5DD6">
        <w:rPr>
          <w:color w:val="000000"/>
        </w:rPr>
        <w:t>nie jest niezgodne z Konwencją, niemniej jednak zainteresowane osoby muszą mieć możliwość za</w:t>
      </w:r>
      <w:r w:rsidR="00023AC7">
        <w:rPr>
          <w:color w:val="000000"/>
        </w:rPr>
        <w:t>kwestionowania wszelkich wydanych</w:t>
      </w:r>
      <w:r w:rsidR="000D5DD6">
        <w:rPr>
          <w:color w:val="000000"/>
        </w:rPr>
        <w:t xml:space="preserve"> przeciwko nim </w:t>
      </w:r>
      <w:r w:rsidR="00BD4BA9">
        <w:rPr>
          <w:color w:val="000000"/>
        </w:rPr>
        <w:t xml:space="preserve">w ten sposób </w:t>
      </w:r>
      <w:r w:rsidR="000D5DD6">
        <w:rPr>
          <w:color w:val="000000"/>
        </w:rPr>
        <w:t xml:space="preserve">decyzji przed sądem oferującym gwarancje wynikające z artykułu 6 (zobacz </w:t>
      </w:r>
      <w:proofErr w:type="spellStart"/>
      <w:r w:rsidR="000D5DD6">
        <w:rPr>
          <w:i/>
          <w:color w:val="000000"/>
        </w:rPr>
        <w:t>Kadubec</w:t>
      </w:r>
      <w:proofErr w:type="spellEnd"/>
      <w:r w:rsidR="000D5DD6">
        <w:rPr>
          <w:i/>
          <w:color w:val="000000"/>
        </w:rPr>
        <w:t xml:space="preserve"> przeciwko Słowacji,</w:t>
      </w:r>
      <w:r w:rsidR="000D5DD6">
        <w:rPr>
          <w:color w:val="000000"/>
        </w:rPr>
        <w:t xml:space="preserve"> 2 września 1998 roku, </w:t>
      </w:r>
      <w:r w:rsidR="007E48CB">
        <w:rPr>
          <w:color w:val="000000"/>
        </w:rPr>
        <w:t>§</w:t>
      </w:r>
      <w:r w:rsidR="00D94285">
        <w:rPr>
          <w:color w:val="000000"/>
        </w:rPr>
        <w:t xml:space="preserve"> </w:t>
      </w:r>
      <w:r w:rsidR="000D5DD6">
        <w:rPr>
          <w:color w:val="000000"/>
        </w:rPr>
        <w:t xml:space="preserve">57, </w:t>
      </w:r>
      <w:r w:rsidR="000D5DD6">
        <w:rPr>
          <w:i/>
          <w:color w:val="000000"/>
        </w:rPr>
        <w:t xml:space="preserve">Raporty </w:t>
      </w:r>
      <w:r w:rsidR="000D5DD6">
        <w:rPr>
          <w:color w:val="000000"/>
        </w:rPr>
        <w:t xml:space="preserve">1998-VI; </w:t>
      </w:r>
      <w:proofErr w:type="spellStart"/>
      <w:r w:rsidR="000D5DD6">
        <w:rPr>
          <w:i/>
        </w:rPr>
        <w:t>Čanády</w:t>
      </w:r>
      <w:proofErr w:type="spellEnd"/>
      <w:r w:rsidR="000D5DD6">
        <w:rPr>
          <w:i/>
        </w:rPr>
        <w:t xml:space="preserve"> przeciwko Słowacji</w:t>
      </w:r>
      <w:r w:rsidR="000D5DD6">
        <w:t xml:space="preserve">, nr 53371/99, </w:t>
      </w:r>
      <w:r w:rsidR="007E48CB">
        <w:t>§</w:t>
      </w:r>
      <w:r w:rsidR="000D5DD6">
        <w:t xml:space="preserve"> 31, 16 listopada 2004 roku; i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0D5DD6">
        <w:t xml:space="preserve">, </w:t>
      </w:r>
      <w:r w:rsidR="00A63E4A" w:rsidRPr="00A63E4A">
        <w:rPr>
          <w:i/>
        </w:rPr>
        <w:t>op. cit.</w:t>
      </w:r>
      <w:r w:rsidR="000D5DD6">
        <w:t xml:space="preserve">, </w:t>
      </w:r>
      <w:r w:rsidR="007E48CB">
        <w:t>§</w:t>
      </w:r>
      <w:r w:rsidR="000D5DD6">
        <w:t xml:space="preserve"> 58</w:t>
      </w:r>
      <w:r w:rsidR="000D5DD6">
        <w:rPr>
          <w:color w:val="000000"/>
        </w:rPr>
        <w:t>).</w:t>
      </w:r>
    </w:p>
    <w:p w14:paraId="0BC82740" w14:textId="78288CBF" w:rsidR="000D5DD6" w:rsidRPr="00110749" w:rsidRDefault="00346F6F" w:rsidP="000D5DD6">
      <w:pPr>
        <w:autoSpaceDE w:val="0"/>
        <w:autoSpaceDN w:val="0"/>
        <w:adjustRightInd w:val="0"/>
        <w:ind w:firstLine="284"/>
        <w:rPr>
          <w:color w:val="000000"/>
          <w:szCs w:val="24"/>
        </w:rPr>
      </w:pPr>
      <w:fldSimple w:instr=" SEQ level0 \*arabic ">
        <w:r w:rsidR="00AB4482">
          <w:rPr>
            <w:noProof/>
          </w:rPr>
          <w:t>139</w:t>
        </w:r>
      </w:fldSimple>
      <w:r w:rsidR="00023AC7">
        <w:t>. </w:t>
      </w:r>
      <w:r w:rsidR="000D5DD6">
        <w:t>A zatem, w postępowaniu administracyjnym, zobowiązanie do stosowania się do artykułu 6 Konwencji nie wyklucza możliwości nałożenia „kary” przez organ administracyjny w pierwszej instancji. Jednak aby to było możliwe, decyzje podejmowane przez władze administracyjne, które same ni</w:t>
      </w:r>
      <w:r w:rsidR="00A62B40">
        <w:t>e spełniają wymogów artykułu 6 ust.</w:t>
      </w:r>
      <w:r w:rsidR="000D5DD6">
        <w:t xml:space="preserve"> 1 Konwencji, muszą podlegać nast</w:t>
      </w:r>
      <w:r w:rsidR="00A62B40">
        <w:t>ępnie kontroli organu sądowe</w:t>
      </w:r>
      <w:r w:rsidR="000D5DD6">
        <w:t xml:space="preserve">go, który posiada pełną </w:t>
      </w:r>
      <w:r w:rsidR="00644C3F">
        <w:t>jurysdykcję</w:t>
      </w:r>
      <w:r w:rsidR="000D5DD6">
        <w:t xml:space="preserve">  (zobacz </w:t>
      </w:r>
      <w:proofErr w:type="spellStart"/>
      <w:r w:rsidR="000D5DD6">
        <w:rPr>
          <w:i/>
        </w:rPr>
        <w:t>Schmautzer</w:t>
      </w:r>
      <w:proofErr w:type="spellEnd"/>
      <w:r w:rsidR="000D5DD6">
        <w:rPr>
          <w:i/>
        </w:rPr>
        <w:t xml:space="preserve">, </w:t>
      </w:r>
      <w:proofErr w:type="spellStart"/>
      <w:r w:rsidR="000D5DD6">
        <w:rPr>
          <w:i/>
        </w:rPr>
        <w:t>Umlauft</w:t>
      </w:r>
      <w:proofErr w:type="spellEnd"/>
      <w:r w:rsidR="000D5DD6">
        <w:rPr>
          <w:i/>
        </w:rPr>
        <w:t xml:space="preserve">, </w:t>
      </w:r>
      <w:proofErr w:type="spellStart"/>
      <w:r w:rsidR="000D5DD6">
        <w:rPr>
          <w:i/>
        </w:rPr>
        <w:t>Gradinger</w:t>
      </w:r>
      <w:proofErr w:type="spellEnd"/>
      <w:r w:rsidR="000D5DD6">
        <w:rPr>
          <w:i/>
        </w:rPr>
        <w:t xml:space="preserve">, </w:t>
      </w:r>
      <w:proofErr w:type="spellStart"/>
      <w:r w:rsidR="000D5DD6">
        <w:rPr>
          <w:i/>
        </w:rPr>
        <w:t>Pramstaller</w:t>
      </w:r>
      <w:proofErr w:type="spellEnd"/>
      <w:r w:rsidR="000D5DD6">
        <w:rPr>
          <w:i/>
        </w:rPr>
        <w:t xml:space="preserve">, </w:t>
      </w:r>
      <w:proofErr w:type="spellStart"/>
      <w:r w:rsidR="000D5DD6">
        <w:rPr>
          <w:i/>
        </w:rPr>
        <w:t>Palaoro</w:t>
      </w:r>
      <w:proofErr w:type="spellEnd"/>
      <w:r w:rsidR="000D5DD6">
        <w:rPr>
          <w:i/>
        </w:rPr>
        <w:t xml:space="preserve"> i </w:t>
      </w:r>
      <w:proofErr w:type="spellStart"/>
      <w:r w:rsidR="000D5DD6">
        <w:rPr>
          <w:i/>
        </w:rPr>
        <w:t>Pfarrmeier</w:t>
      </w:r>
      <w:proofErr w:type="spellEnd"/>
      <w:r w:rsidR="000D5DD6">
        <w:rPr>
          <w:i/>
        </w:rPr>
        <w:t xml:space="preserve"> przeciwko Austrii</w:t>
      </w:r>
      <w:r w:rsidR="000D5DD6">
        <w:t>, wyroki z 23 października 1995 roku, </w:t>
      </w:r>
      <w:r w:rsidR="007E48CB">
        <w:t>§§</w:t>
      </w:r>
      <w:r w:rsidR="000D5DD6">
        <w:t xml:space="preserve"> 34, 37, 42 i 39, 41 oraz, odpowiednio, 38, Seria A nr  328 A-C i 329 A</w:t>
      </w:r>
      <w:r w:rsidR="000D5DD6">
        <w:noBreakHyphen/>
        <w:t>C). Cechy ch</w:t>
      </w:r>
      <w:r w:rsidR="00644C3F">
        <w:t>arakterystyczne organu sądow</w:t>
      </w:r>
      <w:r w:rsidR="000D5DD6">
        <w:t xml:space="preserve">ego posiadającego pełną </w:t>
      </w:r>
      <w:r w:rsidR="00644C3F">
        <w:t>jurysdykcję</w:t>
      </w:r>
      <w:r w:rsidR="000D5DD6">
        <w:t xml:space="preserve"> obejmują prawo do unieważnienia pod każd</w:t>
      </w:r>
      <w:r w:rsidR="00B2656E">
        <w:t>ym względem, zarówno ze względu na</w:t>
      </w:r>
      <w:r w:rsidR="000D5DD6">
        <w:t xml:space="preserve"> okoliczno</w:t>
      </w:r>
      <w:r w:rsidR="00B2656E">
        <w:t>ści sprawy, jak i obowiązujące prawo</w:t>
      </w:r>
      <w:r w:rsidR="000D5DD6">
        <w:t xml:space="preserve">, decyzji podjętych przez podporządkowany organ. Musi posiadać </w:t>
      </w:r>
      <w:r w:rsidR="003B5DED">
        <w:t>jurysdykcję</w:t>
      </w:r>
      <w:r w:rsidR="000D5DD6">
        <w:t xml:space="preserve"> do zbadania wszystkich okoliczności i aspektów prawnych istotnych z puntu widzenia toczącego się przed nim sporu (zobacz </w:t>
      </w:r>
      <w:proofErr w:type="spellStart"/>
      <w:r w:rsidR="000D5DD6">
        <w:rPr>
          <w:i/>
        </w:rPr>
        <w:t>Chevrol</w:t>
      </w:r>
      <w:proofErr w:type="spellEnd"/>
      <w:r w:rsidR="000D5DD6">
        <w:rPr>
          <w:i/>
        </w:rPr>
        <w:t xml:space="preserve"> przeciwko Francji</w:t>
      </w:r>
      <w:r w:rsidR="000D5DD6">
        <w:t xml:space="preserve">, nr 49636/99, </w:t>
      </w:r>
      <w:r w:rsidR="007E48CB">
        <w:t>§</w:t>
      </w:r>
      <w:r w:rsidR="000D5DD6">
        <w:t xml:space="preserve"> 77, ECHR 2003-III; </w:t>
      </w:r>
      <w:proofErr w:type="spellStart"/>
      <w:r w:rsidR="000D5DD6">
        <w:rPr>
          <w:i/>
        </w:rPr>
        <w:t>Silvester’s</w:t>
      </w:r>
      <w:proofErr w:type="spellEnd"/>
      <w:r w:rsidR="000D5DD6">
        <w:rPr>
          <w:i/>
        </w:rPr>
        <w:t xml:space="preserve"> </w:t>
      </w:r>
      <w:proofErr w:type="spellStart"/>
      <w:r w:rsidR="000D5DD6">
        <w:rPr>
          <w:i/>
        </w:rPr>
        <w:t>Horeca</w:t>
      </w:r>
      <w:proofErr w:type="spellEnd"/>
      <w:r w:rsidR="000D5DD6">
        <w:rPr>
          <w:i/>
        </w:rPr>
        <w:t xml:space="preserve"> Service</w:t>
      </w:r>
      <w:r w:rsidR="000D5DD6">
        <w:rPr>
          <w:i/>
          <w:color w:val="000000"/>
        </w:rPr>
        <w:t xml:space="preserve"> przeciwko Belgii</w:t>
      </w:r>
      <w:r w:rsidR="000D5DD6">
        <w:rPr>
          <w:color w:val="000000"/>
        </w:rPr>
        <w:t xml:space="preserve">, nr 47650/99, </w:t>
      </w:r>
      <w:r w:rsidR="007E48CB">
        <w:rPr>
          <w:color w:val="000000"/>
        </w:rPr>
        <w:t>§</w:t>
      </w:r>
      <w:r w:rsidR="000D5DD6">
        <w:rPr>
          <w:color w:val="000000"/>
        </w:rPr>
        <w:t xml:space="preserve"> 27, 4 marca 2004 roku; oraz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0D5DD6">
        <w:t xml:space="preserve">, </w:t>
      </w:r>
      <w:r w:rsidR="00A63E4A" w:rsidRPr="00A63E4A">
        <w:rPr>
          <w:i/>
        </w:rPr>
        <w:t>op. cit.</w:t>
      </w:r>
      <w:r w:rsidR="000D5DD6">
        <w:t xml:space="preserve">, </w:t>
      </w:r>
      <w:r w:rsidR="007E48CB">
        <w:t>§</w:t>
      </w:r>
      <w:r w:rsidR="000D5DD6">
        <w:t> 59</w:t>
      </w:r>
      <w:r w:rsidR="000D5DD6">
        <w:rPr>
          <w:color w:val="000000"/>
        </w:rPr>
        <w:t>).</w:t>
      </w:r>
    </w:p>
    <w:p w14:paraId="1896670B" w14:textId="6FE16598" w:rsidR="000D5DD6" w:rsidRPr="00110749" w:rsidRDefault="000D5DD6" w:rsidP="000D5DD6">
      <w:pPr>
        <w:autoSpaceDE w:val="0"/>
        <w:autoSpaceDN w:val="0"/>
        <w:adjustRightInd w:val="0"/>
        <w:ind w:firstLine="284"/>
        <w:rPr>
          <w:color w:val="000000"/>
          <w:szCs w:val="24"/>
        </w:rPr>
      </w:pPr>
      <w:r w:rsidRPr="00110749">
        <w:rPr>
          <w:color w:val="000000"/>
          <w:szCs w:val="24"/>
        </w:rPr>
        <w:fldChar w:fldCharType="begin"/>
      </w:r>
      <w:r w:rsidRPr="00110749">
        <w:rPr>
          <w:color w:val="000000"/>
          <w:szCs w:val="24"/>
        </w:rPr>
        <w:instrText xml:space="preserve"> SEQ level0 \*arabic </w:instrText>
      </w:r>
      <w:r w:rsidRPr="00110749">
        <w:rPr>
          <w:color w:val="000000"/>
          <w:szCs w:val="24"/>
        </w:rPr>
        <w:fldChar w:fldCharType="separate"/>
      </w:r>
      <w:r w:rsidR="00AB4482">
        <w:rPr>
          <w:noProof/>
          <w:color w:val="000000"/>
          <w:szCs w:val="24"/>
        </w:rPr>
        <w:t>140</w:t>
      </w:r>
      <w:r w:rsidRPr="00110749">
        <w:rPr>
          <w:color w:val="000000"/>
          <w:szCs w:val="24"/>
        </w:rPr>
        <w:fldChar w:fldCharType="end"/>
      </w:r>
      <w:r w:rsidR="003B5DED">
        <w:rPr>
          <w:color w:val="000000"/>
        </w:rPr>
        <w:t>. </w:t>
      </w:r>
      <w:r w:rsidR="001814EB">
        <w:rPr>
          <w:color w:val="000000"/>
        </w:rPr>
        <w:t>W niniejszej sprawie</w:t>
      </w:r>
      <w:r>
        <w:rPr>
          <w:color w:val="000000"/>
        </w:rPr>
        <w:t xml:space="preserve"> skarżący mieli możliwość, z której skorzystali, kwestionowania kar nałożonych przez CONSOB przed Sądem Apelacyjny</w:t>
      </w:r>
      <w:r w:rsidR="003B5DED">
        <w:rPr>
          <w:color w:val="000000"/>
        </w:rPr>
        <w:t xml:space="preserve">m w Turynie, a następnie </w:t>
      </w:r>
      <w:r w:rsidR="001814EB">
        <w:rPr>
          <w:color w:val="000000"/>
        </w:rPr>
        <w:t xml:space="preserve">złożenia </w:t>
      </w:r>
      <w:r w:rsidR="00F46618">
        <w:rPr>
          <w:color w:val="000000"/>
        </w:rPr>
        <w:t>skargi kasacyjnej</w:t>
      </w:r>
      <w:r w:rsidR="00940C74">
        <w:rPr>
          <w:color w:val="000000"/>
        </w:rPr>
        <w:t xml:space="preserve"> </w:t>
      </w:r>
      <w:r>
        <w:rPr>
          <w:color w:val="000000"/>
        </w:rPr>
        <w:t xml:space="preserve">od wyroków wydanych przez ten sąd. </w:t>
      </w:r>
      <w:r w:rsidR="001814EB">
        <w:rPr>
          <w:color w:val="000000"/>
        </w:rPr>
        <w:t>P</w:t>
      </w:r>
      <w:r>
        <w:rPr>
          <w:color w:val="000000"/>
        </w:rPr>
        <w:t>ozostaje do ustalenia, czy te dw</w:t>
      </w:r>
      <w:r w:rsidR="003B5DED">
        <w:rPr>
          <w:color w:val="000000"/>
        </w:rPr>
        <w:t>a sądy były „organami sądowy</w:t>
      </w:r>
      <w:r>
        <w:rPr>
          <w:color w:val="000000"/>
        </w:rPr>
        <w:t xml:space="preserve">mi posiadającymi pełną </w:t>
      </w:r>
      <w:r w:rsidR="003B5DED">
        <w:rPr>
          <w:color w:val="000000"/>
        </w:rPr>
        <w:t>jurysdykcję</w:t>
      </w:r>
      <w:r>
        <w:rPr>
          <w:color w:val="000000"/>
        </w:rPr>
        <w:t xml:space="preserve">” w rozumieniu orzecznictwa </w:t>
      </w:r>
      <w:r w:rsidR="003B5DED">
        <w:rPr>
          <w:color w:val="000000"/>
        </w:rPr>
        <w:t>Trybunału</w:t>
      </w:r>
      <w:r>
        <w:rPr>
          <w:color w:val="000000"/>
        </w:rPr>
        <w:t>.</w:t>
      </w:r>
    </w:p>
    <w:p w14:paraId="5CFBCB97" w14:textId="77777777" w:rsidR="000D5DD6" w:rsidRPr="00110749" w:rsidRDefault="000D5DD6" w:rsidP="000D5DD6">
      <w:pPr>
        <w:pStyle w:val="ECHRHeading4"/>
      </w:pPr>
      <w:r>
        <w:t>(a)  Stanowiska stron</w:t>
      </w:r>
    </w:p>
    <w:p w14:paraId="42BE3B58" w14:textId="77777777" w:rsidR="000D5DD6" w:rsidRPr="00110749" w:rsidRDefault="000D5DD6" w:rsidP="000D5DD6">
      <w:pPr>
        <w:pStyle w:val="ECHRHeading5"/>
      </w:pPr>
      <w:r>
        <w:t>i.  Skarżący</w:t>
      </w:r>
    </w:p>
    <w:bookmarkStart w:id="39" w:name="pleinejuridiction"/>
    <w:p w14:paraId="16F7707E" w14:textId="7E144D0E"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141</w:t>
      </w:r>
      <w:r w:rsidRPr="00110749">
        <w:fldChar w:fldCharType="end"/>
      </w:r>
      <w:bookmarkEnd w:id="39"/>
      <w:r w:rsidR="00631C93">
        <w:t>. </w:t>
      </w:r>
      <w:r>
        <w:t>W opinii skarżących, postępowanie przed Sądem Apelacyjnym w Turynie i Sądem Kasacyjnym nie naprawiło braków postępowania toczącego się przed CONSOB. Mimo</w:t>
      </w:r>
      <w:r w:rsidR="00631C93">
        <w:t>,</w:t>
      </w:r>
      <w:r>
        <w:t xml:space="preserve"> iż można uznać s</w:t>
      </w:r>
      <w:r w:rsidR="00631C93">
        <w:t>ąd apelacyjny za organ sądow</w:t>
      </w:r>
      <w:r>
        <w:t xml:space="preserve">y posiadający pełną </w:t>
      </w:r>
      <w:r w:rsidR="00631C93">
        <w:t>jurysdykcję</w:t>
      </w:r>
      <w:r>
        <w:t xml:space="preserve">, fakt pozostaje faktem, że </w:t>
      </w:r>
      <w:r w:rsidR="001814EB">
        <w:t xml:space="preserve">jego </w:t>
      </w:r>
      <w:r>
        <w:t xml:space="preserve">rozprawy nie </w:t>
      </w:r>
      <w:r w:rsidR="001814EB">
        <w:t xml:space="preserve">były </w:t>
      </w:r>
      <w:r w:rsidR="00940C74">
        <w:t>jawne</w:t>
      </w:r>
      <w:r>
        <w:t xml:space="preserve">. </w:t>
      </w:r>
      <w:r w:rsidR="001814EB">
        <w:t>Natomiast</w:t>
      </w:r>
      <w:r>
        <w:t xml:space="preserve"> odejście od zasady, że rozprawy powinny odbywać się </w:t>
      </w:r>
      <w:r w:rsidR="00940C74">
        <w:t>jawnie</w:t>
      </w:r>
      <w:r w:rsidR="001814EB">
        <w:t>,</w:t>
      </w:r>
      <w:r>
        <w:t xml:space="preserve"> może być uznane za uzasadnione wyłącznie w wyjątkowych </w:t>
      </w:r>
      <w:r>
        <w:lastRenderedPageBreak/>
        <w:t>okolicznościach (</w:t>
      </w:r>
      <w:r w:rsidR="001814EB">
        <w:t>skarżący powołali się</w:t>
      </w:r>
      <w:r>
        <w:t xml:space="preserve">, w szczególności, </w:t>
      </w:r>
      <w:r w:rsidR="001814EB">
        <w:t>na sprawę</w:t>
      </w:r>
      <w:r>
        <w:t xml:space="preserve"> </w:t>
      </w:r>
      <w:proofErr w:type="spellStart"/>
      <w:r>
        <w:rPr>
          <w:i/>
        </w:rPr>
        <w:t>Vernes</w:t>
      </w:r>
      <w:proofErr w:type="spellEnd"/>
      <w:r>
        <w:rPr>
          <w:i/>
        </w:rPr>
        <w:t xml:space="preserve"> przeciwko Francji</w:t>
      </w:r>
      <w:r>
        <w:t xml:space="preserve">, nr 30183/06, </w:t>
      </w:r>
      <w:r w:rsidR="007E48CB">
        <w:t>§</w:t>
      </w:r>
      <w:r>
        <w:t> 30, 20 stycznia 2011 roku).</w:t>
      </w:r>
    </w:p>
    <w:bookmarkStart w:id="40" w:name="audiencepublique"/>
    <w:p w14:paraId="2DA35D3A" w14:textId="4BF1BBF7" w:rsidR="00AB4482"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142</w:t>
      </w:r>
      <w:r w:rsidRPr="00110749">
        <w:fldChar w:fldCharType="end"/>
      </w:r>
      <w:bookmarkEnd w:id="40"/>
      <w:r w:rsidR="00631C93">
        <w:t>. </w:t>
      </w:r>
      <w:r>
        <w:t xml:space="preserve">Skarżący podnosili, w szczególności, że postępowanie przed sądem apelacyjnym nie stanowiło zwykłego postępowania, tylko specjalne postępowanie, w którym rozprawy odbywały się w trybie zamkniętym. </w:t>
      </w:r>
      <w:r w:rsidR="001814EB">
        <w:t xml:space="preserve">Na poparcie </w:t>
      </w:r>
      <w:r>
        <w:t>swo</w:t>
      </w:r>
      <w:r w:rsidR="001814EB">
        <w:t>ich twierdzeń</w:t>
      </w:r>
      <w:r>
        <w:t xml:space="preserve">, złożyli oświadczenia podpisane przez dyrektora administracyjnego </w:t>
      </w:r>
      <w:r w:rsidR="001814EB">
        <w:t xml:space="preserve">Kancelarii </w:t>
      </w:r>
      <w:r>
        <w:t xml:space="preserve">Pierwszego Wydziału Sądu Apelacyjnego w Turynie, </w:t>
      </w:r>
      <w:r w:rsidR="001814EB">
        <w:t>s</w:t>
      </w:r>
      <w:r>
        <w:t>twierdzające, że rozprawy w ich sprawie obywały się na posiedzeniach za</w:t>
      </w:r>
      <w:r w:rsidR="001814EB">
        <w:t>mkniętych. Podczas tych rozpraw</w:t>
      </w:r>
      <w:r>
        <w:t xml:space="preserve"> obecny był wyłącznie obrońca oskarżonych; skarżący nie byli wzywani, a sąd apelacyjny nie przesłuchał ani oskarżonych, ani żadnych świadków. Nie przeprowadził żadnego dochodzenia, </w:t>
      </w:r>
      <w:r w:rsidR="001814EB">
        <w:t xml:space="preserve">ograniczył </w:t>
      </w:r>
      <w:r>
        <w:t xml:space="preserve">się jedynie </w:t>
      </w:r>
      <w:r w:rsidR="001814EB">
        <w:t>do zatwierdzenia dowodów</w:t>
      </w:r>
      <w:r>
        <w:t xml:space="preserve"> zebranych przez CONSOB. Wprawdzie Rząd przedstawił oświadczenia Prezesa Pierwszej Sekcji Sądu Apelacyjnego, twierdzącego, że przedmiotowe rozprawy odbywały się w istocie na posiedzeniach jawnych (zobacz punkt  </w:t>
      </w:r>
      <w:r w:rsidRPr="00110749">
        <w:fldChar w:fldCharType="begin"/>
      </w:r>
      <w:r w:rsidRPr="00110749">
        <w:instrText xml:space="preserve"> REF audiencepublique2 \h </w:instrText>
      </w:r>
      <w:r w:rsidRPr="00110749">
        <w:fldChar w:fldCharType="separate"/>
      </w:r>
      <w:r w:rsidR="00AB4482">
        <w:rPr>
          <w:noProof/>
        </w:rPr>
        <w:t>145</w:t>
      </w:r>
      <w:r w:rsidRPr="00110749">
        <w:fldChar w:fldCharType="end"/>
      </w:r>
      <w:r>
        <w:t xml:space="preserve"> poniżej). Niemniej jednak faktem było, że oświadczenia te nie mogły zaprzeczyć treści dokumentów publicznych, takich jak wyroki wydane przez sąd apelacyjny, które wskazywały, że strony zostały wezwane na zamknięte posiedzenie, </w:t>
      </w:r>
      <w:r w:rsidR="00CD02A2">
        <w:t xml:space="preserve">i które należy uznać za stwierdzające prawdę do czasu </w:t>
      </w:r>
      <w:r>
        <w:t>udowodnienia oszustwa. Rząd nie wniósł jednak sprawy o oszustwo, a w każdym wypadku Prezes Pierwszej Sekcji Sądu Apelacyjnego przekazał jedynie treść oświadczeń złożonych przez innych, bez odwoływania się do żadnych zdarzeń, o których nie miał bezpośredniej wiedzy.</w:t>
      </w:r>
    </w:p>
    <w:p w14:paraId="6F3C5089" w14:textId="64CDF706" w:rsidR="000D5DD6" w:rsidRPr="00110749" w:rsidRDefault="00346F6F" w:rsidP="000D5DD6">
      <w:pPr>
        <w:pStyle w:val="ECHRPara"/>
      </w:pPr>
      <w:fldSimple w:instr=" SEQ level0 \*arabic ">
        <w:r w:rsidR="00AB4482">
          <w:rPr>
            <w:noProof/>
          </w:rPr>
          <w:t>143</w:t>
        </w:r>
      </w:fldSimple>
      <w:r w:rsidR="00A209B7">
        <w:t>. </w:t>
      </w:r>
      <w:r w:rsidR="000D5DD6">
        <w:t>Prawdą jest, że jawna rozprawa odbyła się przed Sądem Kasacyjnym. Je</w:t>
      </w:r>
      <w:r w:rsidR="00A209B7">
        <w:t>dnakże sąd ten nie był organem o pełnej</w:t>
      </w:r>
      <w:r w:rsidR="000D5DD6">
        <w:t xml:space="preserve"> </w:t>
      </w:r>
      <w:r w:rsidR="00A209B7">
        <w:t>jurysdykcji</w:t>
      </w:r>
      <w:r w:rsidR="000D5DD6">
        <w:t xml:space="preserve">, gdyż nie zajmował się merytoryczną stroną sprawy i nie </w:t>
      </w:r>
      <w:r w:rsidR="00CD02A2">
        <w:t>był</w:t>
      </w:r>
      <w:r w:rsidR="000D5DD6">
        <w:t xml:space="preserve"> </w:t>
      </w:r>
      <w:r w:rsidR="00CD02A2">
        <w:t>wezwan</w:t>
      </w:r>
      <w:r w:rsidR="000D5DD6">
        <w:t xml:space="preserve">y </w:t>
      </w:r>
      <w:r w:rsidR="00CD02A2">
        <w:t>do wyrażenia</w:t>
      </w:r>
      <w:r w:rsidR="000D5DD6">
        <w:t xml:space="preserve"> swojej opinii na temat przedmiotu oskarżenia lub trafności i </w:t>
      </w:r>
      <w:r w:rsidR="00CD02A2">
        <w:t xml:space="preserve">mocy </w:t>
      </w:r>
      <w:r w:rsidR="000D5DD6">
        <w:t xml:space="preserve">dowodów. W związku z tym </w:t>
      </w:r>
      <w:r w:rsidR="00CD02A2">
        <w:t>oddalił</w:t>
      </w:r>
      <w:r w:rsidR="000D5DD6">
        <w:t xml:space="preserve"> wszystkie argumenty skarżących </w:t>
      </w:r>
      <w:r w:rsidR="00CD02A2">
        <w:t xml:space="preserve">kwestionujące </w:t>
      </w:r>
      <w:r w:rsidR="000D5DD6">
        <w:t>sposób, w jaki CO</w:t>
      </w:r>
      <w:r w:rsidR="002A3593">
        <w:t>NSOB lub sąd apelacyjny dokonały</w:t>
      </w:r>
      <w:r w:rsidR="000D5DD6">
        <w:t xml:space="preserve"> oceny dowodów.</w:t>
      </w:r>
    </w:p>
    <w:p w14:paraId="77EA8922" w14:textId="77777777" w:rsidR="000D5DD6" w:rsidRPr="00110749" w:rsidRDefault="000D5DD6" w:rsidP="000D5DD6">
      <w:pPr>
        <w:pStyle w:val="ECHRHeading5"/>
      </w:pPr>
      <w:r>
        <w:t>ii.  Rząd</w:t>
      </w:r>
    </w:p>
    <w:p w14:paraId="7B9BD6CF" w14:textId="5BCB8C81" w:rsidR="000D5DD6" w:rsidRPr="00110749" w:rsidRDefault="00346F6F" w:rsidP="000D5DD6">
      <w:pPr>
        <w:pStyle w:val="ECHRPara"/>
      </w:pPr>
      <w:fldSimple w:instr=" SEQ level0 \*arabic ">
        <w:r w:rsidR="00AB4482">
          <w:rPr>
            <w:noProof/>
          </w:rPr>
          <w:t>144</w:t>
        </w:r>
      </w:fldSimple>
      <w:r w:rsidR="00632A33">
        <w:t>. </w:t>
      </w:r>
      <w:r w:rsidR="000D5DD6">
        <w:t xml:space="preserve">Rząd zauważył, że skarżący mieli dostęp do ustnego i jawnego postępowania przed Sądem Apelacyjnym w Turynie, który dokonał ponownej analizy merytorycznej wszystkich dowodów i informacji zebranych przez CONSOB w odniesieniu do okoliczności kwestionowanego </w:t>
      </w:r>
      <w:r w:rsidR="0030504D">
        <w:t>zachowania</w:t>
      </w:r>
      <w:r w:rsidR="000D5DD6">
        <w:t xml:space="preserve">, </w:t>
      </w:r>
      <w:r w:rsidR="00CA56D9">
        <w:t>co umożliwiło</w:t>
      </w:r>
      <w:r w:rsidR="000D5DD6">
        <w:t xml:space="preserve"> </w:t>
      </w:r>
      <w:r w:rsidR="00317F31">
        <w:t>mu dokonanie oceny</w:t>
      </w:r>
      <w:r w:rsidR="000D5DD6">
        <w:t xml:space="preserve"> </w:t>
      </w:r>
      <w:r w:rsidR="001E043C">
        <w:t>proporcjonalności</w:t>
      </w:r>
      <w:r w:rsidR="000D5DD6">
        <w:t xml:space="preserve"> kar. Sąd apelacyjny m</w:t>
      </w:r>
      <w:r w:rsidR="00317F31">
        <w:t>i</w:t>
      </w:r>
      <w:r w:rsidR="000D5DD6">
        <w:t>a</w:t>
      </w:r>
      <w:r w:rsidR="00317F31">
        <w:t>ł bardzo</w:t>
      </w:r>
      <w:r w:rsidR="000D5DD6">
        <w:t xml:space="preserve"> </w:t>
      </w:r>
      <w:r w:rsidR="00317F31">
        <w:t>szerokie</w:t>
      </w:r>
      <w:r w:rsidR="000D5DD6">
        <w:t xml:space="preserve"> uprawnienia, jeżeli chodzi o </w:t>
      </w:r>
      <w:r w:rsidR="00317F31">
        <w:t>przeprowadzanie</w:t>
      </w:r>
      <w:r w:rsidR="000D5DD6">
        <w:t xml:space="preserve"> dowodów, nawet działając z urzędu, i miał możliwoś</w:t>
      </w:r>
      <w:r w:rsidR="002C0A83">
        <w:t xml:space="preserve">ć uchylenia lub zmiany decyzji </w:t>
      </w:r>
      <w:r w:rsidR="000D5DD6">
        <w:t xml:space="preserve">CONSOB. Skarżący mogli wystąpić o </w:t>
      </w:r>
      <w:r w:rsidR="002C0A83">
        <w:t>zadanie pytań świadkom</w:t>
      </w:r>
      <w:r w:rsidR="000D5DD6">
        <w:t xml:space="preserve"> lub o ich </w:t>
      </w:r>
      <w:r w:rsidR="002C0A83">
        <w:t xml:space="preserve">osobiste </w:t>
      </w:r>
      <w:r w:rsidR="000D5DD6">
        <w:t>przesłuc</w:t>
      </w:r>
      <w:r w:rsidR="00350A51">
        <w:t>hanie; nie złożyli jednak żadnych wniosków</w:t>
      </w:r>
      <w:r w:rsidR="000D5DD6">
        <w:t xml:space="preserve"> w tej sprawie. Na koniec postępowania sądowego, sąd</w:t>
      </w:r>
      <w:r w:rsidR="00350A51">
        <w:t xml:space="preserve"> apelacyjny zmienił orzeczenie </w:t>
      </w:r>
      <w:r w:rsidR="000D5DD6">
        <w:t>CONSOB i obniżył kary nałożone na trzech z pięciu skarżących.</w:t>
      </w:r>
    </w:p>
    <w:bookmarkStart w:id="41" w:name="audiencepublique2"/>
    <w:p w14:paraId="248CADF9" w14:textId="27F50ABE" w:rsidR="000D5DD6" w:rsidRPr="00110749" w:rsidRDefault="000D5DD6" w:rsidP="000D5DD6">
      <w:pPr>
        <w:pStyle w:val="ECHRPara"/>
      </w:pPr>
      <w:r w:rsidRPr="00110749">
        <w:lastRenderedPageBreak/>
        <w:fldChar w:fldCharType="begin"/>
      </w:r>
      <w:r w:rsidRPr="00110749">
        <w:instrText xml:space="preserve"> SEQ level0 \*arabic </w:instrText>
      </w:r>
      <w:r w:rsidRPr="00110749">
        <w:fldChar w:fldCharType="separate"/>
      </w:r>
      <w:r w:rsidR="00AB4482">
        <w:rPr>
          <w:noProof/>
        </w:rPr>
        <w:t>145</w:t>
      </w:r>
      <w:r w:rsidRPr="00110749">
        <w:fldChar w:fldCharType="end"/>
      </w:r>
      <w:bookmarkEnd w:id="41"/>
      <w:r w:rsidR="00CC4859">
        <w:t>. </w:t>
      </w:r>
      <w:r>
        <w:t xml:space="preserve">Rząd oświadczył, że </w:t>
      </w:r>
      <w:r w:rsidR="00317F31">
        <w:t>twierdzenia</w:t>
      </w:r>
      <w:r>
        <w:t xml:space="preserve"> skarżących, iż ich sprawa nie została rozpatrzona podczas jawnej rozprawy przed Sądem Apelacyjnym w Turynie, były nieuzasadnione. Zgodnie z ustępem 23 ustawy nr 689 z 1981 roku, wszystkie rozprawy toczące się przed sądem są otwarte dla publiczności. Jeżeli chodzi o oświadczenia podpisane przez Dyrektora Administracyjnego </w:t>
      </w:r>
      <w:r w:rsidR="009158D7">
        <w:t>Kancelarii</w:t>
      </w:r>
      <w:r>
        <w:t xml:space="preserve"> Pierwszej Sekcji Sądu Apelacyjnego, </w:t>
      </w:r>
      <w:r w:rsidR="009158D7">
        <w:t>przed</w:t>
      </w:r>
      <w:r>
        <w:t xml:space="preserve">łożone przez skarżących (zobacz punkt </w:t>
      </w:r>
      <w:r w:rsidRPr="00110749">
        <w:fldChar w:fldCharType="begin"/>
      </w:r>
      <w:r w:rsidRPr="00110749">
        <w:instrText xml:space="preserve"> REF audiencepublique \h </w:instrText>
      </w:r>
      <w:r w:rsidRPr="00110749">
        <w:fldChar w:fldCharType="separate"/>
      </w:r>
      <w:r w:rsidR="00AB4482">
        <w:rPr>
          <w:noProof/>
        </w:rPr>
        <w:t>142</w:t>
      </w:r>
      <w:r w:rsidRPr="00110749">
        <w:fldChar w:fldCharType="end"/>
      </w:r>
      <w:r>
        <w:t xml:space="preserve"> powyżej), Rząd stwierdził, że nie odzwierciedlały one faktycznej sytuacji. W ramach swojej argumentacji, przedstawił pięć oświadczeń podpisanych przez Prezesa Pierwszej Sekcji Sądu Apelacyjnego w Turynie i przez Dyrektora Administracyjnego tej samej Sekcji, stwierdzających, że podczas pięciu postępowań dotyczących skarżących i kwestionujących kary nałożone przez CONSOB, tylko rozprawy dotyczące środków w trybie pilnym (</w:t>
      </w:r>
      <w:proofErr w:type="spellStart"/>
      <w:r>
        <w:rPr>
          <w:i/>
        </w:rPr>
        <w:t>sub</w:t>
      </w:r>
      <w:proofErr w:type="spellEnd"/>
      <w:r>
        <w:rPr>
          <w:i/>
        </w:rPr>
        <w:t> </w:t>
      </w:r>
      <w:proofErr w:type="spellStart"/>
      <w:r>
        <w:rPr>
          <w:i/>
        </w:rPr>
        <w:t>procedimento</w:t>
      </w:r>
      <w:proofErr w:type="spellEnd"/>
      <w:r>
        <w:rPr>
          <w:i/>
        </w:rPr>
        <w:t xml:space="preserve"> </w:t>
      </w:r>
      <w:proofErr w:type="spellStart"/>
      <w:r>
        <w:rPr>
          <w:i/>
        </w:rPr>
        <w:t>cautelare</w:t>
      </w:r>
      <w:proofErr w:type="spellEnd"/>
      <w:r>
        <w:t>) o</w:t>
      </w:r>
      <w:r w:rsidR="00CC4859">
        <w:t>d</w:t>
      </w:r>
      <w:r>
        <w:t xml:space="preserve">bywały się w formie posiedzeń zamkniętych, a wszystkie pozostałe </w:t>
      </w:r>
      <w:r w:rsidR="009158D7">
        <w:t>posiedzenia</w:t>
      </w:r>
      <w:r>
        <w:t xml:space="preserve"> były jawne. W oświadczeniach tych, datowanych </w:t>
      </w:r>
      <w:r w:rsidR="00CC4859">
        <w:t xml:space="preserve">na </w:t>
      </w:r>
      <w:r>
        <w:t xml:space="preserve">6 września 2013 roku, Prezes Pierwszej Sekcji Sądu Apelacyjnego wskazał, że w tym czasie, nie był oddelegowany do pracy w tym organie (rozpoczął pełnienie swoich obowiązków 1 marca 2013 roku), jednak miał możliwość odtworzenia kolejności wydarzeń poprzez analizę rejestrów i akt spraw, a także na podstawie informacji przekazanych bezpośrednio przez personel </w:t>
      </w:r>
      <w:r w:rsidR="009158D7">
        <w:t xml:space="preserve">kancelarii </w:t>
      </w:r>
      <w:r>
        <w:t>oraz przez sędziów, którzy zajmowali się danymi sprawami. W szczególności, sprawy skarżących zostały dodane do listy spraw bezspornych (</w:t>
      </w:r>
      <w:proofErr w:type="spellStart"/>
      <w:r>
        <w:rPr>
          <w:i/>
        </w:rPr>
        <w:t>registro</w:t>
      </w:r>
      <w:proofErr w:type="spellEnd"/>
      <w:r>
        <w:rPr>
          <w:i/>
        </w:rPr>
        <w:t xml:space="preserve"> </w:t>
      </w:r>
      <w:proofErr w:type="spellStart"/>
      <w:r>
        <w:rPr>
          <w:i/>
        </w:rPr>
        <w:t>volontaria</w:t>
      </w:r>
      <w:proofErr w:type="spellEnd"/>
      <w:r>
        <w:rPr>
          <w:i/>
        </w:rPr>
        <w:t xml:space="preserve"> </w:t>
      </w:r>
      <w:proofErr w:type="spellStart"/>
      <w:r>
        <w:rPr>
          <w:i/>
        </w:rPr>
        <w:t>giurisdizione</w:t>
      </w:r>
      <w:proofErr w:type="spellEnd"/>
      <w:r>
        <w:t>). Ponadto, ustawa nr 62 z 18 kwietnia 2005 roku stanowi</w:t>
      </w:r>
      <w:r w:rsidR="009158D7">
        <w:t>ła</w:t>
      </w:r>
      <w:r>
        <w:t>, że postępowanie dotyczące artykułu  187 Dekretu Legislacyjnego nr 58 z 1998 roku winno się odbyć zgodnie z warunkami określonymi w punkcie 23 ustawy nr 689 z 1981 roku (który nie przewid</w:t>
      </w:r>
      <w:r w:rsidR="009158D7">
        <w:t>ywał</w:t>
      </w:r>
      <w:r>
        <w:t xml:space="preserve"> </w:t>
      </w:r>
      <w:r w:rsidR="009158D7">
        <w:t>przeprowadzania</w:t>
      </w:r>
      <w:r>
        <w:t xml:space="preserve"> </w:t>
      </w:r>
      <w:r w:rsidR="009158D7">
        <w:t>posiedzeń</w:t>
      </w:r>
      <w:r>
        <w:t xml:space="preserve"> w trybie zamkniętym). Mimo że sprawy skarżących pozostawały na liście spraw bezspornych, </w:t>
      </w:r>
      <w:r w:rsidR="009158D7">
        <w:t>za</w:t>
      </w:r>
      <w:r>
        <w:t>stosowana procedura była procedurą wymaganą przez ustawę nr 62 z 2005 roku.</w:t>
      </w:r>
    </w:p>
    <w:bookmarkStart w:id="42" w:name="audiencepublique3"/>
    <w:p w14:paraId="43FAFD27" w14:textId="1FE7209B"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146</w:t>
      </w:r>
      <w:r w:rsidRPr="00110749">
        <w:fldChar w:fldCharType="end"/>
      </w:r>
      <w:bookmarkEnd w:id="42"/>
      <w:r w:rsidR="00CC4859">
        <w:t>. </w:t>
      </w:r>
      <w:r>
        <w:t xml:space="preserve">Na podstawie tych oświadczeń, Rząd stwierdził, że w dniu 6 marca 2007 roku, skarżący wystąpili o wstrzymanie wykonania decyzji  CONSOB (artykuł 187 </w:t>
      </w:r>
      <w:proofErr w:type="spellStart"/>
      <w:r>
        <w:rPr>
          <w:i/>
        </w:rPr>
        <w:t>septies</w:t>
      </w:r>
      <w:proofErr w:type="spellEnd"/>
      <w:r>
        <w:t xml:space="preserve"> § 5 Dekretu Legislacyjnego nr 58 z 1998 roku). W </w:t>
      </w:r>
      <w:r w:rsidR="009158D7">
        <w:t>ramach</w:t>
      </w:r>
      <w:r>
        <w:t xml:space="preserve"> tego postępowania </w:t>
      </w:r>
      <w:r w:rsidR="009158D7">
        <w:t xml:space="preserve">wpadkowego </w:t>
      </w:r>
      <w:r>
        <w:t xml:space="preserve">w sprawie zastosowania pilnych środków, </w:t>
      </w:r>
      <w:r w:rsidR="009158D7">
        <w:t xml:space="preserve">przeprowadzono </w:t>
      </w:r>
      <w:r>
        <w:t xml:space="preserve">posiedzenie w dniu 28 marca 2007 roku; odbyło się ono w trybie zamkniętym, zgodnie z postanowieniami artykułów 283 i 351 kodeksu postępowania cywilnego. Następnie </w:t>
      </w:r>
      <w:r w:rsidR="009158D7">
        <w:t xml:space="preserve">przeprowadzono </w:t>
      </w:r>
      <w:r>
        <w:t xml:space="preserve">posiedzenie poświęcone przedmiotowi sprawy w dniu 11 lipca 2007 roku; zgodnie z ustępem 23 ustawy nr 689 z 1981 roku, posiedzenie to </w:t>
      </w:r>
      <w:r w:rsidR="009158D7">
        <w:t>przeprowadzono</w:t>
      </w:r>
      <w:r>
        <w:t xml:space="preserve"> w trybie jawnym. Ponadto, dwa wyroki wydane przez sąd apelacyjny (w szczególności wyroki przeciwko Panu </w:t>
      </w:r>
      <w:proofErr w:type="spellStart"/>
      <w:r>
        <w:t>Marrone</w:t>
      </w:r>
      <w:proofErr w:type="spellEnd"/>
      <w:r>
        <w:t xml:space="preserve"> i spółce Giovanni Agnelli </w:t>
      </w:r>
      <w:proofErr w:type="spellStart"/>
      <w:r>
        <w:t>S.a.s</w:t>
      </w:r>
      <w:proofErr w:type="spellEnd"/>
      <w:r>
        <w:t xml:space="preserve">.) odnoszą się do „jawnej rozprawy” zaplanowanej na 11 lipca 2007 roku. Kolejne </w:t>
      </w:r>
      <w:r w:rsidR="009158D7">
        <w:t>posiedzenia</w:t>
      </w:r>
      <w:r>
        <w:t xml:space="preserve"> poświęcone rozpatrzeniu </w:t>
      </w:r>
      <w:r>
        <w:lastRenderedPageBreak/>
        <w:t>przedmiotu spraw (a mianowicie rozprawy z 7 listopada i 5 grudnia 2007 roku) również odbywały się w trybie jawnym.</w:t>
      </w:r>
    </w:p>
    <w:p w14:paraId="0ECE96E4" w14:textId="6B2D3EF6" w:rsidR="000D5DD6" w:rsidRPr="00110749" w:rsidRDefault="00346F6F" w:rsidP="000D5DD6">
      <w:pPr>
        <w:pStyle w:val="ECHRPara"/>
      </w:pPr>
      <w:fldSimple w:instr=" SEQ level0 \*arabic ">
        <w:r w:rsidR="00AB4482">
          <w:rPr>
            <w:noProof/>
          </w:rPr>
          <w:t>147</w:t>
        </w:r>
      </w:fldSimple>
      <w:r w:rsidR="00A06BCF">
        <w:t>. </w:t>
      </w:r>
      <w:r w:rsidR="000D5DD6">
        <w:t xml:space="preserve">Rząd podkreślił również, że skarżący mieli możliwość wniesienia </w:t>
      </w:r>
      <w:r w:rsidR="00551F92">
        <w:t>skargi kasacyjnej</w:t>
      </w:r>
      <w:r w:rsidR="000D5DD6">
        <w:t xml:space="preserve">, a także, że sprawa została </w:t>
      </w:r>
      <w:r w:rsidR="009158D7">
        <w:t xml:space="preserve">wówczas </w:t>
      </w:r>
      <w:r w:rsidR="000D5DD6">
        <w:t xml:space="preserve">przekazana do rozpatrzenia przez połączone wydziały. Przed tymi wydziałami </w:t>
      </w:r>
      <w:r w:rsidR="00E90D34">
        <w:t>przeprowadzone zostało jawne i ustne postępowanie, które było w pełni zgodne</w:t>
      </w:r>
      <w:r w:rsidR="000D5DD6">
        <w:t xml:space="preserve"> z praw</w:t>
      </w:r>
      <w:r w:rsidR="003D4760">
        <w:t>em</w:t>
      </w:r>
      <w:r w:rsidR="000D5DD6">
        <w:t xml:space="preserve"> </w:t>
      </w:r>
      <w:r w:rsidR="009158D7">
        <w:t xml:space="preserve">do </w:t>
      </w:r>
      <w:r w:rsidR="00E90D34">
        <w:t>obrony, a które</w:t>
      </w:r>
      <w:r w:rsidR="000D5DD6">
        <w:t xml:space="preserve"> dotyczył</w:t>
      </w:r>
      <w:r w:rsidR="00677DFE">
        <w:t>o</w:t>
      </w:r>
      <w:r w:rsidR="000D5DD6">
        <w:t xml:space="preserve"> zarówno </w:t>
      </w:r>
      <w:r w:rsidR="0060237B">
        <w:t>wykładni,</w:t>
      </w:r>
      <w:r w:rsidR="000D5DD6">
        <w:t xml:space="preserve"> jak i stosowania prawa </w:t>
      </w:r>
      <w:r w:rsidR="009158D7">
        <w:t>materialnego</w:t>
      </w:r>
      <w:r w:rsidR="000D5DD6">
        <w:t xml:space="preserve"> i proceduralnego (</w:t>
      </w:r>
      <w:proofErr w:type="spellStart"/>
      <w:r w:rsidR="000D5DD6">
        <w:rPr>
          <w:i/>
        </w:rPr>
        <w:t>errores</w:t>
      </w:r>
      <w:proofErr w:type="spellEnd"/>
      <w:r w:rsidR="000D5DD6">
        <w:rPr>
          <w:i/>
        </w:rPr>
        <w:t xml:space="preserve"> in </w:t>
      </w:r>
      <w:proofErr w:type="spellStart"/>
      <w:r w:rsidR="000D5DD6">
        <w:rPr>
          <w:i/>
        </w:rPr>
        <w:t>iudicando</w:t>
      </w:r>
      <w:proofErr w:type="spellEnd"/>
      <w:r w:rsidR="000D5DD6">
        <w:rPr>
          <w:i/>
        </w:rPr>
        <w:t xml:space="preserve"> and in </w:t>
      </w:r>
      <w:proofErr w:type="spellStart"/>
      <w:r w:rsidR="000D5DD6">
        <w:rPr>
          <w:i/>
        </w:rPr>
        <w:t>procedendo</w:t>
      </w:r>
      <w:proofErr w:type="spellEnd"/>
      <w:r w:rsidR="000D5DD6">
        <w:t xml:space="preserve">), a także spójności i adekwatności uzasadnienia przedstawionego przez sąd apelacyjny. Rząd </w:t>
      </w:r>
      <w:r w:rsidR="009158D7">
        <w:t xml:space="preserve">powołał </w:t>
      </w:r>
      <w:r w:rsidR="000D5DD6">
        <w:t xml:space="preserve">się w szczególności </w:t>
      </w:r>
      <w:r w:rsidR="009158D7">
        <w:t>na sprawę</w:t>
      </w:r>
      <w:r w:rsidR="000D5DD6">
        <w:t xml:space="preserve">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0D5DD6">
        <w:t xml:space="preserve"> (wyrok cytowany powyżej), w której Trybunał doszedł do wniosku, że nie n</w:t>
      </w:r>
      <w:r w:rsidR="00AE512A">
        <w:t>astąpiło naruszenie artykułu 6 ust.</w:t>
      </w:r>
      <w:r w:rsidR="000D5DD6">
        <w:t xml:space="preserve"> 1 Konwencji, zauważając, że rozpatrzenie sprawy dotyczącej kwestionowanej kary administracyjnej przez sąd administracyjny i </w:t>
      </w:r>
      <w:proofErr w:type="spellStart"/>
      <w:r w:rsidR="000D5DD6">
        <w:rPr>
          <w:i/>
        </w:rPr>
        <w:t>Consiglio</w:t>
      </w:r>
      <w:proofErr w:type="spellEnd"/>
      <w:r w:rsidR="000D5DD6">
        <w:rPr>
          <w:i/>
        </w:rPr>
        <w:t xml:space="preserve"> di </w:t>
      </w:r>
      <w:proofErr w:type="spellStart"/>
      <w:r w:rsidR="000D5DD6">
        <w:rPr>
          <w:i/>
        </w:rPr>
        <w:t>Stato</w:t>
      </w:r>
      <w:proofErr w:type="spellEnd"/>
      <w:r w:rsidR="000D5DD6">
        <w:t xml:space="preserve"> zostało </w:t>
      </w:r>
      <w:r w:rsidR="009158D7">
        <w:t xml:space="preserve">w istocie </w:t>
      </w:r>
      <w:r w:rsidR="000D5DD6">
        <w:t xml:space="preserve">przeprowadzone przez sądy posiadające pełną </w:t>
      </w:r>
      <w:r w:rsidR="00AE512A">
        <w:t>jurysdykcję</w:t>
      </w:r>
      <w:r w:rsidR="000D5DD6">
        <w:t xml:space="preserve"> do zbadania wszystkich aspektów sprawy. Zdaniem Rządu, tym bardziej uzasadnione </w:t>
      </w:r>
      <w:r w:rsidR="009158D7">
        <w:t>byłoby przyjęcie</w:t>
      </w:r>
      <w:r w:rsidR="000D5DD6">
        <w:t xml:space="preserve"> tych samych wniosków w niniejszej sprawie, </w:t>
      </w:r>
      <w:r w:rsidR="009158D7">
        <w:t xml:space="preserve">w której </w:t>
      </w:r>
      <w:r w:rsidR="000D5DD6">
        <w:t xml:space="preserve">uprawnienia sądu apelacyjnego </w:t>
      </w:r>
      <w:r w:rsidR="009158D7">
        <w:t xml:space="preserve">były </w:t>
      </w:r>
      <w:r w:rsidR="000D5DD6">
        <w:t xml:space="preserve">dużo większe niż uprawnienia sądu administracyjnego i </w:t>
      </w:r>
      <w:proofErr w:type="spellStart"/>
      <w:r w:rsidR="000D5DD6">
        <w:rPr>
          <w:i/>
        </w:rPr>
        <w:t>Consiglio</w:t>
      </w:r>
      <w:proofErr w:type="spellEnd"/>
      <w:r w:rsidR="000D5DD6">
        <w:rPr>
          <w:i/>
        </w:rPr>
        <w:t xml:space="preserve"> di </w:t>
      </w:r>
      <w:proofErr w:type="spellStart"/>
      <w:r w:rsidR="000D5DD6">
        <w:rPr>
          <w:i/>
        </w:rPr>
        <w:t>Stato</w:t>
      </w:r>
      <w:proofErr w:type="spellEnd"/>
      <w:r w:rsidR="000D5DD6">
        <w:t>.</w:t>
      </w:r>
    </w:p>
    <w:p w14:paraId="267F5483" w14:textId="77777777" w:rsidR="00AB4482" w:rsidRDefault="000D5DD6" w:rsidP="000D5DD6">
      <w:pPr>
        <w:pStyle w:val="ECHRHeading4"/>
      </w:pPr>
      <w:r>
        <w:t>(b)  Ocena Trybunału</w:t>
      </w:r>
    </w:p>
    <w:p w14:paraId="7DD9FB74" w14:textId="2D7A21EA" w:rsidR="00AB4482" w:rsidRDefault="00346F6F" w:rsidP="000D5DD6">
      <w:pPr>
        <w:pStyle w:val="ECHRPara"/>
      </w:pPr>
      <w:fldSimple w:instr=" SEQ level0 \*arabic ">
        <w:r w:rsidR="00AB4482">
          <w:rPr>
            <w:noProof/>
          </w:rPr>
          <w:t>148</w:t>
        </w:r>
      </w:fldSimple>
      <w:r w:rsidR="00AE512A">
        <w:t>. </w:t>
      </w:r>
      <w:r w:rsidR="000D5DD6">
        <w:t xml:space="preserve">Trybunał zauważa na </w:t>
      </w:r>
      <w:r w:rsidR="009158D7">
        <w:t>wstępie</w:t>
      </w:r>
      <w:r w:rsidR="000D5DD6">
        <w:t xml:space="preserve">, że brak jest jakichkolwiek elementów w niniejszej sprawie, które rzucałyby wątpliwość na niezawisłość i bezstronność Sądu Apelacyjnego w Turynie. W rzeczy samej, skarżący </w:t>
      </w:r>
      <w:r w:rsidR="009158D7">
        <w:t>te</w:t>
      </w:r>
      <w:r w:rsidR="000D5DD6">
        <w:t>go nie kwestionują.</w:t>
      </w:r>
    </w:p>
    <w:p w14:paraId="2E90977D" w14:textId="0D87C525" w:rsidR="000D5DD6" w:rsidRPr="00110749" w:rsidRDefault="00346F6F" w:rsidP="000D5DD6">
      <w:pPr>
        <w:pStyle w:val="ECHRPara"/>
        <w:rPr>
          <w:szCs w:val="24"/>
        </w:rPr>
      </w:pPr>
      <w:fldSimple w:instr=" SEQ level0 \*arabic ">
        <w:r w:rsidR="00AB4482">
          <w:rPr>
            <w:noProof/>
          </w:rPr>
          <w:t>149</w:t>
        </w:r>
      </w:fldSimple>
      <w:r w:rsidR="00F11C68">
        <w:t>. </w:t>
      </w:r>
      <w:r w:rsidR="000D5DD6">
        <w:t xml:space="preserve">Dalej Trybunał zauważa, że sąd apelacyjny posiadał właściwość, by wydać orzeczenie zarówno </w:t>
      </w:r>
      <w:r w:rsidR="00606C42">
        <w:t xml:space="preserve">w odniesieniu do kwestii prawnych, jak i </w:t>
      </w:r>
      <w:r w:rsidR="000D5DD6">
        <w:t xml:space="preserve">okoliczności sprawy, czy przestępstwo określone w artykule 187 </w:t>
      </w:r>
      <w:r w:rsidR="000D5DD6">
        <w:rPr>
          <w:i/>
        </w:rPr>
        <w:t xml:space="preserve">ter </w:t>
      </w:r>
      <w:r w:rsidR="000D5DD6">
        <w:t>Dekretu Legislacyjnego nr 58 z 1998 roku zostało popełnione</w:t>
      </w:r>
      <w:r w:rsidR="00606C42">
        <w:t xml:space="preserve">, miał też możliwość </w:t>
      </w:r>
      <w:r w:rsidR="000D5DD6">
        <w:t>u</w:t>
      </w:r>
      <w:r w:rsidR="00C34BDE">
        <w:t xml:space="preserve">chylenia decyzji wydanej przez </w:t>
      </w:r>
      <w:r w:rsidR="000D5DD6">
        <w:t xml:space="preserve">CONSOB. Sąd apelacyjny został również wezwany do oceny </w:t>
      </w:r>
      <w:r w:rsidR="00C34BDE">
        <w:t>proporcjonal</w:t>
      </w:r>
      <w:r w:rsidR="000D5DD6">
        <w:t xml:space="preserve">ności nałożonych kar </w:t>
      </w:r>
      <w:r w:rsidR="00606C42">
        <w:t xml:space="preserve">w stosunku do </w:t>
      </w:r>
      <w:r w:rsidR="000D5DD6">
        <w:t xml:space="preserve">powagi zarzucanego czynu. W istocie, zmniejszył on </w:t>
      </w:r>
      <w:r w:rsidR="00C34BDE">
        <w:t>wysokość</w:t>
      </w:r>
      <w:r w:rsidR="000D5DD6">
        <w:t xml:space="preserve"> </w:t>
      </w:r>
      <w:r w:rsidR="00C34BDE">
        <w:t>grzywien</w:t>
      </w:r>
      <w:r w:rsidR="000D5DD6">
        <w:t xml:space="preserve"> i długość zakazu wykonywania zawodu niektórym ze skarżących (zobacz punkty </w:t>
      </w:r>
      <w:r w:rsidR="000D5DD6" w:rsidRPr="00110749">
        <w:rPr>
          <w:szCs w:val="24"/>
        </w:rPr>
        <w:fldChar w:fldCharType="begin"/>
      </w:r>
      <w:r w:rsidR="000D5DD6" w:rsidRPr="00110749">
        <w:rPr>
          <w:szCs w:val="24"/>
        </w:rPr>
        <w:instrText xml:space="preserve"> REF amendesappel \h </w:instrText>
      </w:r>
      <w:r w:rsidR="000D5DD6" w:rsidRPr="00110749">
        <w:rPr>
          <w:szCs w:val="24"/>
        </w:rPr>
      </w:r>
      <w:r w:rsidR="000D5DD6" w:rsidRPr="00110749">
        <w:rPr>
          <w:szCs w:val="24"/>
        </w:rPr>
        <w:fldChar w:fldCharType="separate"/>
      </w:r>
      <w:r w:rsidR="00AB4482">
        <w:rPr>
          <w:noProof/>
        </w:rPr>
        <w:t>30</w:t>
      </w:r>
      <w:r w:rsidR="000D5DD6" w:rsidRPr="00110749">
        <w:rPr>
          <w:szCs w:val="24"/>
        </w:rPr>
        <w:fldChar w:fldCharType="end"/>
      </w:r>
      <w:r w:rsidR="000D5DD6">
        <w:t xml:space="preserve"> i </w:t>
      </w:r>
      <w:r w:rsidR="000D5DD6" w:rsidRPr="00110749">
        <w:rPr>
          <w:szCs w:val="24"/>
        </w:rPr>
        <w:fldChar w:fldCharType="begin"/>
      </w:r>
      <w:r w:rsidR="000D5DD6" w:rsidRPr="00110749">
        <w:rPr>
          <w:szCs w:val="24"/>
        </w:rPr>
        <w:instrText xml:space="preserve"> REF interdictionsappel \h </w:instrText>
      </w:r>
      <w:r w:rsidR="000D5DD6" w:rsidRPr="00110749">
        <w:rPr>
          <w:szCs w:val="24"/>
        </w:rPr>
      </w:r>
      <w:r w:rsidR="000D5DD6" w:rsidRPr="00110749">
        <w:rPr>
          <w:szCs w:val="24"/>
        </w:rPr>
        <w:fldChar w:fldCharType="separate"/>
      </w:r>
      <w:r w:rsidR="00AB4482">
        <w:rPr>
          <w:noProof/>
        </w:rPr>
        <w:t>31</w:t>
      </w:r>
      <w:r w:rsidR="000D5DD6" w:rsidRPr="00110749">
        <w:rPr>
          <w:szCs w:val="24"/>
        </w:rPr>
        <w:fldChar w:fldCharType="end"/>
      </w:r>
      <w:r w:rsidR="000D5DD6">
        <w:t xml:space="preserve"> powyżej), a także zbadał ich różne zarzuty faktyczne i prawne (zobacz punkty  32</w:t>
      </w:r>
      <w:r w:rsidR="000D5DD6">
        <w:noBreakHyphen/>
        <w:t>36 powyżej). A zatem, jego jurysdykcja nie ograniczyła się jedynie do analizy zgodności z prawem.</w:t>
      </w:r>
    </w:p>
    <w:p w14:paraId="7C10641C" w14:textId="1E033A8B" w:rsidR="000D5DD6" w:rsidRPr="00110749" w:rsidRDefault="000D5DD6" w:rsidP="000D5DD6">
      <w:pPr>
        <w:pStyle w:val="ECHRPara"/>
        <w:rPr>
          <w:b/>
          <w:bCs/>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150</w:t>
      </w:r>
      <w:r w:rsidRPr="00110749">
        <w:rPr>
          <w:szCs w:val="24"/>
        </w:rPr>
        <w:fldChar w:fldCharType="end"/>
      </w:r>
      <w:r w:rsidR="00C34BDE">
        <w:t>.</w:t>
      </w:r>
      <w:r>
        <w:t xml:space="preserve"> Prawdą jest, że skarżący </w:t>
      </w:r>
      <w:r w:rsidR="00606C42">
        <w:t>zarzucili</w:t>
      </w:r>
      <w:r>
        <w:t xml:space="preserve">, iż sąd apelacyjny nie przesłuchał świadków (zobacz punkt </w:t>
      </w:r>
      <w:r w:rsidRPr="00110749">
        <w:rPr>
          <w:szCs w:val="24"/>
        </w:rPr>
        <w:fldChar w:fldCharType="begin"/>
      </w:r>
      <w:r w:rsidRPr="00110749">
        <w:rPr>
          <w:szCs w:val="24"/>
        </w:rPr>
        <w:instrText xml:space="preserve"> REF audiencepublique \h </w:instrText>
      </w:r>
      <w:r w:rsidRPr="00110749">
        <w:rPr>
          <w:szCs w:val="24"/>
        </w:rPr>
      </w:r>
      <w:r w:rsidRPr="00110749">
        <w:rPr>
          <w:szCs w:val="24"/>
        </w:rPr>
        <w:fldChar w:fldCharType="separate"/>
      </w:r>
      <w:r w:rsidR="00AB4482">
        <w:rPr>
          <w:noProof/>
        </w:rPr>
        <w:t>142</w:t>
      </w:r>
      <w:r w:rsidRPr="00110749">
        <w:rPr>
          <w:szCs w:val="24"/>
        </w:rPr>
        <w:fldChar w:fldCharType="end"/>
      </w:r>
      <w:r>
        <w:t xml:space="preserve"> powyżej). Nie wskazali jednak żadnej </w:t>
      </w:r>
      <w:r w:rsidR="00CB0E85">
        <w:t>zasady</w:t>
      </w:r>
      <w:r>
        <w:t xml:space="preserve"> procesowej, która miałaby uniemożliwić takie przesłuchanie. Ponadto, wniosek o przesłuchanie świadków, złożony przez Pana Grande Stevensa w jego </w:t>
      </w:r>
      <w:r w:rsidR="00606C42">
        <w:t>piśmie procesowym</w:t>
      </w:r>
      <w:r>
        <w:t xml:space="preserve"> z 25 września 2007 roku, nie </w:t>
      </w:r>
      <w:r w:rsidR="00606C42">
        <w:t xml:space="preserve">wskazywał </w:t>
      </w:r>
      <w:r>
        <w:t>ani nazwisk osób, jakie chciał wezwać, ani zdarzeń</w:t>
      </w:r>
      <w:r w:rsidR="00CB0E85">
        <w:t>, na okoliczność których miałyby one</w:t>
      </w:r>
      <w:r>
        <w:t xml:space="preserve"> przedstawić dowody. Co więcej, wniosek ten został złożony na czysto hipotetycznych podstawach, do rozpatrzenia wyłącznie wówczas, </w:t>
      </w:r>
      <w:r>
        <w:lastRenderedPageBreak/>
        <w:t>gdy</w:t>
      </w:r>
      <w:r w:rsidR="00606C42">
        <w:t>by</w:t>
      </w:r>
      <w:r>
        <w:t xml:space="preserve"> sąd apelacyjny uzna</w:t>
      </w:r>
      <w:r w:rsidR="00606C42">
        <w:t>ł</w:t>
      </w:r>
      <w:r>
        <w:t xml:space="preserve">, że dokumenty włączone już do akt są niewystarczające lub nieprzydatne do użytku. To samo ma zastosowanie do wniosku złożonego przez Pana </w:t>
      </w:r>
      <w:proofErr w:type="spellStart"/>
      <w:r>
        <w:t>Marrone</w:t>
      </w:r>
      <w:proofErr w:type="spellEnd"/>
      <w:r>
        <w:t xml:space="preserve">, który podniósł możliwość przesłuchania świadków, których zeznania miałyby być cytowane tylko, gdy „będzie to konieczne” (zobacz punkt </w:t>
      </w:r>
      <w:r w:rsidRPr="00110749">
        <w:fldChar w:fldCharType="begin"/>
      </w:r>
      <w:r w:rsidRPr="00110749">
        <w:instrText xml:space="preserve"> REF GSadministrateur \h  \* MERGEFORMAT </w:instrText>
      </w:r>
      <w:r w:rsidRPr="00110749">
        <w:fldChar w:fldCharType="separate"/>
      </w:r>
      <w:r w:rsidR="00AB4482">
        <w:t>29</w:t>
      </w:r>
      <w:r w:rsidRPr="00110749">
        <w:fldChar w:fldCharType="end"/>
      </w:r>
      <w:r>
        <w:t xml:space="preserve"> powyżej). W każdym razie, skarżący nie wymienili przed Trybunałem świadków, których przesłuchania rzekomo odmówił sąd apelacyjny, oraz powodów, dla których ich zeznania miałyby być decydujące dla wyniku sprawy. A zatem, </w:t>
      </w:r>
      <w:r w:rsidR="00CB0E85">
        <w:t>nie uzasadnili oni swojej skargi</w:t>
      </w:r>
      <w:r>
        <w:t xml:space="preserve"> z</w:t>
      </w:r>
      <w:r w:rsidR="00CB0E85">
        <w:t>godnie z artykułem 6 ust.</w:t>
      </w:r>
      <w:r>
        <w:t> </w:t>
      </w:r>
      <w:r w:rsidR="00606C42">
        <w:t xml:space="preserve">3 lit. </w:t>
      </w:r>
      <w:r>
        <w:t>d) Konwencji</w:t>
      </w:r>
      <w:r>
        <w:rPr>
          <w:b/>
        </w:rPr>
        <w:t>.</w:t>
      </w:r>
      <w:bookmarkStart w:id="43" w:name="capppleinejur"/>
    </w:p>
    <w:p w14:paraId="1BDD6DE0" w14:textId="196809FA" w:rsidR="000D5DD6" w:rsidRPr="00110749" w:rsidRDefault="00346F6F" w:rsidP="000D5DD6">
      <w:pPr>
        <w:pStyle w:val="ECHRPara"/>
        <w:rPr>
          <w:color w:val="000000"/>
          <w:szCs w:val="24"/>
        </w:rPr>
      </w:pPr>
      <w:fldSimple w:instr=" SEQ level0 \*arabic ">
        <w:r w:rsidR="00AB4482">
          <w:rPr>
            <w:noProof/>
          </w:rPr>
          <w:t>151</w:t>
        </w:r>
      </w:fldSimple>
      <w:bookmarkEnd w:id="43"/>
      <w:r w:rsidR="00ED30C8">
        <w:t>. </w:t>
      </w:r>
      <w:r w:rsidR="000D5DD6">
        <w:t>W świetle powyższych rozważań, Trybunał uzna</w:t>
      </w:r>
      <w:r w:rsidR="00606C42">
        <w:t>je</w:t>
      </w:r>
      <w:r w:rsidR="000D5DD6">
        <w:t xml:space="preserve">, że Sąd Apelacyjny w Turynie stanowił „organ posiadający pełną </w:t>
      </w:r>
      <w:r w:rsidR="00C3158A">
        <w:t>jurysdykcję</w:t>
      </w:r>
      <w:r w:rsidR="000D5DD6">
        <w:t xml:space="preserve">” w rozumieniu jego orzecznictwa (zobacz, </w:t>
      </w:r>
      <w:r w:rsidR="000D5DD6">
        <w:rPr>
          <w:i/>
        </w:rPr>
        <w:t>mutatis mutandis</w:t>
      </w:r>
      <w:r w:rsidR="000D5DD6">
        <w:t xml:space="preserve">, </w:t>
      </w:r>
      <w:proofErr w:type="spellStart"/>
      <w:r w:rsidR="000D5DD6">
        <w:rPr>
          <w:i/>
        </w:rPr>
        <w:t>Menarini</w:t>
      </w:r>
      <w:proofErr w:type="spellEnd"/>
      <w:r w:rsidR="000D5DD6">
        <w:rPr>
          <w:i/>
        </w:rPr>
        <w:t xml:space="preserve"> Diagnostics </w:t>
      </w:r>
      <w:proofErr w:type="spellStart"/>
      <w:r w:rsidR="000D5DD6">
        <w:rPr>
          <w:i/>
        </w:rPr>
        <w:t>S.r.l</w:t>
      </w:r>
      <w:proofErr w:type="spellEnd"/>
      <w:r w:rsidR="000D5DD6">
        <w:rPr>
          <w:i/>
        </w:rPr>
        <w:t>.</w:t>
      </w:r>
      <w:r w:rsidR="000D5DD6">
        <w:t xml:space="preserve">, </w:t>
      </w:r>
      <w:r w:rsidR="00A63E4A" w:rsidRPr="00A63E4A">
        <w:rPr>
          <w:i/>
        </w:rPr>
        <w:t>op. cit.</w:t>
      </w:r>
      <w:r w:rsidR="000D5DD6">
        <w:t xml:space="preserve">, </w:t>
      </w:r>
      <w:r w:rsidR="007E48CB">
        <w:t>§§</w:t>
      </w:r>
      <w:r w:rsidR="000D5DD6">
        <w:t xml:space="preserve"> 60-67). Sami skarżący nie wydają się tego kwestionować (zobacz punkt </w:t>
      </w:r>
      <w:r w:rsidR="000D5DD6" w:rsidRPr="00110749">
        <w:fldChar w:fldCharType="begin"/>
      </w:r>
      <w:r w:rsidR="000D5DD6" w:rsidRPr="00110749">
        <w:instrText xml:space="preserve"> REF pleinejuridiction \h </w:instrText>
      </w:r>
      <w:r w:rsidR="000D5DD6" w:rsidRPr="00110749">
        <w:fldChar w:fldCharType="separate"/>
      </w:r>
      <w:r w:rsidR="00AB4482">
        <w:rPr>
          <w:noProof/>
        </w:rPr>
        <w:t>141</w:t>
      </w:r>
      <w:r w:rsidR="000D5DD6" w:rsidRPr="00110749">
        <w:fldChar w:fldCharType="end"/>
      </w:r>
      <w:r w:rsidR="000D5DD6">
        <w:t xml:space="preserve"> powyżej).</w:t>
      </w:r>
    </w:p>
    <w:p w14:paraId="18CCECD7" w14:textId="1FD1F453" w:rsidR="000D5DD6" w:rsidRPr="00110749" w:rsidRDefault="000D5DD6" w:rsidP="000D5DD6">
      <w:pPr>
        <w:pStyle w:val="ECHRPara"/>
        <w:rPr>
          <w:color w:val="000000"/>
          <w:szCs w:val="24"/>
        </w:rPr>
      </w:pPr>
      <w:r w:rsidRPr="00110749">
        <w:rPr>
          <w:color w:val="000000"/>
          <w:szCs w:val="24"/>
        </w:rPr>
        <w:fldChar w:fldCharType="begin"/>
      </w:r>
      <w:r w:rsidRPr="00110749">
        <w:rPr>
          <w:color w:val="000000"/>
          <w:szCs w:val="24"/>
        </w:rPr>
        <w:instrText xml:space="preserve"> SEQ level0 \*arabic </w:instrText>
      </w:r>
      <w:r w:rsidRPr="00110749">
        <w:rPr>
          <w:color w:val="000000"/>
          <w:szCs w:val="24"/>
        </w:rPr>
        <w:fldChar w:fldCharType="separate"/>
      </w:r>
      <w:r w:rsidR="00AB4482">
        <w:rPr>
          <w:noProof/>
          <w:color w:val="000000"/>
          <w:szCs w:val="24"/>
        </w:rPr>
        <w:t>152</w:t>
      </w:r>
      <w:r w:rsidRPr="00110749">
        <w:rPr>
          <w:color w:val="000000"/>
          <w:szCs w:val="24"/>
        </w:rPr>
        <w:fldChar w:fldCharType="end"/>
      </w:r>
      <w:r w:rsidR="00C3158A">
        <w:rPr>
          <w:color w:val="000000"/>
        </w:rPr>
        <w:t>. </w:t>
      </w:r>
      <w:r w:rsidR="00606C42">
        <w:rPr>
          <w:color w:val="000000"/>
        </w:rPr>
        <w:t>Pozostaje</w:t>
      </w:r>
      <w:r>
        <w:rPr>
          <w:color w:val="000000"/>
        </w:rPr>
        <w:t xml:space="preserve"> ustalić, czy </w:t>
      </w:r>
      <w:r w:rsidR="00606C42">
        <w:rPr>
          <w:color w:val="000000"/>
        </w:rPr>
        <w:t>rozprawy</w:t>
      </w:r>
      <w:r>
        <w:rPr>
          <w:color w:val="000000"/>
        </w:rPr>
        <w:t xml:space="preserve"> poświęcone przedmiotowi spraw</w:t>
      </w:r>
      <w:r w:rsidR="00606C42">
        <w:rPr>
          <w:color w:val="000000"/>
        </w:rPr>
        <w:t>y</w:t>
      </w:r>
      <w:r>
        <w:rPr>
          <w:color w:val="000000"/>
        </w:rPr>
        <w:t xml:space="preserve">, </w:t>
      </w:r>
      <w:r w:rsidR="00606C42" w:rsidRPr="0030504D">
        <w:rPr>
          <w:color w:val="000000"/>
        </w:rPr>
        <w:t>prze</w:t>
      </w:r>
      <w:r w:rsidRPr="0030504D">
        <w:rPr>
          <w:color w:val="000000"/>
        </w:rPr>
        <w:t>prowadzone przed Sądem Apelacyjnym w Turynie</w:t>
      </w:r>
      <w:r w:rsidR="00606C42" w:rsidRPr="0030504D">
        <w:rPr>
          <w:color w:val="000000"/>
        </w:rPr>
        <w:t>,</w:t>
      </w:r>
      <w:r w:rsidRPr="0030504D">
        <w:rPr>
          <w:color w:val="000000"/>
        </w:rPr>
        <w:t xml:space="preserve"> miały charakter</w:t>
      </w:r>
      <w:r w:rsidR="00606C42" w:rsidRPr="0030504D">
        <w:rPr>
          <w:color w:val="000000"/>
        </w:rPr>
        <w:t xml:space="preserve"> jawny</w:t>
      </w:r>
      <w:r w:rsidR="00606C42">
        <w:rPr>
          <w:color w:val="000000"/>
        </w:rPr>
        <w:t xml:space="preserve"> – w sprawie tej strony przedłożyły rozbieżne </w:t>
      </w:r>
      <w:r>
        <w:rPr>
          <w:color w:val="000000"/>
        </w:rPr>
        <w:t xml:space="preserve">oświadczenia (zobacz punkty </w:t>
      </w:r>
      <w:r w:rsidRPr="00110749">
        <w:rPr>
          <w:color w:val="000000"/>
          <w:szCs w:val="24"/>
        </w:rPr>
        <w:fldChar w:fldCharType="begin"/>
      </w:r>
      <w:r w:rsidRPr="00110749">
        <w:rPr>
          <w:color w:val="000000"/>
          <w:szCs w:val="24"/>
        </w:rPr>
        <w:instrText xml:space="preserve"> REF audiencepublique \h </w:instrText>
      </w:r>
      <w:r w:rsidRPr="00110749">
        <w:rPr>
          <w:color w:val="000000"/>
          <w:szCs w:val="24"/>
        </w:rPr>
      </w:r>
      <w:r w:rsidRPr="00110749">
        <w:rPr>
          <w:color w:val="000000"/>
          <w:szCs w:val="24"/>
        </w:rPr>
        <w:fldChar w:fldCharType="separate"/>
      </w:r>
      <w:r w:rsidR="00AB4482">
        <w:rPr>
          <w:noProof/>
        </w:rPr>
        <w:t>142</w:t>
      </w:r>
      <w:r w:rsidRPr="00110749">
        <w:rPr>
          <w:color w:val="000000"/>
          <w:szCs w:val="24"/>
        </w:rPr>
        <w:fldChar w:fldCharType="end"/>
      </w:r>
      <w:r>
        <w:rPr>
          <w:color w:val="000000"/>
        </w:rPr>
        <w:t xml:space="preserve"> i </w:t>
      </w:r>
      <w:r w:rsidRPr="00110749">
        <w:rPr>
          <w:color w:val="000000"/>
          <w:szCs w:val="24"/>
        </w:rPr>
        <w:fldChar w:fldCharType="begin"/>
      </w:r>
      <w:r w:rsidRPr="00110749">
        <w:rPr>
          <w:color w:val="000000"/>
          <w:szCs w:val="24"/>
        </w:rPr>
        <w:instrText xml:space="preserve"> REF audiencepublique2 \h </w:instrText>
      </w:r>
      <w:r w:rsidRPr="00110749">
        <w:rPr>
          <w:color w:val="000000"/>
          <w:szCs w:val="24"/>
        </w:rPr>
      </w:r>
      <w:r w:rsidRPr="00110749">
        <w:rPr>
          <w:color w:val="000000"/>
          <w:szCs w:val="24"/>
        </w:rPr>
        <w:fldChar w:fldCharType="separate"/>
      </w:r>
      <w:r w:rsidR="00AB4482">
        <w:rPr>
          <w:noProof/>
        </w:rPr>
        <w:t>145</w:t>
      </w:r>
      <w:r w:rsidRPr="00110749">
        <w:rPr>
          <w:color w:val="000000"/>
          <w:szCs w:val="24"/>
        </w:rPr>
        <w:fldChar w:fldCharType="end"/>
      </w:r>
      <w:r>
        <w:rPr>
          <w:color w:val="000000"/>
        </w:rPr>
        <w:t>-</w:t>
      </w:r>
      <w:r w:rsidRPr="00110749">
        <w:rPr>
          <w:color w:val="000000"/>
          <w:szCs w:val="24"/>
        </w:rPr>
        <w:fldChar w:fldCharType="begin"/>
      </w:r>
      <w:r w:rsidRPr="00110749">
        <w:rPr>
          <w:color w:val="000000"/>
          <w:szCs w:val="24"/>
        </w:rPr>
        <w:instrText xml:space="preserve"> REF audiencepublique3 \h </w:instrText>
      </w:r>
      <w:r w:rsidRPr="00110749">
        <w:rPr>
          <w:color w:val="000000"/>
          <w:szCs w:val="24"/>
        </w:rPr>
      </w:r>
      <w:r w:rsidRPr="00110749">
        <w:rPr>
          <w:color w:val="000000"/>
          <w:szCs w:val="24"/>
        </w:rPr>
        <w:fldChar w:fldCharType="separate"/>
      </w:r>
      <w:r w:rsidR="00AB4482">
        <w:rPr>
          <w:noProof/>
        </w:rPr>
        <w:t>146</w:t>
      </w:r>
      <w:r w:rsidRPr="00110749">
        <w:rPr>
          <w:color w:val="000000"/>
          <w:szCs w:val="24"/>
        </w:rPr>
        <w:fldChar w:fldCharType="end"/>
      </w:r>
      <w:r>
        <w:rPr>
          <w:color w:val="000000"/>
        </w:rPr>
        <w:t xml:space="preserve"> powyżej). W </w:t>
      </w:r>
      <w:r w:rsidR="00606C42">
        <w:rPr>
          <w:color w:val="000000"/>
        </w:rPr>
        <w:t>tym względzie</w:t>
      </w:r>
      <w:r>
        <w:rPr>
          <w:color w:val="000000"/>
        </w:rPr>
        <w:t xml:space="preserve">, Trybunał może jedynie ponownie przywołać swoje wnioski dotyczące konieczności </w:t>
      </w:r>
      <w:r w:rsidR="00606C42">
        <w:rPr>
          <w:color w:val="000000"/>
        </w:rPr>
        <w:t xml:space="preserve">przeprowadzenia jawnej </w:t>
      </w:r>
      <w:r>
        <w:rPr>
          <w:color w:val="000000"/>
        </w:rPr>
        <w:t xml:space="preserve">rozprawy w niniejszej sprawie (zobacz punkt </w:t>
      </w:r>
      <w:r w:rsidRPr="00110749">
        <w:rPr>
          <w:color w:val="000000"/>
          <w:szCs w:val="24"/>
        </w:rPr>
        <w:fldChar w:fldCharType="begin"/>
      </w:r>
      <w:r w:rsidRPr="00110749">
        <w:rPr>
          <w:color w:val="000000"/>
          <w:szCs w:val="24"/>
        </w:rPr>
        <w:instrText xml:space="preserve"> REF necessitéaudience \h </w:instrText>
      </w:r>
      <w:r w:rsidRPr="00110749">
        <w:rPr>
          <w:color w:val="000000"/>
          <w:szCs w:val="24"/>
        </w:rPr>
      </w:r>
      <w:r w:rsidRPr="00110749">
        <w:rPr>
          <w:color w:val="000000"/>
          <w:szCs w:val="24"/>
        </w:rPr>
        <w:fldChar w:fldCharType="separate"/>
      </w:r>
      <w:r w:rsidR="00AB4482">
        <w:rPr>
          <w:noProof/>
        </w:rPr>
        <w:t>122</w:t>
      </w:r>
      <w:r w:rsidRPr="00110749">
        <w:rPr>
          <w:color w:val="000000"/>
          <w:szCs w:val="24"/>
        </w:rPr>
        <w:fldChar w:fldCharType="end"/>
      </w:r>
      <w:r>
        <w:rPr>
          <w:color w:val="000000"/>
        </w:rPr>
        <w:t xml:space="preserve"> powyżej).</w:t>
      </w:r>
    </w:p>
    <w:p w14:paraId="08A6AC01" w14:textId="45F4F104" w:rsidR="000D5DD6" w:rsidRPr="00110749" w:rsidRDefault="000D5DD6" w:rsidP="000D5DD6">
      <w:pPr>
        <w:pStyle w:val="ECHRPara"/>
      </w:pPr>
      <w:r w:rsidRPr="00110749">
        <w:rPr>
          <w:color w:val="000000"/>
          <w:szCs w:val="24"/>
        </w:rPr>
        <w:fldChar w:fldCharType="begin"/>
      </w:r>
      <w:r w:rsidRPr="00110749">
        <w:rPr>
          <w:color w:val="000000"/>
          <w:szCs w:val="24"/>
        </w:rPr>
        <w:instrText xml:space="preserve"> SEQ level0 \*arabic </w:instrText>
      </w:r>
      <w:r w:rsidRPr="00110749">
        <w:rPr>
          <w:color w:val="000000"/>
          <w:szCs w:val="24"/>
        </w:rPr>
        <w:fldChar w:fldCharType="separate"/>
      </w:r>
      <w:r w:rsidR="00AB4482">
        <w:rPr>
          <w:noProof/>
          <w:color w:val="000000"/>
          <w:szCs w:val="24"/>
        </w:rPr>
        <w:t>153</w:t>
      </w:r>
      <w:r w:rsidRPr="00110749">
        <w:rPr>
          <w:color w:val="000000"/>
          <w:szCs w:val="24"/>
        </w:rPr>
        <w:fldChar w:fldCharType="end"/>
      </w:r>
      <w:r w:rsidR="00C059EF">
        <w:rPr>
          <w:color w:val="000000"/>
        </w:rPr>
        <w:t>. </w:t>
      </w:r>
      <w:r>
        <w:rPr>
          <w:color w:val="000000"/>
        </w:rPr>
        <w:t>Trybunał zauważa, że strony złożyły sprzeczne dokumenty dotyczące trybu, w jaki</w:t>
      </w:r>
      <w:r w:rsidR="00BE0C9C">
        <w:rPr>
          <w:color w:val="000000"/>
        </w:rPr>
        <w:t>m przeprowadzane</w:t>
      </w:r>
      <w:r>
        <w:rPr>
          <w:color w:val="000000"/>
        </w:rPr>
        <w:t xml:space="preserve"> były przedmiotowe rozprawy; zgodnie z pisemnymi oświadczeniami Dyrektora Administracyjnego </w:t>
      </w:r>
      <w:r w:rsidR="00BE0C9C">
        <w:rPr>
          <w:color w:val="000000"/>
        </w:rPr>
        <w:t>Kancelarii</w:t>
      </w:r>
      <w:r>
        <w:rPr>
          <w:color w:val="000000"/>
        </w:rPr>
        <w:t xml:space="preserve"> Sądu Apelacyjnego w Turynie, złożonymi przez skarżących</w:t>
      </w:r>
      <w:r>
        <w:t xml:space="preserve">, rozprawy te odbywały się w trybie zamkniętym, chociaż – zgodnie z pisemnymi oświadczeniami Prezesa Sądu Apelacyjnego, złożonymi przez Rząd – wyłącznie </w:t>
      </w:r>
      <w:r w:rsidR="00BE0C9C">
        <w:t xml:space="preserve">posiedzenia </w:t>
      </w:r>
      <w:r>
        <w:t xml:space="preserve">dotyczące środków </w:t>
      </w:r>
      <w:r w:rsidR="00BE0C9C">
        <w:t>pilnych</w:t>
      </w:r>
      <w:r>
        <w:t xml:space="preserve"> odbywały się w trybie zamkniętym, natomiast wszystkie pozostałe </w:t>
      </w:r>
      <w:r w:rsidR="00BE0C9C">
        <w:t>posiedzenia</w:t>
      </w:r>
      <w:r>
        <w:t xml:space="preserve"> były</w:t>
      </w:r>
      <w:r w:rsidR="00BE0C9C">
        <w:t xml:space="preserve"> jawne</w:t>
      </w:r>
      <w:r>
        <w:t xml:space="preserve">. Trybunał nie ma możliwości stwierdzenia, która z tych wersji jest prawdziwa. Bez względu na to, w obliczu dwóch wersji, z których obydwie są prawdopodobne i które pochodzą z kompetentnych, lecz przeciwnych sobie źródeł, Trybunał uważa, że </w:t>
      </w:r>
      <w:r w:rsidR="00BE0C9C">
        <w:t xml:space="preserve">nie </w:t>
      </w:r>
      <w:r>
        <w:t xml:space="preserve">powinien </w:t>
      </w:r>
      <w:r w:rsidR="00BE0C9C">
        <w:t xml:space="preserve">odchodzić od </w:t>
      </w:r>
      <w:r>
        <w:t xml:space="preserve">treści dokumentów urzędowych dotyczących postępowania. Zgodnie z tym, co słusznie podkreślili skarżący (zobacz punkt </w:t>
      </w:r>
      <w:r w:rsidRPr="00110749">
        <w:fldChar w:fldCharType="begin"/>
      </w:r>
      <w:r w:rsidRPr="00110749">
        <w:instrText xml:space="preserve"> REF audiencepublique \h </w:instrText>
      </w:r>
      <w:r w:rsidRPr="00110749">
        <w:fldChar w:fldCharType="separate"/>
      </w:r>
      <w:r w:rsidR="00AB4482">
        <w:rPr>
          <w:noProof/>
        </w:rPr>
        <w:t>142</w:t>
      </w:r>
      <w:r w:rsidRPr="00110749">
        <w:fldChar w:fldCharType="end"/>
      </w:r>
      <w:r>
        <w:t xml:space="preserve"> powyżej), wyroki wydane przez sąd apelacyjny wskazują, że obradował on na posiedzeniu zamkniętym lub że strony zostały wezwane na obrady odbywające się w trybie zamkniętym (zobacz punkt </w:t>
      </w:r>
      <w:r w:rsidRPr="00110749">
        <w:fldChar w:fldCharType="begin"/>
      </w:r>
      <w:r w:rsidRPr="00110749">
        <w:instrText xml:space="preserve"> REF amendesappel \h </w:instrText>
      </w:r>
      <w:r w:rsidRPr="00110749">
        <w:fldChar w:fldCharType="separate"/>
      </w:r>
      <w:r w:rsidR="00AB4482">
        <w:rPr>
          <w:noProof/>
        </w:rPr>
        <w:t>30</w:t>
      </w:r>
      <w:r w:rsidRPr="00110749">
        <w:fldChar w:fldCharType="end"/>
      </w:r>
      <w:r>
        <w:t xml:space="preserve"> </w:t>
      </w:r>
      <w:r>
        <w:rPr>
          <w:i/>
        </w:rPr>
        <w:t xml:space="preserve">in fine </w:t>
      </w:r>
      <w:r>
        <w:t>powyżej).</w:t>
      </w:r>
    </w:p>
    <w:p w14:paraId="7D21692B" w14:textId="60CF034A" w:rsidR="00AB4482" w:rsidRDefault="00346F6F" w:rsidP="000D5DD6">
      <w:pPr>
        <w:pStyle w:val="ECHRPara"/>
      </w:pPr>
      <w:fldSimple w:instr=" SEQ level0 \*arabic ">
        <w:r w:rsidR="00AB4482">
          <w:rPr>
            <w:noProof/>
          </w:rPr>
          <w:t>154</w:t>
        </w:r>
      </w:fldSimple>
      <w:r w:rsidR="00C059EF">
        <w:t>. </w:t>
      </w:r>
      <w:r w:rsidR="000D5DD6">
        <w:t xml:space="preserve">Na podstawie tych odniesień, Trybunał wyciąga zatem wniosek, że przed Sądem Apelacyjnym w Turynie nie odbyła się rozprawa w trybie </w:t>
      </w:r>
      <w:r w:rsidR="00BE0C9C">
        <w:t>jawnym</w:t>
      </w:r>
      <w:r w:rsidR="000D5DD6">
        <w:t>.</w:t>
      </w:r>
    </w:p>
    <w:p w14:paraId="05CC896A" w14:textId="342D6654" w:rsidR="000D5DD6" w:rsidRPr="00110749" w:rsidRDefault="00346F6F" w:rsidP="000D5DD6">
      <w:pPr>
        <w:pStyle w:val="ECHRPara"/>
      </w:pPr>
      <w:fldSimple w:instr=" SEQ level0 \*arabic ">
        <w:r w:rsidR="00AB4482">
          <w:rPr>
            <w:noProof/>
          </w:rPr>
          <w:t>155</w:t>
        </w:r>
      </w:fldSimple>
      <w:r w:rsidR="001A25B5">
        <w:t>. </w:t>
      </w:r>
      <w:r w:rsidR="000D5DD6">
        <w:t xml:space="preserve">Prawdą jest, że jawna rozprawa odbyła się przed Sądem Kasacyjnym. Jednakże sąd ten nie miał </w:t>
      </w:r>
      <w:r w:rsidR="00F03773">
        <w:t>kompetencji</w:t>
      </w:r>
      <w:r w:rsidR="000D5DD6">
        <w:t xml:space="preserve"> do rozpatrzenia przedmiotu sprawy, ustalenia okoliczności</w:t>
      </w:r>
      <w:r w:rsidR="00BE0C9C">
        <w:t xml:space="preserve"> faktycznych</w:t>
      </w:r>
      <w:r w:rsidR="000D5DD6">
        <w:t xml:space="preserve"> i oceny dowodów; w istocie, Rząd tego </w:t>
      </w:r>
      <w:r w:rsidR="000D5DD6">
        <w:lastRenderedPageBreak/>
        <w:t xml:space="preserve">nie kwestionuje. </w:t>
      </w:r>
      <w:r w:rsidR="00BE0C9C">
        <w:t>S</w:t>
      </w:r>
      <w:r w:rsidR="00D97072">
        <w:t>ą</w:t>
      </w:r>
      <w:r w:rsidR="00BE0C9C">
        <w:t>d ten n</w:t>
      </w:r>
      <w:r w:rsidR="000D5DD6">
        <w:t xml:space="preserve">ie mógłby zatem być uznany za sąd posiadający pełną </w:t>
      </w:r>
      <w:r w:rsidR="0028152B">
        <w:t>jurysdykcję</w:t>
      </w:r>
      <w:r w:rsidR="000D5DD6">
        <w:t xml:space="preserve"> w rozumieniu orzecznictwa Trybunału.</w:t>
      </w:r>
    </w:p>
    <w:p w14:paraId="12C0657A" w14:textId="77777777" w:rsidR="000D5DD6" w:rsidRPr="00110749" w:rsidRDefault="000D5DD6" w:rsidP="000D5DD6">
      <w:pPr>
        <w:pStyle w:val="ECHRHeading3"/>
      </w:pPr>
      <w:r w:rsidRPr="00243D06">
        <w:t>4.</w:t>
      </w:r>
      <w:r w:rsidR="00F03773" w:rsidRPr="00243D06">
        <w:t> </w:t>
      </w:r>
      <w:r w:rsidRPr="00243D06">
        <w:t>Pozostałe zarzuty skarżących</w:t>
      </w:r>
    </w:p>
    <w:p w14:paraId="7A01B51C" w14:textId="31276EC0" w:rsidR="000D5DD6" w:rsidRPr="00110749" w:rsidRDefault="00346F6F" w:rsidP="000D5DD6">
      <w:pPr>
        <w:pStyle w:val="ECHRPara"/>
      </w:pPr>
      <w:fldSimple w:instr=" SEQ level0 \*arabic ">
        <w:r w:rsidR="00AB4482">
          <w:rPr>
            <w:noProof/>
          </w:rPr>
          <w:t>156</w:t>
        </w:r>
      </w:fldSimple>
      <w:r w:rsidR="00F03773">
        <w:t>. </w:t>
      </w:r>
      <w:r w:rsidR="000D5DD6">
        <w:t xml:space="preserve">Skarżący zarzucają również, że </w:t>
      </w:r>
      <w:r w:rsidR="003457A7">
        <w:t>komunikaty</w:t>
      </w:r>
      <w:r w:rsidR="000D5DD6">
        <w:t xml:space="preserve"> prasowe z 24 sierpnia 2005 roku zawierały prawdziwe informacje oraz, że ich skazanie, pomimo dowodów obrony zawartych w aktach, wynika z „domniemania winy” w stosunku do nich. Ich zdaniem, nie byli zobowiązani do opisania w rzeczonych </w:t>
      </w:r>
      <w:r w:rsidR="003457A7">
        <w:t xml:space="preserve">komunikatach </w:t>
      </w:r>
      <w:r w:rsidR="000D5DD6">
        <w:t xml:space="preserve">prasowych samych planów lub hipotetycznych umów, jakie nie zostały jeszcze sfinalizowane. Ponadto, </w:t>
      </w:r>
      <w:r w:rsidR="000D5DD6">
        <w:rPr>
          <w:color w:val="000000"/>
        </w:rPr>
        <w:t xml:space="preserve">wskazówki opublikowane przez </w:t>
      </w:r>
      <w:r w:rsidR="000D5DD6">
        <w:t xml:space="preserve">CONSOB stwierdzały, że informacje do ewentualnego publicznego rozpowszechnienia powinny być powiązane z prawdziwymi okolicznościami lub konkretnym wydarzeniem, a nie samymi hipotezami co do przyszłych i ewentualnych działań, które nie leżały w sferze zainteresowania rynków. </w:t>
      </w:r>
      <w:r w:rsidR="003457A7">
        <w:t>Tymczasem</w:t>
      </w:r>
      <w:r w:rsidR="000D5DD6">
        <w:t xml:space="preserve">, w dniu, w którym </w:t>
      </w:r>
      <w:r w:rsidR="003457A7">
        <w:t xml:space="preserve">komunikaty </w:t>
      </w:r>
      <w:r w:rsidR="000D5DD6">
        <w:t xml:space="preserve">prasowe zostały rozpowszechnione, skarżące spółki nie podjęły żadnych wymiernych inicjatyw w odniesieniu do wygaśnięcia pożyczki zamiennej. W przedmiotowym czasie, przewidywany scenariusz był niepewny, ponieważ nadal był przedmiotem zatwierdzenia przez Merrill Lynch International </w:t>
      </w:r>
      <w:proofErr w:type="spellStart"/>
      <w:r w:rsidR="000D5DD6">
        <w:t>Ltd</w:t>
      </w:r>
      <w:proofErr w:type="spellEnd"/>
      <w:r w:rsidR="000D5DD6">
        <w:t>, a także ze względu na ewentualność, że nie powstanie zobowiązanie do realizacji oferty przejęcia. Urzędnik CONSOB uczestniczył w sporządzani</w:t>
      </w:r>
      <w:r w:rsidR="00F03773">
        <w:t>u</w:t>
      </w:r>
      <w:r w:rsidR="000D5DD6">
        <w:t xml:space="preserve"> jedne</w:t>
      </w:r>
      <w:r w:rsidR="003457A7">
        <w:t>go</w:t>
      </w:r>
      <w:r w:rsidR="000D5DD6">
        <w:t xml:space="preserve"> z </w:t>
      </w:r>
      <w:r w:rsidR="003457A7">
        <w:t xml:space="preserve">komunikatów </w:t>
      </w:r>
      <w:r w:rsidR="000D5DD6">
        <w:t>prasowych, a przedmiotowy tekst uzyskał uprzednią akceptację CONSOB.</w:t>
      </w:r>
    </w:p>
    <w:p w14:paraId="2E8DF16D" w14:textId="6983EA64" w:rsidR="000D5DD6" w:rsidRPr="00110749" w:rsidRDefault="00346F6F" w:rsidP="000D5DD6">
      <w:pPr>
        <w:pStyle w:val="ECHRPara"/>
      </w:pPr>
      <w:fldSimple w:instr=" SEQ level0 \*arabic ">
        <w:r w:rsidR="00AB4482">
          <w:rPr>
            <w:noProof/>
          </w:rPr>
          <w:t>157</w:t>
        </w:r>
      </w:fldSimple>
      <w:r w:rsidR="00F03773">
        <w:t>. Pomimo tego</w:t>
      </w:r>
      <w:r w:rsidR="003457A7">
        <w:t xml:space="preserve">, w opinii </w:t>
      </w:r>
      <w:r w:rsidR="000D5DD6">
        <w:t>skarżący</w:t>
      </w:r>
      <w:r w:rsidR="003457A7">
        <w:t>ch</w:t>
      </w:r>
      <w:r w:rsidR="000D5DD6">
        <w:t>, CONSOB oparł</w:t>
      </w:r>
      <w:r w:rsidR="003457A7">
        <w:t>a</w:t>
      </w:r>
      <w:r w:rsidR="000D5DD6">
        <w:t xml:space="preserve"> swoje oskarżenia </w:t>
      </w:r>
      <w:r w:rsidR="00F03773">
        <w:t>na arbitralnym założeniu</w:t>
      </w:r>
      <w:r w:rsidR="000D5DD6">
        <w:t xml:space="preserve">, że umowa zmieniająca umowę realizacji kapitałowej transakcji </w:t>
      </w:r>
      <w:proofErr w:type="spellStart"/>
      <w:r w:rsidR="000D5DD6">
        <w:t>swap</w:t>
      </w:r>
      <w:proofErr w:type="spellEnd"/>
      <w:r w:rsidR="000D5DD6">
        <w:t xml:space="preserve"> została zawarta</w:t>
      </w:r>
      <w:r w:rsidR="00F03773">
        <w:t xml:space="preserve"> przed 24 sierpnia 2005 roku, </w:t>
      </w:r>
      <w:r w:rsidR="000D5DD6">
        <w:t xml:space="preserve">mimo braku jakichkolwiek pisemnych lub ustnych dowodów na potwierdzenie takiego założenia. Zdaniem skarżących, zostali </w:t>
      </w:r>
      <w:r w:rsidR="003457A7">
        <w:t xml:space="preserve">oni </w:t>
      </w:r>
      <w:r w:rsidR="000D5DD6">
        <w:t>skazani bez żadnych dowodów na to.</w:t>
      </w:r>
    </w:p>
    <w:p w14:paraId="1673BEFD" w14:textId="12B49B50" w:rsidR="000D5DD6" w:rsidRPr="00110749" w:rsidRDefault="00346F6F" w:rsidP="000D5DD6">
      <w:pPr>
        <w:pStyle w:val="ECHRPara"/>
      </w:pPr>
      <w:fldSimple w:instr=" SEQ level0 \*arabic ">
        <w:r w:rsidR="00AB4482">
          <w:rPr>
            <w:noProof/>
          </w:rPr>
          <w:t>158</w:t>
        </w:r>
      </w:fldSimple>
      <w:r w:rsidR="00F40430">
        <w:t>. </w:t>
      </w:r>
      <w:r w:rsidR="000D5DD6">
        <w:t xml:space="preserve">Trybunał podkreśla, że jego zadaniem nie jest naprawianie błędów faktycznych lub prawnych rzekomo popełnionych przez sąd krajowy, </w:t>
      </w:r>
      <w:r w:rsidR="003457A7">
        <w:t xml:space="preserve">chyba że, </w:t>
      </w:r>
      <w:r w:rsidR="000D5DD6">
        <w:t>i w zakresie, w jakim</w:t>
      </w:r>
      <w:r w:rsidR="003457A7">
        <w:t>,</w:t>
      </w:r>
      <w:r w:rsidR="000D5DD6">
        <w:t xml:space="preserve"> mogą one naruszać prawa i wolności chronione na mocy Konwencji (zobacz </w:t>
      </w:r>
      <w:r w:rsidR="000D5DD6">
        <w:rPr>
          <w:i/>
        </w:rPr>
        <w:t>Khan przeciwko Wielkiej Brytanii</w:t>
      </w:r>
      <w:r w:rsidR="000D5DD6">
        <w:t xml:space="preserve">, nr 35394/97, </w:t>
      </w:r>
      <w:r w:rsidR="007E48CB">
        <w:t>§</w:t>
      </w:r>
      <w:r w:rsidR="000D5DD6">
        <w:t xml:space="preserve"> 34, ECHR 2000-V), a także, co do zasady, to sądy krajowe powinny dokonać oceny </w:t>
      </w:r>
      <w:r w:rsidR="005C32B9">
        <w:t xml:space="preserve">faktów </w:t>
      </w:r>
      <w:r w:rsidR="00B841DA">
        <w:t>oraz</w:t>
      </w:r>
      <w:r w:rsidR="005C32B9">
        <w:t xml:space="preserve"> dokonywać wykładni i stosować prawo krajowe </w:t>
      </w:r>
      <w:r w:rsidR="000D5DD6">
        <w:t xml:space="preserve">(zobacz </w:t>
      </w:r>
      <w:proofErr w:type="spellStart"/>
      <w:r w:rsidR="000D5DD6">
        <w:rPr>
          <w:i/>
        </w:rPr>
        <w:t>Pacifico</w:t>
      </w:r>
      <w:proofErr w:type="spellEnd"/>
      <w:r w:rsidR="000D5DD6">
        <w:rPr>
          <w:i/>
        </w:rPr>
        <w:t xml:space="preserve"> przeciwko Włochom </w:t>
      </w:r>
      <w:r w:rsidR="000D5DD6">
        <w:t>(</w:t>
      </w:r>
      <w:r w:rsidR="00FA7858">
        <w:t>decyzja</w:t>
      </w:r>
      <w:r w:rsidR="000D5DD6">
        <w:t xml:space="preserve">), nr 17995/08, </w:t>
      </w:r>
      <w:r w:rsidR="007E48CB">
        <w:t>§</w:t>
      </w:r>
      <w:r w:rsidR="000D5DD6">
        <w:t xml:space="preserve"> 62, 20 listopada 2012 roku). Niemniej jednak, Trybunał przeanalizował decyzje sądów krajowych kwestionowane przez skarżących i nie wykrył żadnych oznak arbitralności, które wskazywałyby na pozbawienie dostępu do wymiaru sprawiedliwości lub ewidentne nadużycie (zobacz, </w:t>
      </w:r>
      <w:r w:rsidR="000D5DD6">
        <w:rPr>
          <w:i/>
        </w:rPr>
        <w:t>a contrario</w:t>
      </w:r>
      <w:r w:rsidR="000D5DD6">
        <w:t xml:space="preserve">, </w:t>
      </w:r>
      <w:r w:rsidR="000D5DD6">
        <w:rPr>
          <w:i/>
        </w:rPr>
        <w:t>De </w:t>
      </w:r>
      <w:proofErr w:type="spellStart"/>
      <w:r w:rsidR="000D5DD6">
        <w:rPr>
          <w:i/>
        </w:rPr>
        <w:t>Moor</w:t>
      </w:r>
      <w:proofErr w:type="spellEnd"/>
      <w:r w:rsidR="000D5DD6">
        <w:rPr>
          <w:i/>
        </w:rPr>
        <w:t xml:space="preserve"> przeciwko Belgii</w:t>
      </w:r>
      <w:r w:rsidR="000D5DD6">
        <w:t xml:space="preserve">, 23 czerwca 1994 roku, </w:t>
      </w:r>
      <w:r w:rsidR="007E48CB">
        <w:t>§</w:t>
      </w:r>
      <w:r w:rsidR="000D5DD6">
        <w:t xml:space="preserve"> 55 </w:t>
      </w:r>
      <w:r w:rsidR="000D5DD6">
        <w:rPr>
          <w:i/>
        </w:rPr>
        <w:t>in fine</w:t>
      </w:r>
      <w:r w:rsidR="000D5DD6">
        <w:t>, Seria A nr 292</w:t>
      </w:r>
      <w:r w:rsidR="000D5DD6">
        <w:noBreakHyphen/>
        <w:t xml:space="preserve">A, oraz </w:t>
      </w:r>
      <w:proofErr w:type="spellStart"/>
      <w:r w:rsidR="000D5DD6">
        <w:rPr>
          <w:i/>
        </w:rPr>
        <w:t>Barać</w:t>
      </w:r>
      <w:proofErr w:type="spellEnd"/>
      <w:r w:rsidR="000D5DD6">
        <w:rPr>
          <w:i/>
        </w:rPr>
        <w:t xml:space="preserve"> i inni przeciwko Czarnogórze</w:t>
      </w:r>
      <w:r w:rsidR="000D5DD6">
        <w:t xml:space="preserve">, nr 47974/06, </w:t>
      </w:r>
      <w:r w:rsidR="007E48CB">
        <w:t>§</w:t>
      </w:r>
      <w:r w:rsidR="000D5DD6">
        <w:t xml:space="preserve"> 32, 13 grudnia 2011 roku).</w:t>
      </w:r>
    </w:p>
    <w:p w14:paraId="7172A1F6" w14:textId="04C0B1DA" w:rsidR="000D5DD6" w:rsidRPr="00110749" w:rsidRDefault="00346F6F" w:rsidP="000D5DD6">
      <w:pPr>
        <w:pStyle w:val="ECHRPara"/>
      </w:pPr>
      <w:fldSimple w:instr=" SEQ level0 \*arabic ">
        <w:r w:rsidR="00AB4482">
          <w:rPr>
            <w:noProof/>
          </w:rPr>
          <w:t>159</w:t>
        </w:r>
      </w:fldSimple>
      <w:r w:rsidR="00333746">
        <w:t>. </w:t>
      </w:r>
      <w:r w:rsidR="000D5DD6">
        <w:t xml:space="preserve">Trybunał podkreśla również, że zasada domniemania niewinności wymaga m.in., aby podczas pełnienia swoich obowiązków, członkowie sądu </w:t>
      </w:r>
      <w:r w:rsidR="000D5DD6">
        <w:lastRenderedPageBreak/>
        <w:t xml:space="preserve">nie </w:t>
      </w:r>
      <w:r w:rsidR="00333746">
        <w:t>wychodzili</w:t>
      </w:r>
      <w:r w:rsidR="000D5DD6">
        <w:t xml:space="preserve"> z ugruntowanego z góry przekonania, że oskarżony popełnił zarzucany mu czyn; ciężar dowodu spoczywa na oskarżeniu, a wszelkie wątpliwości powinny być rozstrzygane na korzyść oskarżonego. Wynika z tego również fakt, że oskarżyciel powinien poinformować oskarżonego o sprawie, jaka zostanie przeciwko niemu wniesiona tak, aby mógł się on przygotować i odpowiednio przedstawić swoją obronę, a także</w:t>
      </w:r>
      <w:r w:rsidR="005C32B9">
        <w:t xml:space="preserve"> powinien</w:t>
      </w:r>
      <w:r w:rsidR="000D5DD6">
        <w:t xml:space="preserve"> powołać się na dowody wystarczające do jego skazania (zobacz m.in.</w:t>
      </w:r>
      <w:r w:rsidR="000D5DD6">
        <w:rPr>
          <w:i/>
        </w:rPr>
        <w:t xml:space="preserve"> </w:t>
      </w:r>
      <w:proofErr w:type="spellStart"/>
      <w:r w:rsidR="000D5DD6">
        <w:rPr>
          <w:i/>
        </w:rPr>
        <w:t>Barberà</w:t>
      </w:r>
      <w:proofErr w:type="spellEnd"/>
      <w:r w:rsidR="000D5DD6">
        <w:rPr>
          <w:i/>
        </w:rPr>
        <w:t xml:space="preserve">, </w:t>
      </w:r>
      <w:proofErr w:type="spellStart"/>
      <w:r w:rsidR="000D5DD6">
        <w:rPr>
          <w:i/>
        </w:rPr>
        <w:t>Messegué</w:t>
      </w:r>
      <w:proofErr w:type="spellEnd"/>
      <w:r w:rsidR="000D5DD6">
        <w:rPr>
          <w:i/>
        </w:rPr>
        <w:t xml:space="preserve"> i </w:t>
      </w:r>
      <w:proofErr w:type="spellStart"/>
      <w:r w:rsidR="000D5DD6">
        <w:rPr>
          <w:i/>
        </w:rPr>
        <w:t>Jabardo</w:t>
      </w:r>
      <w:proofErr w:type="spellEnd"/>
      <w:r w:rsidR="000D5DD6">
        <w:rPr>
          <w:i/>
        </w:rPr>
        <w:t xml:space="preserve"> przeciwko Hiszpanii</w:t>
      </w:r>
      <w:r w:rsidR="000D5DD6">
        <w:t xml:space="preserve">, 6 grudnia 1988 roku, </w:t>
      </w:r>
      <w:r w:rsidR="007E48CB">
        <w:t>§</w:t>
      </w:r>
      <w:r w:rsidR="000D5DD6">
        <w:t xml:space="preserve"> 77, Seria A nr 146; </w:t>
      </w:r>
      <w:r w:rsidR="000D5DD6">
        <w:rPr>
          <w:i/>
        </w:rPr>
        <w:t>John Murray przeciwko Wielkiej Brytanii</w:t>
      </w:r>
      <w:r w:rsidR="000D5DD6">
        <w:t xml:space="preserve">, 8 lutego 1996 roku, </w:t>
      </w:r>
      <w:r w:rsidR="007E48CB">
        <w:t>§</w:t>
      </w:r>
      <w:r w:rsidR="000D5DD6">
        <w:t xml:space="preserve"> 54, </w:t>
      </w:r>
      <w:r w:rsidR="000D5DD6">
        <w:rPr>
          <w:i/>
        </w:rPr>
        <w:t xml:space="preserve">Raporty </w:t>
      </w:r>
      <w:r w:rsidR="000D5DD6">
        <w:t>1996</w:t>
      </w:r>
      <w:r w:rsidR="000D5DD6">
        <w:noBreakHyphen/>
        <w:t xml:space="preserve">I; oraz </w:t>
      </w:r>
      <w:proofErr w:type="spellStart"/>
      <w:r w:rsidR="000D5DD6">
        <w:rPr>
          <w:i/>
        </w:rPr>
        <w:t>Telfner</w:t>
      </w:r>
      <w:proofErr w:type="spellEnd"/>
      <w:r w:rsidR="000D5DD6">
        <w:rPr>
          <w:i/>
        </w:rPr>
        <w:t xml:space="preserve"> przeciwko Austrii</w:t>
      </w:r>
      <w:r w:rsidR="000D5DD6">
        <w:t xml:space="preserve">, nr 33501/96, </w:t>
      </w:r>
      <w:r w:rsidR="007E48CB">
        <w:t>§</w:t>
      </w:r>
      <w:r w:rsidR="000D5DD6">
        <w:t xml:space="preserve"> 15, 20 marca 2001 roku).</w:t>
      </w:r>
    </w:p>
    <w:p w14:paraId="55BC4118" w14:textId="7D3A3BC3" w:rsidR="000D5DD6" w:rsidRPr="00110749" w:rsidRDefault="00346F6F" w:rsidP="000D5DD6">
      <w:pPr>
        <w:pStyle w:val="ECHRPara"/>
      </w:pPr>
      <w:fldSimple w:instr=" SEQ level0 \*arabic ">
        <w:r w:rsidR="00AB4482">
          <w:rPr>
            <w:noProof/>
          </w:rPr>
          <w:t>160</w:t>
        </w:r>
      </w:fldSimple>
      <w:r w:rsidR="002C2FFF">
        <w:t>. </w:t>
      </w:r>
      <w:r w:rsidR="000D5DD6">
        <w:t>W niniejszej sprawie, wyrok skazujący skarżących został wydany na podstawie przesłanek uznanych za silne, jasne i zgodne, przedstawionych przez Biuro IT, które wskazywały, że w czasie wy</w:t>
      </w:r>
      <w:r w:rsidR="005965D3">
        <w:t>dania</w:t>
      </w:r>
      <w:r w:rsidR="000D5DD6">
        <w:t xml:space="preserve"> </w:t>
      </w:r>
      <w:r w:rsidR="005965D3">
        <w:t>komunikatów</w:t>
      </w:r>
      <w:r w:rsidR="000D5DD6">
        <w:t xml:space="preserve"> prasowych z dnia 24 sierpnia 2005 roku, umowa zmieniająca warunki transakcji kapitałowej </w:t>
      </w:r>
      <w:proofErr w:type="spellStart"/>
      <w:r w:rsidR="000D5DD6">
        <w:t>swap</w:t>
      </w:r>
      <w:proofErr w:type="spellEnd"/>
      <w:r w:rsidR="000D5DD6">
        <w:t xml:space="preserve"> została już zawarta lub miała właśnie być zawarta. W tych okolicznościach, nie można dopatrzeć s</w:t>
      </w:r>
      <w:r w:rsidR="00685B82">
        <w:t>ię naruszenia zasady domniemania</w:t>
      </w:r>
      <w:r w:rsidR="000D5DD6">
        <w:t xml:space="preserve"> niewinności (zobacz, </w:t>
      </w:r>
      <w:r w:rsidR="000D5DD6">
        <w:rPr>
          <w:i/>
        </w:rPr>
        <w:t>mutatis mutandis</w:t>
      </w:r>
      <w:r w:rsidR="000D5DD6">
        <w:t>,</w:t>
      </w:r>
      <w:r w:rsidR="000D5DD6">
        <w:rPr>
          <w:i/>
        </w:rPr>
        <w:t xml:space="preserve"> </w:t>
      </w:r>
      <w:proofErr w:type="spellStart"/>
      <w:r w:rsidR="000D5DD6">
        <w:rPr>
          <w:i/>
        </w:rPr>
        <w:t>Previti</w:t>
      </w:r>
      <w:proofErr w:type="spellEnd"/>
      <w:r w:rsidR="000D5DD6">
        <w:rPr>
          <w:i/>
        </w:rPr>
        <w:t xml:space="preserve"> przeciwko Włochom </w:t>
      </w:r>
      <w:r w:rsidR="000D5DD6">
        <w:t>(</w:t>
      </w:r>
      <w:r w:rsidR="00FA7858">
        <w:t>decyzja</w:t>
      </w:r>
      <w:r w:rsidR="000D5DD6">
        <w:t xml:space="preserve">), nr 45291/06, </w:t>
      </w:r>
      <w:r w:rsidR="007E48CB">
        <w:t>§</w:t>
      </w:r>
      <w:r w:rsidR="000D5DD6">
        <w:t> 250, 8 grudnia 2009 roku).</w:t>
      </w:r>
    </w:p>
    <w:p w14:paraId="321A10C2" w14:textId="77777777" w:rsidR="000D5DD6" w:rsidRPr="00110749" w:rsidRDefault="000D5DD6" w:rsidP="000D5DD6">
      <w:pPr>
        <w:pStyle w:val="ECHRHeading3"/>
      </w:pPr>
      <w:r>
        <w:t>6.  Podsumowanie</w:t>
      </w:r>
    </w:p>
    <w:bookmarkStart w:id="44" w:name="violation6"/>
    <w:p w14:paraId="2D01B08E" w14:textId="0FD845B7" w:rsidR="000D5DD6" w:rsidRDefault="000D5DD6" w:rsidP="000D5DD6">
      <w:pPr>
        <w:pStyle w:val="ECHRPara"/>
      </w:pPr>
      <w:r w:rsidRPr="00110749">
        <w:fldChar w:fldCharType="begin"/>
      </w:r>
      <w:r w:rsidRPr="00110749">
        <w:instrText xml:space="preserve"> SEQ level0 \r161</w:instrText>
      </w:r>
      <w:r w:rsidRPr="00110749">
        <w:fldChar w:fldCharType="separate"/>
      </w:r>
      <w:r w:rsidR="00AB4482">
        <w:rPr>
          <w:noProof/>
        </w:rPr>
        <w:t>161</w:t>
      </w:r>
      <w:r w:rsidRPr="00110749">
        <w:fldChar w:fldCharType="end"/>
      </w:r>
      <w:bookmarkEnd w:id="44"/>
      <w:r>
        <w:t xml:space="preserve">.  W świetle powyższych rozważań, Trybunał uznaje, że, mimo iż postępowanie przed CONSOB nie spełniało wymogów </w:t>
      </w:r>
      <w:r w:rsidR="00EE7FF7">
        <w:t>rzetelności</w:t>
      </w:r>
      <w:r>
        <w:t xml:space="preserve"> i obiektywnej bezstronności, o której mowa w artykule 6 Konwencji, sprawa skarżących została następnie przeanalizowana przez niezawisły i be</w:t>
      </w:r>
      <w:r w:rsidR="005965D3">
        <w:t>zstronny organ posiadający pełną jurysdykcję</w:t>
      </w:r>
      <w:r>
        <w:t>, a mianowicie Sąd Apelacyjny w Turynie. Jednakże, sąd ten nie odbył jawnej rozprawy, co, w niniejszej sprawie, o</w:t>
      </w:r>
      <w:r w:rsidR="00EE7FF7">
        <w:t>znaczało naruszenie artykułu 6 ust.</w:t>
      </w:r>
      <w:r>
        <w:t xml:space="preserve"> 1 Konwencji.</w:t>
      </w:r>
    </w:p>
    <w:p w14:paraId="687944A3" w14:textId="77777777" w:rsidR="00243D06" w:rsidRDefault="00243D06" w:rsidP="000D5DD6">
      <w:pPr>
        <w:pStyle w:val="ECHRPara"/>
      </w:pPr>
    </w:p>
    <w:p w14:paraId="0F4B015A" w14:textId="77777777" w:rsidR="00243D06" w:rsidRPr="00110749" w:rsidRDefault="00243D06" w:rsidP="00243D06">
      <w:pPr>
        <w:pStyle w:val="ECHRPara"/>
      </w:pPr>
      <w:r>
        <w:t>...</w:t>
      </w:r>
    </w:p>
    <w:p w14:paraId="4B7F8EE5" w14:textId="77777777" w:rsidR="00243D06" w:rsidRDefault="00243D06" w:rsidP="00243D06">
      <w:pPr>
        <w:pStyle w:val="ECHRPara"/>
        <w:ind w:firstLine="0"/>
        <w:rPr>
          <w:i/>
          <w:sz w:val="20"/>
        </w:rPr>
      </w:pPr>
    </w:p>
    <w:p w14:paraId="7799BFAE" w14:textId="77777777" w:rsidR="00243D06" w:rsidRPr="00243D06" w:rsidRDefault="00243D06" w:rsidP="00243D06">
      <w:pPr>
        <w:pStyle w:val="ECHRPara"/>
        <w:ind w:firstLine="0"/>
        <w:rPr>
          <w:i/>
          <w:sz w:val="20"/>
        </w:rPr>
      </w:pPr>
      <w:r>
        <w:rPr>
          <w:i/>
          <w:sz w:val="20"/>
        </w:rPr>
        <w:t>[</w:t>
      </w:r>
      <w:r w:rsidR="002B0FB7">
        <w:rPr>
          <w:i/>
          <w:sz w:val="20"/>
        </w:rPr>
        <w:t>Paragrafy 162-201</w:t>
      </w:r>
      <w:r w:rsidRPr="00243D06">
        <w:rPr>
          <w:i/>
          <w:sz w:val="20"/>
        </w:rPr>
        <w:t xml:space="preserve"> dotyczące zarzutów </w:t>
      </w:r>
      <w:r w:rsidR="0094661E">
        <w:rPr>
          <w:i/>
          <w:sz w:val="20"/>
        </w:rPr>
        <w:t xml:space="preserve">naruszenia art.6 ust. 3 lit. a) i </w:t>
      </w:r>
      <w:r w:rsidRPr="00243D06">
        <w:rPr>
          <w:i/>
          <w:sz w:val="20"/>
        </w:rPr>
        <w:t>c) Konwencji oraz art. 1 Protokołu nr 1 do Konwencji</w:t>
      </w:r>
      <w:r w:rsidR="006C5227">
        <w:rPr>
          <w:i/>
          <w:sz w:val="20"/>
        </w:rPr>
        <w:t xml:space="preserve"> zostały pominięte w niniejszym tłumaczeniu</w:t>
      </w:r>
      <w:r w:rsidR="00B841DA">
        <w:rPr>
          <w:i/>
          <w:sz w:val="20"/>
        </w:rPr>
        <w:t xml:space="preserve"> – przyp. tłum.</w:t>
      </w:r>
      <w:r w:rsidR="006C5227">
        <w:rPr>
          <w:i/>
          <w:sz w:val="20"/>
        </w:rPr>
        <w:t>.</w:t>
      </w:r>
      <w:r>
        <w:rPr>
          <w:i/>
          <w:sz w:val="20"/>
        </w:rPr>
        <w:t>]</w:t>
      </w:r>
    </w:p>
    <w:p w14:paraId="605B63E8" w14:textId="365F0E0B" w:rsidR="000D5DD6" w:rsidRPr="00110749" w:rsidRDefault="000D5DD6" w:rsidP="000D5DD6">
      <w:pPr>
        <w:pStyle w:val="ECHRHeading1"/>
      </w:pPr>
      <w:r>
        <w:t>V. ZARZU</w:t>
      </w:r>
      <w:r w:rsidR="005835B9">
        <w:t>T</w:t>
      </w:r>
      <w:r>
        <w:t xml:space="preserve"> NARU</w:t>
      </w:r>
      <w:r w:rsidR="005835B9">
        <w:t>SZENIA</w:t>
      </w:r>
      <w:r w:rsidR="00EE7FF7">
        <w:t xml:space="preserve"> ARTYKUŁU 4 PROTOKOŁU NR </w:t>
      </w:r>
      <w:r>
        <w:t>7</w:t>
      </w:r>
    </w:p>
    <w:p w14:paraId="2D149220" w14:textId="77777777" w:rsidR="000D5DD6" w:rsidRPr="00110749" w:rsidRDefault="000D5DD6" w:rsidP="000D5DD6">
      <w:pPr>
        <w:pStyle w:val="ECHRPara"/>
      </w:pPr>
      <w:r w:rsidRPr="00110749">
        <w:fldChar w:fldCharType="begin"/>
      </w:r>
      <w:r w:rsidRPr="00110749">
        <w:instrText xml:space="preserve"> SEQ level0 \r202</w:instrText>
      </w:r>
      <w:r w:rsidRPr="00110749">
        <w:fldChar w:fldCharType="separate"/>
      </w:r>
      <w:r w:rsidR="00AB4482">
        <w:rPr>
          <w:noProof/>
        </w:rPr>
        <w:t>202</w:t>
      </w:r>
      <w:r w:rsidRPr="00110749">
        <w:fldChar w:fldCharType="end"/>
      </w:r>
      <w:r w:rsidR="00F31F26">
        <w:t>. </w:t>
      </w:r>
      <w:r>
        <w:t xml:space="preserve">Skarżący zarzucili, że nastąpiło naruszenie zasady </w:t>
      </w:r>
      <w:proofErr w:type="spellStart"/>
      <w:r>
        <w:rPr>
          <w:i/>
        </w:rPr>
        <w:t>ne</w:t>
      </w:r>
      <w:proofErr w:type="spellEnd"/>
      <w:r>
        <w:rPr>
          <w:i/>
        </w:rPr>
        <w:t xml:space="preserve"> bis in </w:t>
      </w:r>
      <w:proofErr w:type="spellStart"/>
      <w:r>
        <w:rPr>
          <w:i/>
        </w:rPr>
        <w:t>idem</w:t>
      </w:r>
      <w:proofErr w:type="spellEnd"/>
      <w:r>
        <w:t>, zagwarantowanej w artykule 4 Protokołu nr 7.</w:t>
      </w:r>
    </w:p>
    <w:p w14:paraId="09369D1C" w14:textId="77777777" w:rsidR="000D5DD6" w:rsidRPr="00110749" w:rsidRDefault="000D5DD6" w:rsidP="000D5DD6">
      <w:pPr>
        <w:pStyle w:val="ECHRPara"/>
      </w:pPr>
      <w:r>
        <w:t>Przepis ten brzmi następująco:</w:t>
      </w:r>
    </w:p>
    <w:p w14:paraId="0F35F997" w14:textId="4203FF47" w:rsidR="000D5DD6" w:rsidRPr="00110749" w:rsidRDefault="000D5DD6" w:rsidP="000D5DD6">
      <w:pPr>
        <w:pStyle w:val="ECHRParaQuote"/>
      </w:pPr>
      <w:r>
        <w:t xml:space="preserve">„1.  Nikt nie może być ponownie sądzony lub ukarany w postępowaniu </w:t>
      </w:r>
      <w:r w:rsidR="00D97072">
        <w:t>przed</w:t>
      </w:r>
      <w:r>
        <w:t xml:space="preserve"> sądem tego samego </w:t>
      </w:r>
      <w:r w:rsidR="00EB04D3">
        <w:t xml:space="preserve">Państwa </w:t>
      </w:r>
      <w:r>
        <w:t>za przestępstwo</w:t>
      </w:r>
      <w:r w:rsidR="00B37330">
        <w:t>, za które</w:t>
      </w:r>
      <w:r>
        <w:t xml:space="preserve"> został </w:t>
      </w:r>
      <w:r w:rsidR="00B37330">
        <w:t xml:space="preserve">uprzednio skazany </w:t>
      </w:r>
      <w:r>
        <w:t>prawomocnym wyrokiem</w:t>
      </w:r>
      <w:r w:rsidR="00B37330">
        <w:t xml:space="preserve"> lub uniewinniony</w:t>
      </w:r>
      <w:r>
        <w:t xml:space="preserve">, zgodnie z </w:t>
      </w:r>
      <w:r w:rsidR="00B37330">
        <w:t xml:space="preserve">ustawą </w:t>
      </w:r>
      <w:r>
        <w:t xml:space="preserve">i zasadami postępowania karnego tego państwa. </w:t>
      </w:r>
    </w:p>
    <w:p w14:paraId="24B4D519" w14:textId="1CB335EF" w:rsidR="000D5DD6" w:rsidRPr="00110749" w:rsidRDefault="000D5DD6" w:rsidP="000D5DD6">
      <w:pPr>
        <w:pStyle w:val="ECHRParaQuote"/>
      </w:pPr>
      <w:r>
        <w:lastRenderedPageBreak/>
        <w:t xml:space="preserve">2.  Postanowienia poprzedniego ustępu nie stoją na przeszkodzie wznowieniu postępowania </w:t>
      </w:r>
      <w:r w:rsidR="00EB04D3">
        <w:t xml:space="preserve">zgodnie z ustawą i </w:t>
      </w:r>
      <w:r>
        <w:t xml:space="preserve">zasadami postępowania karnego danego </w:t>
      </w:r>
      <w:r w:rsidR="00EB04D3">
        <w:t>Państwa, jeśli wyjdą na jaw nowo odkryte fakty lub jeśli</w:t>
      </w:r>
      <w:r>
        <w:t xml:space="preserve"> w poprzednim postępowaniu popełniono </w:t>
      </w:r>
      <w:r w:rsidR="00EB04D3">
        <w:t xml:space="preserve">poważną </w:t>
      </w:r>
      <w:r>
        <w:t xml:space="preserve">pomyłkę, która mogła mieć wpływ na wynik sprawy. </w:t>
      </w:r>
    </w:p>
    <w:p w14:paraId="485FDF3F" w14:textId="77777777" w:rsidR="000D5DD6" w:rsidRPr="00110749" w:rsidRDefault="000D5DD6" w:rsidP="000D5DD6">
      <w:pPr>
        <w:pStyle w:val="ECHRParaQuote"/>
      </w:pPr>
      <w:r>
        <w:t>3.  Żadne z postanowień niniejszego artykułu nie może być uchylone na podstawie artykułu 15 Konwencji.”</w:t>
      </w:r>
    </w:p>
    <w:p w14:paraId="21045273" w14:textId="2228D7E2" w:rsidR="000D5DD6" w:rsidRPr="00110749" w:rsidRDefault="00346F6F" w:rsidP="000D5DD6">
      <w:pPr>
        <w:pStyle w:val="ECHRPara"/>
      </w:pPr>
      <w:fldSimple w:instr=" SEQ level0 \*arabic ">
        <w:r w:rsidR="00AB4482">
          <w:rPr>
            <w:noProof/>
          </w:rPr>
          <w:t>203</w:t>
        </w:r>
      </w:fldSimple>
      <w:r w:rsidR="0012457E">
        <w:t>. </w:t>
      </w:r>
      <w:r w:rsidR="000D5DD6">
        <w:t>Rząd podważ</w:t>
      </w:r>
      <w:r w:rsidR="00EB04D3">
        <w:t>a</w:t>
      </w:r>
      <w:r w:rsidR="000D5DD6">
        <w:t>ł ten argument.</w:t>
      </w:r>
    </w:p>
    <w:p w14:paraId="3DDBC218" w14:textId="77777777" w:rsidR="00AB4482" w:rsidRDefault="000D5DD6" w:rsidP="000D5DD6">
      <w:pPr>
        <w:pStyle w:val="ECHRHeading2"/>
      </w:pPr>
      <w:r>
        <w:t>A.  Dopuszczalność</w:t>
      </w:r>
    </w:p>
    <w:p w14:paraId="32B1F507" w14:textId="13EECC93" w:rsidR="000D5DD6" w:rsidRPr="00110749" w:rsidRDefault="000D5DD6" w:rsidP="000D5DD6">
      <w:pPr>
        <w:pStyle w:val="ECHRHeading3"/>
      </w:pPr>
      <w:r>
        <w:t>1.  Zastrzeżeni</w:t>
      </w:r>
      <w:r w:rsidR="008A781D">
        <w:t>e</w:t>
      </w:r>
      <w:r>
        <w:t xml:space="preserve"> Włoch dotyczące artykułu 4 Protokołu nr 7</w:t>
      </w:r>
    </w:p>
    <w:bookmarkStart w:id="45" w:name="declarationItalie"/>
    <w:p w14:paraId="7011CD01" w14:textId="4781F064"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204</w:t>
      </w:r>
      <w:r w:rsidRPr="00110749">
        <w:fldChar w:fldCharType="end"/>
      </w:r>
      <w:bookmarkEnd w:id="45"/>
      <w:r w:rsidR="001644ED">
        <w:t>. </w:t>
      </w:r>
      <w:r>
        <w:t>Rząd zauważył, że Włochy złożyły oświadczenie</w:t>
      </w:r>
      <w:r w:rsidR="00044B56">
        <w:t xml:space="preserve">, w świetle którego </w:t>
      </w:r>
      <w:r>
        <w:t xml:space="preserve">artykuły od 2 do 4 Protokołu </w:t>
      </w:r>
      <w:r w:rsidR="00B841DA">
        <w:t>n</w:t>
      </w:r>
      <w:r>
        <w:t xml:space="preserve">r 7 mają zastosowanie jedynie do </w:t>
      </w:r>
      <w:r w:rsidRPr="00B841DA">
        <w:t>przestępstw, procedur i decyzji klasyfikowanych jako karne zgodnie z prawem włoskim. Jednak prawo włoskie nie klasyfikuje przestępstw karalnyc</w:t>
      </w:r>
      <w:r w:rsidR="00044B56" w:rsidRPr="00B841DA">
        <w:t>h</w:t>
      </w:r>
      <w:r w:rsidR="00044B56">
        <w:t xml:space="preserve"> przez CONSOB jako przestępstw</w:t>
      </w:r>
      <w:r>
        <w:t xml:space="preserve"> o charakterze karnym. Ponadto, oświadczenie Włoch było podobne do oświadczeń składanych przez inne państwa (w szczególności Niemcy, Francję i Portugalię).</w:t>
      </w:r>
    </w:p>
    <w:p w14:paraId="75F299CB" w14:textId="2E65188B" w:rsidR="000D5DD6" w:rsidRDefault="00346F6F" w:rsidP="000D5DD6">
      <w:pPr>
        <w:pStyle w:val="ECHRPara"/>
      </w:pPr>
      <w:fldSimple w:instr=" SEQ level0 \*arabic ">
        <w:r w:rsidR="00AB4482">
          <w:rPr>
            <w:noProof/>
          </w:rPr>
          <w:t>205</w:t>
        </w:r>
      </w:fldSimple>
      <w:r w:rsidR="001644ED">
        <w:t>.</w:t>
      </w:r>
      <w:r w:rsidR="000D5DD6">
        <w:t> Skarżący odpowiedzieli</w:t>
      </w:r>
      <w:r w:rsidR="003F4A5A">
        <w:t xml:space="preserve">, że artykuł 4 Protokołu nr 7, </w:t>
      </w:r>
      <w:r w:rsidR="00044B56">
        <w:t xml:space="preserve">wobec którego nie jest dopuszczalne uchylenie stosowania zobowiązań </w:t>
      </w:r>
      <w:r w:rsidR="000D5DD6">
        <w:t>zgodnie z artykułem 15 Konwencji, dotyczy prawa objętego europejskim porządkiem</w:t>
      </w:r>
      <w:r w:rsidR="00044B56">
        <w:t xml:space="preserve"> publicznym</w:t>
      </w:r>
      <w:r w:rsidR="000D5DD6">
        <w:t xml:space="preserve">. Ich zdaniem, oświadczenie złożone przez Włochy wraz z </w:t>
      </w:r>
      <w:r w:rsidR="00B841DA">
        <w:t>dokumentem ratyfikacyjnym</w:t>
      </w:r>
      <w:r w:rsidR="000D5DD6">
        <w:t xml:space="preserve"> Protokołu </w:t>
      </w:r>
      <w:r w:rsidR="00B841DA">
        <w:t>n</w:t>
      </w:r>
      <w:r w:rsidR="000D5DD6">
        <w:t>r 7 nie miało charakteru zastrzeżenia w rozumieniu artykułu  57 Konwencji, który nie dopuszcza zastrzeżeń o charakterze</w:t>
      </w:r>
      <w:r w:rsidR="00797013" w:rsidRPr="00797013">
        <w:t xml:space="preserve"> </w:t>
      </w:r>
      <w:r w:rsidR="00797013">
        <w:t>ogólnym</w:t>
      </w:r>
      <w:r w:rsidR="000D5DD6">
        <w:t>. Ponadto, przedmiotowe oświadczenie nie było dołączone do „</w:t>
      </w:r>
      <w:r w:rsidR="00272EC0">
        <w:t>ustawy” obowiązującej</w:t>
      </w:r>
      <w:r w:rsidR="000D5DD6">
        <w:t xml:space="preserve"> w czasie, gdy zostało sporządzone, i nie zawierało „</w:t>
      </w:r>
      <w:r w:rsidR="00272EC0" w:rsidRPr="00C520BD">
        <w:t>krótkiego</w:t>
      </w:r>
      <w:r w:rsidR="00272EC0">
        <w:t xml:space="preserve"> przedstawienia treści</w:t>
      </w:r>
      <w:r w:rsidR="000D5DD6">
        <w:t xml:space="preserve">” </w:t>
      </w:r>
      <w:r w:rsidR="00272EC0">
        <w:t>tej ustawy</w:t>
      </w:r>
      <w:r w:rsidR="000D5DD6">
        <w:t>. A zatem, oświadczenie to nie miało żadnego wpływu na zobowiązania Włoch.</w:t>
      </w:r>
    </w:p>
    <w:p w14:paraId="7702F974" w14:textId="045266B8" w:rsidR="000D5DD6" w:rsidRPr="00110749" w:rsidRDefault="00346F6F" w:rsidP="000D5DD6">
      <w:pPr>
        <w:pStyle w:val="ECHRPara"/>
      </w:pPr>
      <w:fldSimple w:instr=" SEQ level0 \*arabic ">
        <w:r w:rsidR="00AB4482">
          <w:rPr>
            <w:noProof/>
          </w:rPr>
          <w:t>206</w:t>
        </w:r>
      </w:fldSimple>
      <w:r w:rsidR="003F4A5A">
        <w:t>. </w:t>
      </w:r>
      <w:r w:rsidR="000D5DD6">
        <w:t>Trybunał zauważa, że Rząd zarzucił, iż dokonano zastrzeżenia dotyczącego stosowania artykułów 2 do 4 Protokoł</w:t>
      </w:r>
      <w:r w:rsidR="002E2AF0">
        <w:t xml:space="preserve">u </w:t>
      </w:r>
      <w:r w:rsidR="00272EC0">
        <w:t>n</w:t>
      </w:r>
      <w:r w:rsidR="002E2AF0">
        <w:t xml:space="preserve">r </w:t>
      </w:r>
      <w:r w:rsidR="00272EC0">
        <w:t xml:space="preserve">7 </w:t>
      </w:r>
      <w:r w:rsidR="002E2AF0">
        <w:t xml:space="preserve">(zobacz punkt </w:t>
      </w:r>
      <w:r w:rsidR="000D5DD6" w:rsidRPr="00110749">
        <w:fldChar w:fldCharType="begin"/>
      </w:r>
      <w:r w:rsidR="000D5DD6" w:rsidRPr="00110749">
        <w:instrText xml:space="preserve"> REF declarationItalie \h </w:instrText>
      </w:r>
      <w:r w:rsidR="000D5DD6" w:rsidRPr="00110749">
        <w:fldChar w:fldCharType="separate"/>
      </w:r>
      <w:r w:rsidR="00AB4482">
        <w:rPr>
          <w:noProof/>
        </w:rPr>
        <w:t>204</w:t>
      </w:r>
      <w:r w:rsidR="000D5DD6" w:rsidRPr="00110749">
        <w:fldChar w:fldCharType="end"/>
      </w:r>
      <w:r w:rsidR="000D5DD6">
        <w:t xml:space="preserve"> powyżej). Niezależnie od możliwości zastosowania zastrzeżenia, Trybunał musi zbadać jego ważność. Innymi słowy, stwierdzić, czy zastrzeżenie spełnia wymogi artykułu 57 Konwencji  (zobacz </w:t>
      </w:r>
      <w:proofErr w:type="spellStart"/>
      <w:r w:rsidR="000D5DD6">
        <w:rPr>
          <w:i/>
        </w:rPr>
        <w:t>Eisenstecken</w:t>
      </w:r>
      <w:proofErr w:type="spellEnd"/>
      <w:r w:rsidR="000D5DD6">
        <w:rPr>
          <w:i/>
        </w:rPr>
        <w:t xml:space="preserve"> przeciwko Austrii</w:t>
      </w:r>
      <w:r w:rsidR="000D5DD6">
        <w:t xml:space="preserve">, nr 29477/95, </w:t>
      </w:r>
      <w:r w:rsidR="007E48CB">
        <w:t>§</w:t>
      </w:r>
      <w:r w:rsidR="000D5DD6">
        <w:t> 28, ECHR 2000-X).</w:t>
      </w:r>
    </w:p>
    <w:p w14:paraId="4828C8F5" w14:textId="77777777" w:rsidR="000D5DD6" w:rsidRPr="00110749" w:rsidRDefault="000D5DD6" w:rsidP="000D5DD6">
      <w:pPr>
        <w:pStyle w:val="ECHRPara"/>
      </w:pPr>
      <w:r>
        <w:t>Przepis ten brzmi następująco:</w:t>
      </w:r>
    </w:p>
    <w:p w14:paraId="5FB2358B" w14:textId="77777777" w:rsidR="002E2AF0" w:rsidRDefault="000D5DD6" w:rsidP="000D5DD6">
      <w:pPr>
        <w:pStyle w:val="ECHRParaQuote"/>
      </w:pPr>
      <w:r>
        <w:t xml:space="preserve">„1.  Każde Państwo może, przy podpisaniu niniejszej Konwencji lub przy składaniu dokumentów ratyfikacyjnych, dokonać zastrzeżenia odnośnie do każdego z przepisów Konwencji w </w:t>
      </w:r>
      <w:r w:rsidR="002E2AF0">
        <w:t xml:space="preserve">takim zakresie, </w:t>
      </w:r>
      <w:r>
        <w:t>w jakim ustawa obowiązująca na jego terytorium j</w:t>
      </w:r>
      <w:r w:rsidR="002E2AF0">
        <w:t xml:space="preserve">est z tym przepisem niezgodna. </w:t>
      </w:r>
      <w:r>
        <w:t xml:space="preserve">Na podstawie niniejszego artykułu niedopuszczalne są zastrzeżenia o charakterze ogólnym. </w:t>
      </w:r>
    </w:p>
    <w:p w14:paraId="52BD0DD5" w14:textId="77777777" w:rsidR="000D5DD6" w:rsidRDefault="000D5DD6" w:rsidP="000D5DD6">
      <w:pPr>
        <w:pStyle w:val="ECHRParaQuote"/>
      </w:pPr>
      <w:r>
        <w:t xml:space="preserve">2.  Każde zastrzeżenie złożone na podstawie niniejszego artykułu powinno zawierać krótkie przedstawienie treści ustawy, której dotyczy. </w:t>
      </w:r>
    </w:p>
    <w:p w14:paraId="39C87347" w14:textId="23030651" w:rsidR="000D5DD6" w:rsidRPr="00110749" w:rsidRDefault="00346F6F" w:rsidP="000D5DD6">
      <w:pPr>
        <w:pStyle w:val="ECHRPara"/>
      </w:pPr>
      <w:fldSimple w:instr=" SEQ level0 \*arabic ">
        <w:r w:rsidR="00AB4482">
          <w:rPr>
            <w:noProof/>
          </w:rPr>
          <w:t>207</w:t>
        </w:r>
      </w:fldSimple>
      <w:r w:rsidR="002E2AF0">
        <w:t>. </w:t>
      </w:r>
      <w:r w:rsidR="000D5DD6">
        <w:t>Trybunał przypomina, że dla swojej ważności, zastrzeżenie musi spełniać następujące warunki: (1) musi być dokonane w momencie podpisania lub ratyfikowania Konwencji; (2) musi dotyczyć konkretnych ustaw obowiązujących w dacie ratyfikacji; (3) nie może być zastrzeżeniem o charakterze</w:t>
      </w:r>
      <w:r w:rsidR="00797013" w:rsidRPr="00797013">
        <w:t xml:space="preserve"> </w:t>
      </w:r>
      <w:r w:rsidR="00797013">
        <w:t>ogólnym</w:t>
      </w:r>
      <w:r w:rsidR="000D5DD6">
        <w:t xml:space="preserve">; (4) musi zawierać krótkie przedstawienie treści ustawy, której dotyczy (zobacz </w:t>
      </w:r>
      <w:proofErr w:type="spellStart"/>
      <w:r w:rsidR="000D5DD6">
        <w:rPr>
          <w:i/>
          <w:color w:val="000000"/>
        </w:rPr>
        <w:t>Põder</w:t>
      </w:r>
      <w:proofErr w:type="spellEnd"/>
      <w:r w:rsidR="000D5DD6">
        <w:rPr>
          <w:i/>
          <w:color w:val="000000"/>
        </w:rPr>
        <w:t xml:space="preserve"> i inni przeciwko Estonii </w:t>
      </w:r>
      <w:r w:rsidR="000D5DD6">
        <w:rPr>
          <w:color w:val="000000"/>
        </w:rPr>
        <w:t>(</w:t>
      </w:r>
      <w:r w:rsidR="00FA7858">
        <w:rPr>
          <w:color w:val="000000"/>
        </w:rPr>
        <w:t>decyzja</w:t>
      </w:r>
      <w:r w:rsidR="000D5DD6">
        <w:rPr>
          <w:color w:val="000000"/>
        </w:rPr>
        <w:t>), nr 67723/01, ECHR 2005</w:t>
      </w:r>
      <w:r w:rsidR="000D5DD6">
        <w:noBreakHyphen/>
      </w:r>
      <w:r w:rsidR="000D5DD6">
        <w:rPr>
          <w:color w:val="000000"/>
        </w:rPr>
        <w:t xml:space="preserve">VIII, i </w:t>
      </w:r>
      <w:proofErr w:type="spellStart"/>
      <w:r w:rsidR="000D5DD6">
        <w:rPr>
          <w:i/>
        </w:rPr>
        <w:t>Liepājnieks</w:t>
      </w:r>
      <w:proofErr w:type="spellEnd"/>
      <w:r w:rsidR="000D5DD6">
        <w:rPr>
          <w:i/>
        </w:rPr>
        <w:t xml:space="preserve"> przeciwko Łotwie </w:t>
      </w:r>
      <w:r w:rsidR="000D5DD6">
        <w:t>(</w:t>
      </w:r>
      <w:r w:rsidR="00FA7858">
        <w:t>decyzja</w:t>
      </w:r>
      <w:r w:rsidR="000D5DD6">
        <w:t xml:space="preserve">), nr 37586/06, </w:t>
      </w:r>
      <w:r w:rsidR="007E48CB">
        <w:t>§</w:t>
      </w:r>
      <w:r w:rsidR="000D5DD6">
        <w:t xml:space="preserve"> 45, 2 listopada 2010</w:t>
      </w:r>
      <w:r w:rsidR="007E48CB">
        <w:t xml:space="preserve"> roku</w:t>
      </w:r>
      <w:r w:rsidR="000D5DD6">
        <w:t>).</w:t>
      </w:r>
    </w:p>
    <w:p w14:paraId="59FB4EE5" w14:textId="0A86CA69" w:rsidR="000D5DD6" w:rsidRDefault="00346F6F" w:rsidP="000D5DD6">
      <w:pPr>
        <w:pStyle w:val="ECHRPara"/>
      </w:pPr>
      <w:fldSimple w:instr=" SEQ level0 \*arabic ">
        <w:r w:rsidR="00AB4482">
          <w:rPr>
            <w:noProof/>
          </w:rPr>
          <w:t>208</w:t>
        </w:r>
      </w:fldSimple>
      <w:r w:rsidR="001C411D">
        <w:t>. </w:t>
      </w:r>
      <w:r w:rsidR="000D5DD6">
        <w:t>Trybunał miał ok</w:t>
      </w:r>
      <w:r w:rsidR="008D6CEC">
        <w:t>azję podkreślić, że artykuł 57 ust.</w:t>
      </w:r>
      <w:r w:rsidR="000D5DD6">
        <w:t xml:space="preserve"> 1 Konwencji wymaga „precyzji i jasności” od U</w:t>
      </w:r>
      <w:r w:rsidR="00797013">
        <w:t xml:space="preserve">kładających się </w:t>
      </w:r>
      <w:r w:rsidR="000D5DD6">
        <w:t xml:space="preserve">Państw, a </w:t>
      </w:r>
      <w:r w:rsidR="00797013">
        <w:t xml:space="preserve">w zakresie, w jakim wymaga, </w:t>
      </w:r>
      <w:r w:rsidR="000D5DD6">
        <w:t xml:space="preserve">by zastrzeżenie </w:t>
      </w:r>
      <w:r w:rsidR="00797013">
        <w:t>zawierało</w:t>
      </w:r>
      <w:r w:rsidR="000D5DD6">
        <w:t xml:space="preserve"> </w:t>
      </w:r>
      <w:r w:rsidR="000D5DD6" w:rsidRPr="00C520BD">
        <w:t>krótkie</w:t>
      </w:r>
      <w:r w:rsidR="00DF5D9C">
        <w:t xml:space="preserve"> </w:t>
      </w:r>
      <w:r w:rsidR="000D5DD6">
        <w:t>przedstawienie</w:t>
      </w:r>
      <w:r w:rsidR="005835B9">
        <w:t xml:space="preserve"> treści</w:t>
      </w:r>
      <w:r w:rsidR="00797013">
        <w:t xml:space="preserve"> ustawy, postanowienie to nie stanowi wyłącznie </w:t>
      </w:r>
      <w:r w:rsidR="000D5DD6">
        <w:t xml:space="preserve">„czysto formalnego wymogu”, lecz </w:t>
      </w:r>
      <w:r w:rsidR="00797013">
        <w:t>określa</w:t>
      </w:r>
      <w:r w:rsidR="000D5DD6">
        <w:t xml:space="preserve"> „istotny warunek</w:t>
      </w:r>
      <w:r w:rsidR="00797013">
        <w:t xml:space="preserve"> materialny</w:t>
      </w:r>
      <w:r w:rsidR="000D5DD6">
        <w:t xml:space="preserve"> stanowiący czynnik dowodowy i przyczyniający się do zapewnienia prawnej pewności” (zobacz </w:t>
      </w:r>
      <w:proofErr w:type="spellStart"/>
      <w:r w:rsidR="000D5DD6">
        <w:rPr>
          <w:i/>
        </w:rPr>
        <w:t>Belilos</w:t>
      </w:r>
      <w:proofErr w:type="spellEnd"/>
      <w:r w:rsidR="000D5DD6">
        <w:rPr>
          <w:i/>
        </w:rPr>
        <w:t xml:space="preserve"> przeciwko Szwajcarii</w:t>
      </w:r>
      <w:r w:rsidR="000D5DD6">
        <w:t xml:space="preserve">, 29 kwietnia 1988, </w:t>
      </w:r>
      <w:r w:rsidR="007E48CB">
        <w:t>§§</w:t>
      </w:r>
      <w:r w:rsidR="000D5DD6">
        <w:t xml:space="preserve"> 55 i 59, Seria A nr 132; </w:t>
      </w:r>
      <w:r w:rsidR="000D5DD6">
        <w:rPr>
          <w:i/>
        </w:rPr>
        <w:t>Weber przeciwko Szwajcarii</w:t>
      </w:r>
      <w:r w:rsidR="000D5DD6">
        <w:t xml:space="preserve">, 22 maja 1990, </w:t>
      </w:r>
      <w:r w:rsidR="007E48CB">
        <w:t>§</w:t>
      </w:r>
      <w:r w:rsidR="000D5DD6">
        <w:t xml:space="preserve"> 38, Seria A nr 177; oraz </w:t>
      </w:r>
      <w:proofErr w:type="spellStart"/>
      <w:r w:rsidR="000D5DD6">
        <w:rPr>
          <w:i/>
        </w:rPr>
        <w:t>Eisenstecken</w:t>
      </w:r>
      <w:proofErr w:type="spellEnd"/>
      <w:r w:rsidR="000D5DD6">
        <w:t xml:space="preserve">, </w:t>
      </w:r>
      <w:r w:rsidR="00A63E4A" w:rsidRPr="00A63E4A">
        <w:rPr>
          <w:i/>
        </w:rPr>
        <w:t>op. cit.</w:t>
      </w:r>
      <w:r w:rsidR="000D5DD6">
        <w:t xml:space="preserve">, </w:t>
      </w:r>
      <w:r w:rsidR="007E48CB">
        <w:t>§</w:t>
      </w:r>
      <w:r w:rsidR="000D5DD6">
        <w:t xml:space="preserve"> 24).</w:t>
      </w:r>
    </w:p>
    <w:p w14:paraId="190E9ACF" w14:textId="6AB6AA45" w:rsidR="000D5DD6" w:rsidRPr="00110749" w:rsidRDefault="00346F6F" w:rsidP="000D5DD6">
      <w:pPr>
        <w:pStyle w:val="ECHRPara"/>
      </w:pPr>
      <w:fldSimple w:instr=" SEQ level0 \*arabic ">
        <w:r w:rsidR="00AB4482">
          <w:rPr>
            <w:noProof/>
          </w:rPr>
          <w:t>209</w:t>
        </w:r>
      </w:fldSimple>
      <w:r w:rsidR="008D6CEC">
        <w:t>.</w:t>
      </w:r>
      <w:r w:rsidR="000D5DD6">
        <w:t> Mówiąc o „zastrzeżeniu o charakterze</w:t>
      </w:r>
      <w:r w:rsidR="00797013">
        <w:t xml:space="preserve"> ogólnym</w:t>
      </w:r>
      <w:r w:rsidR="000D5DD6">
        <w:t>”, artykuł 57 ma na myśli, w szczególności, zastrzeżenie sformułowane w sposób na tyle ogólny lub szeroki, że nie ma możliwości ustalenia jego dokładnego znaczenia i zakresu. Treść oświadczenia musi umożliwiać stwierdzenie zakresu zobowiązania U</w:t>
      </w:r>
      <w:r w:rsidR="00797013">
        <w:t>kładającego</w:t>
      </w:r>
      <w:r w:rsidR="000D5DD6">
        <w:t xml:space="preserve"> się Państwa, a w szczególności ustalenie, do jakiej kategorii zalicza się spór, a ponadto nie może być otwarte na różne interpretacje (zobacz </w:t>
      </w:r>
      <w:proofErr w:type="spellStart"/>
      <w:r w:rsidR="000D5DD6">
        <w:rPr>
          <w:i/>
        </w:rPr>
        <w:t>Belilos</w:t>
      </w:r>
      <w:proofErr w:type="spellEnd"/>
      <w:r w:rsidR="000D5DD6">
        <w:t xml:space="preserve">, </w:t>
      </w:r>
      <w:r w:rsidR="00A63E4A" w:rsidRPr="00A63E4A">
        <w:rPr>
          <w:i/>
        </w:rPr>
        <w:t>op. cit.</w:t>
      </w:r>
      <w:r w:rsidR="000D5DD6">
        <w:t xml:space="preserve">, </w:t>
      </w:r>
      <w:r w:rsidR="007E48CB">
        <w:t>§</w:t>
      </w:r>
      <w:r w:rsidR="000D5DD6">
        <w:t> 55).</w:t>
      </w:r>
    </w:p>
    <w:p w14:paraId="6055B517" w14:textId="30225189" w:rsidR="000D5DD6" w:rsidRDefault="00346F6F" w:rsidP="000D5DD6">
      <w:pPr>
        <w:pStyle w:val="ECHRPara"/>
      </w:pPr>
      <w:fldSimple w:instr=" SEQ level0 \*arabic ">
        <w:r w:rsidR="00AB4482">
          <w:rPr>
            <w:noProof/>
          </w:rPr>
          <w:t>210</w:t>
        </w:r>
      </w:fldSimple>
      <w:r w:rsidR="008D6CEC">
        <w:t>. </w:t>
      </w:r>
      <w:r w:rsidR="000D5DD6">
        <w:t xml:space="preserve">W niniejszej sprawie, Trybunał zauważa, że przedmiotowe zastrzeżenie nie </w:t>
      </w:r>
      <w:r w:rsidR="007A67EE">
        <w:t xml:space="preserve">zawiera </w:t>
      </w:r>
      <w:r w:rsidR="000D5DD6" w:rsidRPr="00C520BD">
        <w:t>„krótkiego przedstawienia</w:t>
      </w:r>
      <w:r w:rsidR="000D5DD6">
        <w:t>” ustawy lub</w:t>
      </w:r>
      <w:r w:rsidR="007A67EE">
        <w:t xml:space="preserve"> ustaw</w:t>
      </w:r>
      <w:r w:rsidR="000D5DD6">
        <w:t>, które są rzekomo niezgodne z artykułem 4 Protokołu 7. Można wywnioskować z</w:t>
      </w:r>
      <w:r w:rsidR="007A67EE">
        <w:t>e sformułowania</w:t>
      </w:r>
      <w:r w:rsidR="000D5DD6">
        <w:t xml:space="preserve"> zastrzeżenia, że Włochy zamierzały wyłączyć z zakresu tego przepisu wszys</w:t>
      </w:r>
      <w:r w:rsidR="008D6CEC">
        <w:t>tkie przestępstwa i postępowania</w:t>
      </w:r>
      <w:r w:rsidR="000D5DD6">
        <w:t>, które nie zostały sklasyfikowane jako „karne” zgodnie z prawem włoskim. Jednakże, zastrzeżenie, które nie odnosi się lub nie wymienia tych szczególnych postanowień włoskiego porządku prawnego, które wykluczaj</w:t>
      </w:r>
      <w:r w:rsidR="008D6CEC">
        <w:t>ą przestępstwa lub postępowania</w:t>
      </w:r>
      <w:r w:rsidR="000D5DD6">
        <w:t xml:space="preserve"> z zakresu artykułu 4 Protokołu nr 7, nie daje wystarczającej gwarancji, że nie wychodzi poza zakres przepisów wyraźn</w:t>
      </w:r>
      <w:r w:rsidR="008D6CEC">
        <w:t>ie wyłączonych przez U</w:t>
      </w:r>
      <w:r w:rsidR="00797013">
        <w:t>kładające</w:t>
      </w:r>
      <w:r w:rsidR="000D5DD6">
        <w:t xml:space="preserve"> się Państwo (zobacz, </w:t>
      </w:r>
      <w:r w:rsidR="000D5DD6" w:rsidRPr="007A67EE">
        <w:rPr>
          <w:i/>
        </w:rPr>
        <w:t>mutatis mutandis</w:t>
      </w:r>
      <w:r w:rsidR="000D5DD6">
        <w:t xml:space="preserve">, </w:t>
      </w:r>
      <w:proofErr w:type="spellStart"/>
      <w:r w:rsidR="000D5DD6" w:rsidRPr="007A67EE">
        <w:rPr>
          <w:i/>
        </w:rPr>
        <w:t>Chorherr</w:t>
      </w:r>
      <w:proofErr w:type="spellEnd"/>
      <w:r w:rsidR="000D5DD6" w:rsidRPr="007A67EE">
        <w:rPr>
          <w:i/>
        </w:rPr>
        <w:t xml:space="preserve"> przeciwko Austrii</w:t>
      </w:r>
      <w:r w:rsidR="000D5DD6">
        <w:t>, 25 sierpnia 1993</w:t>
      </w:r>
      <w:r w:rsidR="007E48CB">
        <w:t xml:space="preserve"> roku</w:t>
      </w:r>
      <w:r w:rsidR="000D5DD6">
        <w:t xml:space="preserve">, </w:t>
      </w:r>
      <w:r w:rsidR="007E48CB">
        <w:t>§</w:t>
      </w:r>
      <w:r w:rsidR="000D5DD6">
        <w:t xml:space="preserve"> 20, Seria A nr 266</w:t>
      </w:r>
      <w:r w:rsidR="000D5DD6">
        <w:noBreakHyphen/>
        <w:t xml:space="preserve">B; </w:t>
      </w:r>
      <w:proofErr w:type="spellStart"/>
      <w:r w:rsidR="000D5DD6" w:rsidRPr="007A67EE">
        <w:rPr>
          <w:i/>
        </w:rPr>
        <w:t>Gradinger</w:t>
      </w:r>
      <w:proofErr w:type="spellEnd"/>
      <w:r w:rsidR="000D5DD6" w:rsidRPr="007A67EE">
        <w:rPr>
          <w:i/>
        </w:rPr>
        <w:t xml:space="preserve"> przeciwko Austrii</w:t>
      </w:r>
      <w:r w:rsidR="000D5DD6">
        <w:t>, 23 października 1995</w:t>
      </w:r>
      <w:r w:rsidR="007E48CB">
        <w:t xml:space="preserve"> roku</w:t>
      </w:r>
      <w:r w:rsidR="000D5DD6">
        <w:t xml:space="preserve">, </w:t>
      </w:r>
      <w:r w:rsidR="007E48CB">
        <w:t>§</w:t>
      </w:r>
      <w:r w:rsidR="000D5DD6">
        <w:t> 51, Seria A nr 328</w:t>
      </w:r>
      <w:r w:rsidR="000D5DD6">
        <w:noBreakHyphen/>
        <w:t xml:space="preserve">C; oraz </w:t>
      </w:r>
      <w:proofErr w:type="spellStart"/>
      <w:r w:rsidR="000D5DD6" w:rsidRPr="007A67EE">
        <w:rPr>
          <w:i/>
        </w:rPr>
        <w:t>Eisenstecken</w:t>
      </w:r>
      <w:proofErr w:type="spellEnd"/>
      <w:r w:rsidR="000D5DD6">
        <w:t xml:space="preserve">, </w:t>
      </w:r>
      <w:r w:rsidR="00A63E4A" w:rsidRPr="00A63E4A">
        <w:rPr>
          <w:i/>
        </w:rPr>
        <w:t>op. cit.</w:t>
      </w:r>
      <w:r w:rsidR="000D5DD6">
        <w:t xml:space="preserve">, </w:t>
      </w:r>
      <w:r w:rsidR="007E48CB">
        <w:t>§</w:t>
      </w:r>
      <w:r w:rsidR="000D5DD6">
        <w:t xml:space="preserve"> 29; zobacz również, przeciwnie, </w:t>
      </w:r>
      <w:proofErr w:type="spellStart"/>
      <w:r w:rsidR="000D5DD6" w:rsidRPr="007A67EE">
        <w:rPr>
          <w:i/>
        </w:rPr>
        <w:t>Kozlova</w:t>
      </w:r>
      <w:proofErr w:type="spellEnd"/>
      <w:r w:rsidR="000D5DD6" w:rsidRPr="007A67EE">
        <w:rPr>
          <w:i/>
        </w:rPr>
        <w:t xml:space="preserve"> i </w:t>
      </w:r>
      <w:proofErr w:type="spellStart"/>
      <w:r w:rsidR="000D5DD6" w:rsidRPr="007A67EE">
        <w:rPr>
          <w:i/>
        </w:rPr>
        <w:t>Smirnova</w:t>
      </w:r>
      <w:proofErr w:type="spellEnd"/>
      <w:r w:rsidR="000D5DD6" w:rsidRPr="007A67EE">
        <w:rPr>
          <w:i/>
        </w:rPr>
        <w:t xml:space="preserve"> przeciwko Łotwie</w:t>
      </w:r>
      <w:r w:rsidR="000D5DD6">
        <w:t xml:space="preserve"> (</w:t>
      </w:r>
      <w:r w:rsidR="00FA7858">
        <w:t>decyzja</w:t>
      </w:r>
      <w:r w:rsidR="000D5DD6">
        <w:t>), nr 57381/00, ECHR 2001</w:t>
      </w:r>
      <w:r w:rsidR="000D5DD6">
        <w:noBreakHyphen/>
        <w:t xml:space="preserve">XI). W tym </w:t>
      </w:r>
      <w:r w:rsidR="007A67EE">
        <w:t>względzie</w:t>
      </w:r>
      <w:r w:rsidR="000D5DD6">
        <w:t xml:space="preserve">, Trybunał podkreśla, że nawet znaczące trudności </w:t>
      </w:r>
      <w:r w:rsidR="007A67EE">
        <w:t xml:space="preserve">praktyczne </w:t>
      </w:r>
      <w:r w:rsidR="000D5DD6">
        <w:t xml:space="preserve">we wskazaniu i opisaniu wszystkich przepisów </w:t>
      </w:r>
      <w:r w:rsidR="007A67EE">
        <w:t>objętych zastrzeżeniem</w:t>
      </w:r>
      <w:r w:rsidR="000D5DD6">
        <w:t xml:space="preserve"> nie mogą uzasadnić zaniedbania wypełnienia warunków określonych w artykule 57 Konwencji (zobacz </w:t>
      </w:r>
      <w:proofErr w:type="spellStart"/>
      <w:r w:rsidR="000D5DD6">
        <w:rPr>
          <w:i/>
        </w:rPr>
        <w:t>Liepājnieks</w:t>
      </w:r>
      <w:proofErr w:type="spellEnd"/>
      <w:r w:rsidR="000D5DD6">
        <w:t xml:space="preserve">, </w:t>
      </w:r>
      <w:r w:rsidR="004E4E66" w:rsidRPr="004E4E66">
        <w:rPr>
          <w:i/>
        </w:rPr>
        <w:t>op. cit.</w:t>
      </w:r>
      <w:r w:rsidR="000D5DD6">
        <w:t xml:space="preserve">, </w:t>
      </w:r>
      <w:r w:rsidR="007E48CB">
        <w:t>§</w:t>
      </w:r>
      <w:r w:rsidR="000D5DD6">
        <w:t xml:space="preserve"> 54).</w:t>
      </w:r>
    </w:p>
    <w:p w14:paraId="53110E8B" w14:textId="572D3553" w:rsidR="00EB4194" w:rsidRDefault="00346F6F" w:rsidP="000D5DD6">
      <w:pPr>
        <w:pStyle w:val="ECHRPara"/>
      </w:pPr>
      <w:fldSimple w:instr=" SEQ level0 \r211 ">
        <w:r w:rsidR="00AB4482">
          <w:rPr>
            <w:noProof/>
          </w:rPr>
          <w:t>211</w:t>
        </w:r>
      </w:fldSimple>
      <w:r w:rsidR="00ED01AE">
        <w:t>. </w:t>
      </w:r>
      <w:r w:rsidR="000D5DD6">
        <w:t>W konsekwencji, zastrzeżenie poczynione przez Włochy n</w:t>
      </w:r>
      <w:r w:rsidR="00EA1C8A">
        <w:t>ie spełnia wymogów artykułu 57 ust.</w:t>
      </w:r>
      <w:r w:rsidR="000D5DD6">
        <w:t xml:space="preserve"> 2 Konwencji. Wniosek ten jest wystarczającą podstawą, by uznać zastrzeżenie za nieważne, bez konieczności dalszego badania, czy </w:t>
      </w:r>
      <w:r w:rsidR="004E4E66">
        <w:t xml:space="preserve">zastrzeżenie to było zgodne </w:t>
      </w:r>
      <w:r w:rsidR="000D5DD6">
        <w:t xml:space="preserve">z innymi wymaganiami artykułu 57 (zobacz, </w:t>
      </w:r>
      <w:r w:rsidR="000D5DD6">
        <w:rPr>
          <w:i/>
        </w:rPr>
        <w:t>mutatis mutandis</w:t>
      </w:r>
      <w:r w:rsidR="000D5DD6">
        <w:t xml:space="preserve">, </w:t>
      </w:r>
      <w:proofErr w:type="spellStart"/>
      <w:r w:rsidR="000D5DD6">
        <w:rPr>
          <w:i/>
        </w:rPr>
        <w:t>Eisenstecken</w:t>
      </w:r>
      <w:proofErr w:type="spellEnd"/>
      <w:r w:rsidR="000D5DD6">
        <w:t xml:space="preserve">, </w:t>
      </w:r>
      <w:r w:rsidR="00A63E4A" w:rsidRPr="00A63E4A">
        <w:rPr>
          <w:i/>
        </w:rPr>
        <w:t>op. cit.</w:t>
      </w:r>
      <w:r w:rsidR="000D5DD6">
        <w:t xml:space="preserve">, </w:t>
      </w:r>
      <w:r w:rsidR="007E48CB">
        <w:t>§</w:t>
      </w:r>
      <w:r w:rsidR="000D5DD6">
        <w:t> 30).</w:t>
      </w:r>
    </w:p>
    <w:p w14:paraId="3837452A" w14:textId="77777777" w:rsidR="00EB4194" w:rsidRPr="00EB4194" w:rsidRDefault="00EB4194" w:rsidP="00EB4194">
      <w:pPr>
        <w:pStyle w:val="ECHRHeading3"/>
      </w:pPr>
      <w:r w:rsidRPr="0004513A">
        <w:t>2.  </w:t>
      </w:r>
      <w:r w:rsidRPr="00EB4194">
        <w:t xml:space="preserve">Inne przesłanki niedopuszczalności </w:t>
      </w:r>
    </w:p>
    <w:p w14:paraId="3B65313A" w14:textId="7A6BE0A6" w:rsidR="00EB4194" w:rsidRPr="00110749" w:rsidRDefault="00EB4194" w:rsidP="000D5DD6">
      <w:pPr>
        <w:pStyle w:val="ECHRPara"/>
      </w:pPr>
      <w:r>
        <w:fldChar w:fldCharType="begin"/>
      </w:r>
      <w:r w:rsidRPr="00EB4194">
        <w:instrText xml:space="preserve"> SEQ level0 \*arabic </w:instrText>
      </w:r>
      <w:r>
        <w:fldChar w:fldCharType="separate"/>
      </w:r>
      <w:r w:rsidRPr="00EB4194">
        <w:rPr>
          <w:noProof/>
        </w:rPr>
        <w:t>212</w:t>
      </w:r>
      <w:r>
        <w:fldChar w:fldCharType="end"/>
      </w:r>
      <w:r w:rsidRPr="00EB4194">
        <w:t xml:space="preserve">.  Trybunał stwierdza, że </w:t>
      </w:r>
      <w:r w:rsidR="005835B9">
        <w:t xml:space="preserve">skarga w części dotyczącej powyższego  zarzutu </w:t>
      </w:r>
      <w:r w:rsidRPr="00EB4194">
        <w:t>nie jest w sposób oczywisty nie</w:t>
      </w:r>
      <w:r w:rsidR="00C520BD">
        <w:t>uzasadniona</w:t>
      </w:r>
      <w:r w:rsidRPr="00EB4194">
        <w:t xml:space="preserve"> w rozumieniu art. </w:t>
      </w:r>
      <w:r>
        <w:t xml:space="preserve">35 ust. 3 lit. a) Konwencji. Nie dostrzega również żadnych innych podstaw do uznania </w:t>
      </w:r>
      <w:r w:rsidR="005835B9">
        <w:t>jej za niedopuszczalną</w:t>
      </w:r>
      <w:r>
        <w:t xml:space="preserve">. </w:t>
      </w:r>
      <w:r w:rsidRPr="0004513A">
        <w:t xml:space="preserve">Należy więc uznać </w:t>
      </w:r>
      <w:r w:rsidR="005835B9">
        <w:t>ją za dopuszczalną</w:t>
      </w:r>
      <w:r w:rsidRPr="0004513A">
        <w:t xml:space="preserve">. </w:t>
      </w:r>
    </w:p>
    <w:p w14:paraId="341E5729" w14:textId="13AF6EBD" w:rsidR="00AB4482" w:rsidRDefault="000D5DD6" w:rsidP="000D5DD6">
      <w:pPr>
        <w:pStyle w:val="ECHRHeading2"/>
      </w:pPr>
      <w:r>
        <w:t>B.  </w:t>
      </w:r>
      <w:r w:rsidR="00BB03BA">
        <w:t>Przedmiot</w:t>
      </w:r>
      <w:r>
        <w:t xml:space="preserve"> sprawy</w:t>
      </w:r>
    </w:p>
    <w:p w14:paraId="0B02989D" w14:textId="77777777" w:rsidR="000D5DD6" w:rsidRPr="00110749" w:rsidRDefault="000D5DD6" w:rsidP="000D5DD6">
      <w:pPr>
        <w:pStyle w:val="ECHRHeading3"/>
      </w:pPr>
      <w:r>
        <w:t>1.  Stanowiska stron</w:t>
      </w:r>
    </w:p>
    <w:p w14:paraId="7DA574E8" w14:textId="77777777" w:rsidR="000D5DD6" w:rsidRPr="00110749" w:rsidRDefault="000D5DD6" w:rsidP="000D5DD6">
      <w:pPr>
        <w:pStyle w:val="ECHRHeading4"/>
      </w:pPr>
      <w:r>
        <w:t>(a)  Skarżący</w:t>
      </w:r>
    </w:p>
    <w:p w14:paraId="4F82D91F" w14:textId="79CB31D5" w:rsidR="000D5DD6" w:rsidRPr="00110749" w:rsidRDefault="00346F6F" w:rsidP="000D5DD6">
      <w:pPr>
        <w:pStyle w:val="ECHRPara"/>
      </w:pPr>
      <w:fldSimple w:instr=" SEQ level0 \r213 ">
        <w:r w:rsidR="00AB4482">
          <w:rPr>
            <w:noProof/>
          </w:rPr>
          <w:t>213</w:t>
        </w:r>
      </w:fldSimple>
      <w:r w:rsidR="00EA1C8A">
        <w:t>. </w:t>
      </w:r>
      <w:r w:rsidR="000D5DD6">
        <w:t xml:space="preserve">Skarżący wskazali, że </w:t>
      </w:r>
      <w:r w:rsidR="00297C57">
        <w:t xml:space="preserve">nałożono </w:t>
      </w:r>
      <w:r w:rsidR="00967E30">
        <w:t>na</w:t>
      </w:r>
      <w:r w:rsidR="00297C57">
        <w:t xml:space="preserve"> nich sankcję</w:t>
      </w:r>
      <w:r w:rsidR="000D5DD6">
        <w:t xml:space="preserve"> karną </w:t>
      </w:r>
      <w:r w:rsidR="00297C57">
        <w:t>po przeprowadzeniu</w:t>
      </w:r>
      <w:r w:rsidR="000D5DD6">
        <w:t xml:space="preserve"> postępowania przed CONSOB, a także, że </w:t>
      </w:r>
      <w:r w:rsidR="00297C57">
        <w:t>prowadzone było wobec nich postępowanie</w:t>
      </w:r>
      <w:r w:rsidR="000D5DD6">
        <w:t xml:space="preserve"> karn</w:t>
      </w:r>
      <w:r w:rsidR="00297C57">
        <w:t>e</w:t>
      </w:r>
      <w:r w:rsidR="000D5DD6">
        <w:t xml:space="preserve"> z tytułu takich samych okoliczności.</w:t>
      </w:r>
    </w:p>
    <w:p w14:paraId="69D06961" w14:textId="47DEC467" w:rsidR="000D5DD6" w:rsidRPr="00110749" w:rsidRDefault="00346F6F" w:rsidP="000D5DD6">
      <w:pPr>
        <w:pStyle w:val="ECHRPara"/>
      </w:pPr>
      <w:fldSimple w:instr=" SEQ level0 \*arabic ">
        <w:r w:rsidR="00AB4482">
          <w:rPr>
            <w:noProof/>
          </w:rPr>
          <w:t>214</w:t>
        </w:r>
      </w:fldSimple>
      <w:r w:rsidR="002B6B9F">
        <w:t>. </w:t>
      </w:r>
      <w:r w:rsidR="000D5DD6">
        <w:t>Jeżeli chodzi o kwestię, czy postępowanie przed CONSOB oraz postępowanie karne dotyczyły tego samego „</w:t>
      </w:r>
      <w:r w:rsidR="000D5DD6" w:rsidRPr="005835B9">
        <w:t>przestępstwa”,</w:t>
      </w:r>
      <w:r w:rsidR="000D5DD6">
        <w:t xml:space="preserve"> skarżący wskazali na zasady określone przez Wielką Izbę w przypadku </w:t>
      </w:r>
      <w:proofErr w:type="spellStart"/>
      <w:r w:rsidR="000D5DD6">
        <w:rPr>
          <w:i/>
        </w:rPr>
        <w:t>Sergeya</w:t>
      </w:r>
      <w:proofErr w:type="spellEnd"/>
      <w:r w:rsidR="000D5DD6">
        <w:rPr>
          <w:i/>
        </w:rPr>
        <w:t xml:space="preserve"> </w:t>
      </w:r>
      <w:proofErr w:type="spellStart"/>
      <w:r w:rsidR="000D5DD6">
        <w:rPr>
          <w:i/>
        </w:rPr>
        <w:t>Zolotukhina</w:t>
      </w:r>
      <w:proofErr w:type="spellEnd"/>
      <w:r w:rsidR="000D5DD6">
        <w:rPr>
          <w:i/>
        </w:rPr>
        <w:t xml:space="preserve"> przeciwko Rosji </w:t>
      </w:r>
      <w:r w:rsidR="000D5DD6">
        <w:t>(</w:t>
      </w:r>
      <w:r w:rsidR="00347306">
        <w:t>[Wielka Izba]</w:t>
      </w:r>
      <w:r w:rsidR="000D5DD6">
        <w:t>, nr 14939/03, 10 lutego 2009</w:t>
      </w:r>
      <w:r w:rsidR="007E48CB">
        <w:t xml:space="preserve"> roku</w:t>
      </w:r>
      <w:r w:rsidR="000D5DD6">
        <w:t xml:space="preserve">), w której Trybunał doszedł do wniosku, że zabrania się karania osoby za drugie „przestępstwo” w zakresie, w jakim wynika ono z identycznych </w:t>
      </w:r>
      <w:r w:rsidR="00297C57">
        <w:t xml:space="preserve">faktów </w:t>
      </w:r>
      <w:r w:rsidR="000D5DD6">
        <w:t>lub</w:t>
      </w:r>
      <w:r w:rsidR="00297C57">
        <w:t xml:space="preserve"> faktów</w:t>
      </w:r>
      <w:r w:rsidR="000D5DD6">
        <w:t xml:space="preserve">, które były </w:t>
      </w:r>
      <w:r w:rsidR="00E622DF">
        <w:t>co do istoty</w:t>
      </w:r>
      <w:r w:rsidR="000D5DD6">
        <w:t xml:space="preserve"> t</w:t>
      </w:r>
      <w:r w:rsidR="00F822D9">
        <w:t>aki</w:t>
      </w:r>
      <w:r w:rsidR="000D5DD6">
        <w:t>e same. Ich zdaniem, to właśnie miało miejsce w ich sprawie.</w:t>
      </w:r>
    </w:p>
    <w:p w14:paraId="7B679663" w14:textId="03439EBC" w:rsidR="000D5DD6" w:rsidRPr="00110749" w:rsidRDefault="000D5DD6" w:rsidP="000D5DD6">
      <w:pPr>
        <w:pStyle w:val="ECHRPara"/>
      </w:pPr>
      <w:r>
        <w:t xml:space="preserve">W związku z tym, skarżący oświadczyli, że mimo iż </w:t>
      </w:r>
      <w:r w:rsidR="00967E30">
        <w:t>ETS</w:t>
      </w:r>
      <w:r>
        <w:t xml:space="preserve"> przyznał faktycznie, że artykuł 50 Karty Praw </w:t>
      </w:r>
      <w:r w:rsidR="00562A38">
        <w:t>Podstawowych nie wyłączył możliwości państw c</w:t>
      </w:r>
      <w:r>
        <w:t xml:space="preserve">złonkowskich do sukcesywnego nakładania, z tytułu tych samych czynów </w:t>
      </w:r>
      <w:r w:rsidR="00562A38">
        <w:t>polegających na niestosowaniu</w:t>
      </w:r>
      <w:r>
        <w:t xml:space="preserve"> się do zobowiązań sprawozdawczych w odniesieniu</w:t>
      </w:r>
      <w:r w:rsidR="00562A38">
        <w:t xml:space="preserve"> do podatku od wartości dodanej</w:t>
      </w:r>
      <w:r>
        <w:t xml:space="preserve">, sankcji podatkowych i sankcji karnych, jest to możliwe </w:t>
      </w:r>
      <w:r w:rsidR="00562A38">
        <w:t>tylko pod warunkiem, że pierwsza sankcja nie ma</w:t>
      </w:r>
      <w:r>
        <w:t xml:space="preserve"> charakteru karnego (zobacz </w:t>
      </w:r>
      <w:proofErr w:type="spellStart"/>
      <w:r>
        <w:rPr>
          <w:i/>
        </w:rPr>
        <w:t>Åklagaren</w:t>
      </w:r>
      <w:proofErr w:type="spellEnd"/>
      <w:r>
        <w:rPr>
          <w:i/>
        </w:rPr>
        <w:t xml:space="preserve"> przeciwko Hansowi </w:t>
      </w:r>
      <w:proofErr w:type="spellStart"/>
      <w:r>
        <w:rPr>
          <w:i/>
        </w:rPr>
        <w:t>Åkerbergowi</w:t>
      </w:r>
      <w:proofErr w:type="spellEnd"/>
      <w:r>
        <w:rPr>
          <w:i/>
        </w:rPr>
        <w:t xml:space="preserve"> </w:t>
      </w:r>
      <w:proofErr w:type="spellStart"/>
      <w:r>
        <w:rPr>
          <w:i/>
        </w:rPr>
        <w:t>Franssonowi</w:t>
      </w:r>
      <w:proofErr w:type="spellEnd"/>
      <w:r>
        <w:t xml:space="preserve">, </w:t>
      </w:r>
      <w:r w:rsidR="004E4E66" w:rsidRPr="004E4E66">
        <w:rPr>
          <w:i/>
        </w:rPr>
        <w:t>op. cit.</w:t>
      </w:r>
      <w:r>
        <w:t xml:space="preserve">, </w:t>
      </w:r>
      <w:r w:rsidR="007E48CB">
        <w:t>§</w:t>
      </w:r>
      <w:r>
        <w:t xml:space="preserve"> 1 </w:t>
      </w:r>
      <w:r w:rsidR="00297C57">
        <w:t>sentencji wyroku</w:t>
      </w:r>
      <w:r>
        <w:t xml:space="preserve">); jednakże, ich zdaniem, warunek ten </w:t>
      </w:r>
      <w:r w:rsidR="0017725B">
        <w:t xml:space="preserve">nie </w:t>
      </w:r>
      <w:r w:rsidR="000646F8">
        <w:t xml:space="preserve">został spełniony </w:t>
      </w:r>
      <w:r>
        <w:t>w niniejszej sprawie, ponieważ, bez względu na ich formalną klasyfikację w prawie włoskim, sankcje nałożone przez CONSOB miały faktycznie charakter karny w rozumieniu orzecznictwa Trybunału.</w:t>
      </w:r>
    </w:p>
    <w:p w14:paraId="5001403C" w14:textId="77777777" w:rsidR="000D5DD6" w:rsidRPr="00110749" w:rsidRDefault="000D5DD6" w:rsidP="000D5DD6">
      <w:pPr>
        <w:pStyle w:val="ECHRHeading4"/>
      </w:pPr>
      <w:r>
        <w:t>(b)  Rząd</w:t>
      </w:r>
    </w:p>
    <w:p w14:paraId="5B0A29C4" w14:textId="0FF51927" w:rsidR="000D5DD6" w:rsidRPr="00110749" w:rsidRDefault="00346F6F" w:rsidP="000D5DD6">
      <w:pPr>
        <w:pStyle w:val="ECHRPara"/>
      </w:pPr>
      <w:fldSimple w:instr=" SEQ level0 \*arabic ">
        <w:r w:rsidR="00AB4482">
          <w:rPr>
            <w:noProof/>
          </w:rPr>
          <w:t>215</w:t>
        </w:r>
      </w:fldSimple>
      <w:r w:rsidR="00562A38">
        <w:t>. </w:t>
      </w:r>
      <w:r w:rsidR="008561E0">
        <w:t>Powołują</w:t>
      </w:r>
      <w:r w:rsidR="000D5DD6">
        <w:t xml:space="preserve">c się </w:t>
      </w:r>
      <w:r w:rsidR="008561E0">
        <w:t>na argumenty przedstawione</w:t>
      </w:r>
      <w:r w:rsidR="000D5DD6">
        <w:t xml:space="preserve"> w </w:t>
      </w:r>
      <w:r w:rsidR="00753F48">
        <w:t>odniesieniu do artykułu</w:t>
      </w:r>
      <w:r w:rsidR="000D5DD6">
        <w:t xml:space="preserve"> 6 Konwencji, Rząd stwierdził, po pierwsze, że postępowanie przed </w:t>
      </w:r>
      <w:r w:rsidR="000D5DD6">
        <w:lastRenderedPageBreak/>
        <w:t>CONSOB nie dotyczyło „</w:t>
      </w:r>
      <w:r w:rsidR="00753F48">
        <w:t>oskarżenia w sprawie karnej</w:t>
      </w:r>
      <w:r w:rsidR="0017725B">
        <w:t xml:space="preserve">” oraz, że decyzja </w:t>
      </w:r>
      <w:r w:rsidR="000D5DD6">
        <w:t>CONSOB nie miała charakteru „karnego”.</w:t>
      </w:r>
    </w:p>
    <w:bookmarkStart w:id="46" w:name="droitunionautorise"/>
    <w:p w14:paraId="2FF13A97" w14:textId="542D4A91"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216</w:t>
      </w:r>
      <w:r w:rsidRPr="00110749">
        <w:fldChar w:fldCharType="end"/>
      </w:r>
      <w:bookmarkEnd w:id="46"/>
      <w:r w:rsidR="00C51BB0">
        <w:t>.</w:t>
      </w:r>
      <w:r>
        <w:t> Ponadto, prawo Unii Europejskiej wyraźnie dopuszcza korzystanie z podwójnych sankcji (administracyjnych i karnych) w kontekście zwalczania</w:t>
      </w:r>
      <w:r w:rsidR="008561E0">
        <w:t xml:space="preserve"> nadużyć</w:t>
      </w:r>
      <w:r w:rsidR="002430EA">
        <w:t xml:space="preserve"> </w:t>
      </w:r>
      <w:r>
        <w:t xml:space="preserve">na rynkach finansowych. Takie korzystanie stanowiło część </w:t>
      </w:r>
      <w:r w:rsidR="00C51BB0">
        <w:t xml:space="preserve">tradycji </w:t>
      </w:r>
      <w:r>
        <w:t xml:space="preserve">konstytucyjnych wspólnych dla </w:t>
      </w:r>
      <w:r w:rsidR="00C51BB0">
        <w:t>państw c</w:t>
      </w:r>
      <w:r>
        <w:t xml:space="preserve">złonkowskich, w szczególności </w:t>
      </w:r>
      <w:r w:rsidR="00C51BB0">
        <w:t>w</w:t>
      </w:r>
      <w:r>
        <w:t xml:space="preserve"> obszarach takich jak podatki, polityka ochrony środowiska i bezpieczeństwo publiczne. W świetle powyższego, a także w świetle </w:t>
      </w:r>
      <w:r w:rsidR="00C51BB0">
        <w:t>tego, że niektóre p</w:t>
      </w:r>
      <w:r>
        <w:t xml:space="preserve">aństwa nie ratyfikowały Protokołu </w:t>
      </w:r>
      <w:r w:rsidR="00B841DA">
        <w:t xml:space="preserve">nr </w:t>
      </w:r>
      <w:r>
        <w:t xml:space="preserve">7 lub złożyły zastrzeżenia w stosunku do niego, </w:t>
      </w:r>
      <w:r w:rsidR="008561E0">
        <w:t>można uznać</w:t>
      </w:r>
      <w:r>
        <w:t>, że Konwencja nie gwarant</w:t>
      </w:r>
      <w:r w:rsidR="00753F48">
        <w:t>uje</w:t>
      </w:r>
      <w:r>
        <w:t xml:space="preserve"> przestrzegania zasady </w:t>
      </w:r>
      <w:proofErr w:type="spellStart"/>
      <w:r>
        <w:rPr>
          <w:i/>
        </w:rPr>
        <w:t>ne</w:t>
      </w:r>
      <w:proofErr w:type="spellEnd"/>
      <w:r>
        <w:rPr>
          <w:i/>
        </w:rPr>
        <w:t xml:space="preserve"> bis in </w:t>
      </w:r>
      <w:proofErr w:type="spellStart"/>
      <w:r>
        <w:rPr>
          <w:i/>
        </w:rPr>
        <w:t>idem</w:t>
      </w:r>
      <w:proofErr w:type="spellEnd"/>
      <w:r>
        <w:rPr>
          <w:i/>
        </w:rPr>
        <w:t xml:space="preserve"> </w:t>
      </w:r>
      <w:r>
        <w:t xml:space="preserve">w taki sam sposób, w jaki ma to miejsce </w:t>
      </w:r>
      <w:r w:rsidR="00C51BB0">
        <w:t>w odniesieniu do</w:t>
      </w:r>
      <w:r>
        <w:t xml:space="preserve"> innych zasad</w:t>
      </w:r>
      <w:r w:rsidR="008561E0" w:rsidRPr="008561E0">
        <w:t xml:space="preserve"> </w:t>
      </w:r>
      <w:r w:rsidR="008561E0">
        <w:t>podstawowych</w:t>
      </w:r>
      <w:r>
        <w:t>. W związku z powyższym, nie</w:t>
      </w:r>
      <w:r w:rsidR="00F60B82">
        <w:t>prawidłowe</w:t>
      </w:r>
      <w:r>
        <w:t xml:space="preserve"> </w:t>
      </w:r>
      <w:r w:rsidR="00753F48">
        <w:t xml:space="preserve">jest </w:t>
      </w:r>
      <w:r w:rsidR="008C7DEB">
        <w:t>stwierdzenie</w:t>
      </w:r>
      <w:r>
        <w:t xml:space="preserve">, że nałożenie </w:t>
      </w:r>
      <w:r w:rsidR="008561E0">
        <w:t>prawomocnej</w:t>
      </w:r>
      <w:r>
        <w:t xml:space="preserve"> kary</w:t>
      </w:r>
      <w:r w:rsidR="00753F48">
        <w:t xml:space="preserve"> administracyjnej uniemożliwia</w:t>
      </w:r>
      <w:r>
        <w:t xml:space="preserve"> wniesienie oskarżenia na gruncie prawa karnego. W </w:t>
      </w:r>
      <w:r w:rsidR="00753F48">
        <w:t>tym względzie</w:t>
      </w:r>
      <w:r>
        <w:t xml:space="preserve"> Rząd od</w:t>
      </w:r>
      <w:r w:rsidR="00D37997">
        <w:t>wołał</w:t>
      </w:r>
      <w:r>
        <w:t xml:space="preserve"> się do </w:t>
      </w:r>
      <w:r w:rsidR="00D37997">
        <w:t xml:space="preserve">opinii </w:t>
      </w:r>
      <w:r w:rsidR="00753F48">
        <w:t>przedstawionej</w:t>
      </w:r>
      <w:r w:rsidR="00D37997">
        <w:t xml:space="preserve"> przed </w:t>
      </w:r>
      <w:r w:rsidR="00967E30">
        <w:t>ETS</w:t>
      </w:r>
      <w:r w:rsidR="00D37997">
        <w:t xml:space="preserve"> przez</w:t>
      </w:r>
      <w:r>
        <w:t xml:space="preserve"> </w:t>
      </w:r>
      <w:r w:rsidR="00D37997">
        <w:t>Rzecznika</w:t>
      </w:r>
      <w:r w:rsidR="00505CB2">
        <w:t xml:space="preserve"> Generalnego w dniu</w:t>
      </w:r>
      <w:r>
        <w:t xml:space="preserve"> 12 czerwca 2012 roku w cytowanej wyżej sprawie </w:t>
      </w:r>
      <w:proofErr w:type="spellStart"/>
      <w:r>
        <w:rPr>
          <w:i/>
        </w:rPr>
        <w:t>Åklagaren</w:t>
      </w:r>
      <w:proofErr w:type="spellEnd"/>
      <w:r>
        <w:rPr>
          <w:i/>
        </w:rPr>
        <w:t xml:space="preserve"> przeciwko Hansowi </w:t>
      </w:r>
      <w:proofErr w:type="spellStart"/>
      <w:r>
        <w:rPr>
          <w:i/>
        </w:rPr>
        <w:t>Åkerbergowi</w:t>
      </w:r>
      <w:proofErr w:type="spellEnd"/>
      <w:r>
        <w:rPr>
          <w:i/>
        </w:rPr>
        <w:t xml:space="preserve"> </w:t>
      </w:r>
      <w:proofErr w:type="spellStart"/>
      <w:r>
        <w:rPr>
          <w:i/>
        </w:rPr>
        <w:t>Franssonowi</w:t>
      </w:r>
      <w:proofErr w:type="spellEnd"/>
      <w:r>
        <w:t>.</w:t>
      </w:r>
    </w:p>
    <w:bookmarkStart w:id="47" w:name="Gvtartt187185différents"/>
    <w:p w14:paraId="54618C65" w14:textId="68928653"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217</w:t>
      </w:r>
      <w:r w:rsidRPr="00110749">
        <w:fldChar w:fldCharType="end"/>
      </w:r>
      <w:bookmarkEnd w:id="47"/>
      <w:r w:rsidR="00D37997">
        <w:t>. </w:t>
      </w:r>
      <w:r>
        <w:t>W k</w:t>
      </w:r>
      <w:r w:rsidR="00D37997">
        <w:t>ażdym razie, toczące się po</w:t>
      </w:r>
      <w:r>
        <w:t xml:space="preserve">stępowanie karne przeciwko skarżącym nie dotyczyło </w:t>
      </w:r>
      <w:r w:rsidRPr="008561E0">
        <w:t xml:space="preserve">tego samego </w:t>
      </w:r>
      <w:r w:rsidRPr="00902AD8">
        <w:t>przestępstwa,</w:t>
      </w:r>
      <w:r>
        <w:t xml:space="preserve"> za które nałożono sankcje w postępowaniu przed CONSOB. Istniało wyraźne rozróżnienie między przestępstwami określonymi w artykułach 187 </w:t>
      </w:r>
      <w:r>
        <w:rPr>
          <w:i/>
        </w:rPr>
        <w:t xml:space="preserve">ter </w:t>
      </w:r>
      <w:r>
        <w:t>i, odpowiednio, 185 Dekretu Legislacyjnego nr 58 z 1998</w:t>
      </w:r>
      <w:r w:rsidR="007E48CB">
        <w:t xml:space="preserve"> roku</w:t>
      </w:r>
      <w:r>
        <w:t>, ponieważ tylko drugie z nich wymagało istnienia złego zamiaru (gdzie samo zaniedbanie nie było wystarczające) a także</w:t>
      </w:r>
      <w:r w:rsidR="008561E0">
        <w:t>,</w:t>
      </w:r>
      <w:r w:rsidR="00EB77FB">
        <w:t xml:space="preserve"> by rozpowszechniane, fałszywe lub wprowadzające w błąd informacje były w stanie wywołać </w:t>
      </w:r>
      <w:r>
        <w:t>znaczącą zmianę na rynkach finansowych. Ponadto, tylko postępowanie karne może pociągnąć za sobą nałożenie kar obejmujących pozbawienie wolności. Rząd odniósł się do sprawy</w:t>
      </w:r>
      <w:r w:rsidR="007E48CB">
        <w:t xml:space="preserve"> </w:t>
      </w:r>
      <w:r w:rsidR="00EB77FB" w:rsidRPr="00EB77FB">
        <w:rPr>
          <w:i/>
        </w:rPr>
        <w:t>R.</w:t>
      </w:r>
      <w:r>
        <w:rPr>
          <w:i/>
        </w:rPr>
        <w:t xml:space="preserve">T. przeciwko Szwajcarii </w:t>
      </w:r>
      <w:r>
        <w:t>((</w:t>
      </w:r>
      <w:r w:rsidR="00FA7858">
        <w:t>decyzja</w:t>
      </w:r>
      <w:r>
        <w:t>), nr 31982/96, 30 maja 2000</w:t>
      </w:r>
      <w:r w:rsidR="007E48CB">
        <w:t xml:space="preserve"> roku</w:t>
      </w:r>
      <w:r w:rsidR="00EB77FB">
        <w:t>), w której Trybunał stwierdził</w:t>
      </w:r>
      <w:r w:rsidR="00D37997">
        <w:t>, że nałożenie kar przez</w:t>
      </w:r>
      <w:r>
        <w:t xml:space="preserve"> dwa różne organy (jeden administracyjny, a drugi karny) nie było </w:t>
      </w:r>
      <w:r w:rsidR="00EB77FB">
        <w:t>nie</w:t>
      </w:r>
      <w:r>
        <w:t xml:space="preserve">zgodne z artykułem 4 Protokołu </w:t>
      </w:r>
      <w:r w:rsidR="00B841DA">
        <w:t xml:space="preserve">nr </w:t>
      </w:r>
      <w:r>
        <w:t xml:space="preserve">7. W tym względzie, fakt, że jedno i to samo postępowanie może naruszyć zarówno artykuł 187 </w:t>
      </w:r>
      <w:r>
        <w:rPr>
          <w:i/>
        </w:rPr>
        <w:t xml:space="preserve">ter </w:t>
      </w:r>
      <w:r>
        <w:t>i artykuł 185 Dekretu Legislacyjnego nr 58 z 1998</w:t>
      </w:r>
      <w:r w:rsidR="007E48CB">
        <w:t xml:space="preserve"> roku</w:t>
      </w:r>
      <w:r w:rsidR="00EB77FB">
        <w:t>,</w:t>
      </w:r>
      <w:r>
        <w:t xml:space="preserve"> nie był istotny, ponieważ sprawa dotyczyła typowego przykładu pojedynczego czynu stanowiącego różne przestępstwa, a koncept ten charakteryzuje się </w:t>
      </w:r>
      <w:r w:rsidR="00A77092">
        <w:t>ty</w:t>
      </w:r>
      <w:r>
        <w:t xml:space="preserve">m, że pojedynczy czyn dzieli się na dwa osobne przestępstwa (odnosiły się one do </w:t>
      </w:r>
      <w:r>
        <w:rPr>
          <w:i/>
        </w:rPr>
        <w:t>Oliveira przeciwko Szwajcarii</w:t>
      </w:r>
      <w:r>
        <w:t xml:space="preserve">, nr 25711/94, </w:t>
      </w:r>
      <w:r w:rsidR="007E48CB">
        <w:t>§</w:t>
      </w:r>
      <w:r>
        <w:t xml:space="preserve"> 26, 30 lipca 1998</w:t>
      </w:r>
      <w:r w:rsidR="007E48CB">
        <w:t xml:space="preserve"> roku</w:t>
      </w:r>
      <w:r>
        <w:t xml:space="preserve">; </w:t>
      </w:r>
      <w:proofErr w:type="spellStart"/>
      <w:r>
        <w:rPr>
          <w:i/>
        </w:rPr>
        <w:t>Goktan</w:t>
      </w:r>
      <w:proofErr w:type="spellEnd"/>
      <w:r>
        <w:rPr>
          <w:i/>
        </w:rPr>
        <w:t xml:space="preserve"> przeciwko Francji</w:t>
      </w:r>
      <w:r>
        <w:t xml:space="preserve">, nr 33402/96, </w:t>
      </w:r>
      <w:r w:rsidR="007E48CB">
        <w:t>§</w:t>
      </w:r>
      <w:r>
        <w:t xml:space="preserve"> 50, 2 lipca 2002</w:t>
      </w:r>
      <w:r w:rsidR="007E48CB">
        <w:t xml:space="preserve"> roku</w:t>
      </w:r>
      <w:r>
        <w:t xml:space="preserve">; </w:t>
      </w:r>
      <w:proofErr w:type="spellStart"/>
      <w:r>
        <w:rPr>
          <w:i/>
        </w:rPr>
        <w:t>Gauthier</w:t>
      </w:r>
      <w:proofErr w:type="spellEnd"/>
      <w:r>
        <w:rPr>
          <w:i/>
        </w:rPr>
        <w:t xml:space="preserve"> przeciwko Francji </w:t>
      </w:r>
      <w:r>
        <w:t>(</w:t>
      </w:r>
      <w:r w:rsidR="00FA7858">
        <w:t>decyzja</w:t>
      </w:r>
      <w:r>
        <w:t>), nr 61178/00, 24 czerwca 2003</w:t>
      </w:r>
      <w:r w:rsidR="007E48CB">
        <w:t xml:space="preserve"> roku</w:t>
      </w:r>
      <w:r>
        <w:t xml:space="preserve">; oraz </w:t>
      </w:r>
      <w:proofErr w:type="spellStart"/>
      <w:r>
        <w:rPr>
          <w:i/>
        </w:rPr>
        <w:t>Ongun</w:t>
      </w:r>
      <w:proofErr w:type="spellEnd"/>
      <w:r>
        <w:rPr>
          <w:i/>
        </w:rPr>
        <w:t xml:space="preserve"> przeciwko Turcji </w:t>
      </w:r>
      <w:r>
        <w:t>(</w:t>
      </w:r>
      <w:r w:rsidR="00FA7858">
        <w:t>decyzja</w:t>
      </w:r>
      <w:r>
        <w:t>), nr 15737/02, 10 października 2006</w:t>
      </w:r>
      <w:r w:rsidR="007E48CB">
        <w:t xml:space="preserve"> roku</w:t>
      </w:r>
      <w:r>
        <w:t>).</w:t>
      </w:r>
    </w:p>
    <w:p w14:paraId="3D53DADB" w14:textId="22C3C366" w:rsidR="000D5DD6" w:rsidRPr="00110749" w:rsidRDefault="00346F6F" w:rsidP="000D5DD6">
      <w:pPr>
        <w:pStyle w:val="ECHRPara"/>
      </w:pPr>
      <w:fldSimple w:instr=" SEQ level0 \*arabic ">
        <w:r w:rsidR="00AB4482">
          <w:rPr>
            <w:noProof/>
          </w:rPr>
          <w:t>218</w:t>
        </w:r>
      </w:fldSimple>
      <w:r w:rsidR="00A77092">
        <w:t>. </w:t>
      </w:r>
      <w:r w:rsidR="000D5DD6">
        <w:t xml:space="preserve">Wreszcie, należy zauważyć, że w celu zapewnienia </w:t>
      </w:r>
      <w:r w:rsidR="00EB77FB">
        <w:t xml:space="preserve">proporcjonalności </w:t>
      </w:r>
      <w:r w:rsidR="000D5DD6">
        <w:t xml:space="preserve">kary do </w:t>
      </w:r>
      <w:r w:rsidR="00967E30">
        <w:t>oskarżenia</w:t>
      </w:r>
      <w:r w:rsidR="000D5DD6">
        <w:t xml:space="preserve">, sąd karny mógł uwzględnić </w:t>
      </w:r>
      <w:r w:rsidR="00EB77FB">
        <w:t>wcześniejsze nałożenie</w:t>
      </w:r>
      <w:r w:rsidR="000D5DD6">
        <w:t xml:space="preserve"> kary administracyjnej oraz zmniejszyć sankcję karną. W szczególności, kwota kary administracyjnej </w:t>
      </w:r>
      <w:r w:rsidR="008561E0">
        <w:t>jest</w:t>
      </w:r>
      <w:r w:rsidR="000D5DD6">
        <w:t xml:space="preserve"> odlicz</w:t>
      </w:r>
      <w:r w:rsidR="008561E0">
        <w:t>a</w:t>
      </w:r>
      <w:r w:rsidR="000D5DD6">
        <w:t xml:space="preserve">na od </w:t>
      </w:r>
      <w:r w:rsidR="00EB77FB">
        <w:t xml:space="preserve">finansowej </w:t>
      </w:r>
      <w:r w:rsidR="000D5DD6">
        <w:lastRenderedPageBreak/>
        <w:t xml:space="preserve">sankcji karnej (artykuł 187 </w:t>
      </w:r>
      <w:proofErr w:type="spellStart"/>
      <w:r w:rsidR="000D5DD6">
        <w:rPr>
          <w:i/>
        </w:rPr>
        <w:t>terdecies</w:t>
      </w:r>
      <w:proofErr w:type="spellEnd"/>
      <w:r w:rsidR="000D5DD6">
        <w:rPr>
          <w:i/>
        </w:rPr>
        <w:t xml:space="preserve"> </w:t>
      </w:r>
      <w:r w:rsidR="000D5DD6">
        <w:t>Dekretu Legislacyjnego nr 58 z 1998</w:t>
      </w:r>
      <w:r w:rsidR="007E48CB">
        <w:t xml:space="preserve"> roku</w:t>
      </w:r>
      <w:r w:rsidR="000D5DD6">
        <w:t>), natomiast aktywa zabezpieczone już w kontekście postępowania administracyjnego nie mog</w:t>
      </w:r>
      <w:r w:rsidR="008561E0">
        <w:t>ą</w:t>
      </w:r>
      <w:r w:rsidR="000D5DD6">
        <w:t xml:space="preserve"> być skonfiskowane.</w:t>
      </w:r>
    </w:p>
    <w:p w14:paraId="54FFC711" w14:textId="77777777" w:rsidR="000D5DD6" w:rsidRPr="00110749" w:rsidRDefault="000D5DD6" w:rsidP="000D5DD6">
      <w:pPr>
        <w:pStyle w:val="ECHRHeading3"/>
      </w:pPr>
      <w:r>
        <w:t>2.  Ocena Trybunału</w:t>
      </w:r>
    </w:p>
    <w:p w14:paraId="7384CA43" w14:textId="0A62BB83" w:rsidR="000D5DD6" w:rsidRPr="00110749" w:rsidRDefault="00346F6F" w:rsidP="000D5DD6">
      <w:pPr>
        <w:pStyle w:val="ECHRPara"/>
      </w:pPr>
      <w:fldSimple w:instr=" SEQ level0 \*arabic ">
        <w:r w:rsidR="00AB4482">
          <w:rPr>
            <w:noProof/>
          </w:rPr>
          <w:t>219</w:t>
        </w:r>
      </w:fldSimple>
      <w:r w:rsidR="00A77092">
        <w:t>. </w:t>
      </w:r>
      <w:r w:rsidR="000D5DD6">
        <w:t xml:space="preserve">Trybunał podkreśla, że w sprawie </w:t>
      </w:r>
      <w:proofErr w:type="spellStart"/>
      <w:r w:rsidR="000D5DD6">
        <w:rPr>
          <w:i/>
        </w:rPr>
        <w:t>Sergey</w:t>
      </w:r>
      <w:proofErr w:type="spellEnd"/>
      <w:r w:rsidR="008561E0">
        <w:rPr>
          <w:i/>
        </w:rPr>
        <w:t xml:space="preserve"> </w:t>
      </w:r>
      <w:proofErr w:type="spellStart"/>
      <w:r w:rsidR="008561E0">
        <w:rPr>
          <w:i/>
        </w:rPr>
        <w:t>Zolotukhin</w:t>
      </w:r>
      <w:proofErr w:type="spellEnd"/>
      <w:r w:rsidR="000D5DD6">
        <w:rPr>
          <w:i/>
        </w:rPr>
        <w:t xml:space="preserve"> </w:t>
      </w:r>
      <w:r w:rsidR="000D5DD6">
        <w:t>(</w:t>
      </w:r>
      <w:r w:rsidR="004E4E66" w:rsidRPr="004E4E66">
        <w:rPr>
          <w:i/>
        </w:rPr>
        <w:t>op. cit.</w:t>
      </w:r>
      <w:r w:rsidR="000D5DD6">
        <w:t xml:space="preserve">, </w:t>
      </w:r>
      <w:r w:rsidR="004E4E66">
        <w:rPr>
          <w:rFonts w:cstheme="minorHAnsi"/>
        </w:rPr>
        <w:t>§</w:t>
      </w:r>
      <w:r w:rsidR="000D5DD6">
        <w:t xml:space="preserve"> 82) Wielka Izba stwierdziła, że artykuł 4 Protokołu </w:t>
      </w:r>
      <w:r w:rsidR="00B841DA">
        <w:t xml:space="preserve">nr </w:t>
      </w:r>
      <w:r w:rsidR="000D5DD6">
        <w:t xml:space="preserve">7 należy rozumieć jako zabraniający ścigania lub sądzenia </w:t>
      </w:r>
      <w:r w:rsidR="003C6451">
        <w:t>za drugie „przestępstwo</w:t>
      </w:r>
      <w:r w:rsidR="000D5DD6">
        <w:t xml:space="preserve">” w zakresie, w jakim </w:t>
      </w:r>
      <w:r w:rsidR="003C6451">
        <w:t>wywodzi się ono z faktów</w:t>
      </w:r>
      <w:r w:rsidR="000D5DD6">
        <w:t xml:space="preserve">, które są </w:t>
      </w:r>
      <w:r w:rsidR="008561E0">
        <w:t>co do istoty</w:t>
      </w:r>
      <w:r w:rsidR="000D5DD6">
        <w:t xml:space="preserve"> takie same.</w:t>
      </w:r>
    </w:p>
    <w:p w14:paraId="48506C8B" w14:textId="45E6D36E" w:rsidR="000D5DD6" w:rsidRDefault="00346F6F" w:rsidP="000D5DD6">
      <w:pPr>
        <w:pStyle w:val="ECHRPara"/>
      </w:pPr>
      <w:fldSimple w:instr=" SEQ level0 \*arabic ">
        <w:r w:rsidR="00AB4482">
          <w:rPr>
            <w:noProof/>
          </w:rPr>
          <w:t>220</w:t>
        </w:r>
      </w:fldSimple>
      <w:r w:rsidR="00A77092">
        <w:t>. </w:t>
      </w:r>
      <w:r w:rsidR="000D5DD6">
        <w:t xml:space="preserve">Gwarancja przewidziana w artykule 4 Protokołu </w:t>
      </w:r>
      <w:r w:rsidR="00B841DA">
        <w:t xml:space="preserve">nr </w:t>
      </w:r>
      <w:r w:rsidR="000D5DD6">
        <w:t xml:space="preserve">7 staje się istotna w momencie rozpoczęcia nowego dochodzenia, jeżeli uprzednie uniewinnienie lub skazanie nabrało już mocy </w:t>
      </w:r>
      <w:r w:rsidR="000D5DD6">
        <w:rPr>
          <w:i/>
        </w:rPr>
        <w:t xml:space="preserve">res </w:t>
      </w:r>
      <w:r w:rsidR="003C6451">
        <w:rPr>
          <w:i/>
        </w:rPr>
        <w:t>i</w:t>
      </w:r>
      <w:r w:rsidR="000D5DD6">
        <w:rPr>
          <w:i/>
        </w:rPr>
        <w:t>udicata</w:t>
      </w:r>
      <w:r w:rsidR="000D5DD6">
        <w:t xml:space="preserve">. W tej sytuacji, dostępny materiał musi koniecznie obejmować decyzję, którą zakończyło się pierwsze „postępowanie karne”, a także listę oskarżeń skierowanych przeciwko skarżącemu w nowym postępowaniu. Zwykle, dokumenty te zawierać będą określenie okoliczności dotyczących zarówno przestępstwa, za które skarżący był już sądzony, jak i </w:t>
      </w:r>
      <w:r w:rsidR="003C6451">
        <w:t>drugie</w:t>
      </w:r>
      <w:r w:rsidR="00F14445">
        <w:t>go</w:t>
      </w:r>
      <w:r w:rsidR="003C6451">
        <w:t xml:space="preserve"> </w:t>
      </w:r>
      <w:r w:rsidR="000D5DD6">
        <w:t xml:space="preserve">przestępstwa, </w:t>
      </w:r>
      <w:r w:rsidR="00F14445">
        <w:t>o</w:t>
      </w:r>
      <w:r w:rsidR="000D5DD6">
        <w:t xml:space="preserve"> które jest oskarż</w:t>
      </w:r>
      <w:r w:rsidR="003C6451">
        <w:t>a</w:t>
      </w:r>
      <w:r w:rsidR="000D5DD6">
        <w:t xml:space="preserve">ny. Zdaniem </w:t>
      </w:r>
      <w:r w:rsidR="003C6451">
        <w:t>Trybunału</w:t>
      </w:r>
      <w:r w:rsidR="000D5DD6">
        <w:t xml:space="preserve">, taki opis okoliczności stanowi odpowiedni punkt </w:t>
      </w:r>
      <w:r w:rsidR="003C6451">
        <w:t>wyjścia</w:t>
      </w:r>
      <w:r w:rsidR="000D5DD6">
        <w:t xml:space="preserve"> dla stwierdzenia, czy </w:t>
      </w:r>
      <w:r w:rsidR="003C6451">
        <w:t>fakty</w:t>
      </w:r>
      <w:r w:rsidR="000D5DD6">
        <w:t xml:space="preserve"> </w:t>
      </w:r>
      <w:r w:rsidR="003C6451">
        <w:t xml:space="preserve">w obydwu postępowaniach </w:t>
      </w:r>
      <w:r w:rsidR="000D5DD6">
        <w:t>były identyczne</w:t>
      </w:r>
      <w:r w:rsidR="003C6451">
        <w:t xml:space="preserve"> lub</w:t>
      </w:r>
      <w:r w:rsidR="000D5DD6">
        <w:t xml:space="preserve"> </w:t>
      </w:r>
      <w:r w:rsidR="00F14445">
        <w:t>co do istoty</w:t>
      </w:r>
      <w:r w:rsidR="000D5DD6">
        <w:t xml:space="preserve"> podobne.</w:t>
      </w:r>
    </w:p>
    <w:p w14:paraId="5060E23E" w14:textId="05F8D2BB" w:rsidR="000D5DD6" w:rsidRDefault="000D5DD6" w:rsidP="000D5DD6">
      <w:pPr>
        <w:pStyle w:val="ECHRPara"/>
      </w:pPr>
      <w:r>
        <w:t xml:space="preserve">Nie ma znaczenia, które fragmenty nowych oskarżeń zostały ostatecznie utrzymane lub oddalone w kolejnym postępowaniu, ponieważ artykuł 4 Protokołu </w:t>
      </w:r>
      <w:r w:rsidR="00B841DA">
        <w:t xml:space="preserve">nr </w:t>
      </w:r>
      <w:r>
        <w:t xml:space="preserve">7 </w:t>
      </w:r>
      <w:r w:rsidRPr="000B7495">
        <w:t xml:space="preserve">zawiera gwarancję przeciwko byciu sądzonym lub </w:t>
      </w:r>
      <w:r w:rsidR="004B6E58" w:rsidRPr="000B7495">
        <w:t>przeciwko możliwości bycia sądzonym</w:t>
      </w:r>
      <w:r w:rsidR="004B6E58">
        <w:t xml:space="preserve"> </w:t>
      </w:r>
      <w:r>
        <w:t xml:space="preserve">w nowym postępowaniu, a nie zakaz drugiego skazania lub uniewinnienia (zobacz </w:t>
      </w:r>
      <w:proofErr w:type="spellStart"/>
      <w:r>
        <w:rPr>
          <w:i/>
        </w:rPr>
        <w:t>Sergey</w:t>
      </w:r>
      <w:proofErr w:type="spellEnd"/>
      <w:r>
        <w:rPr>
          <w:i/>
        </w:rPr>
        <w:t xml:space="preserve"> </w:t>
      </w:r>
      <w:proofErr w:type="spellStart"/>
      <w:r>
        <w:rPr>
          <w:i/>
        </w:rPr>
        <w:t>Zolotukhin</w:t>
      </w:r>
      <w:proofErr w:type="spellEnd"/>
      <w:r>
        <w:t xml:space="preserve">, </w:t>
      </w:r>
      <w:r w:rsidR="00A63E4A" w:rsidRPr="00A63E4A">
        <w:rPr>
          <w:i/>
        </w:rPr>
        <w:t>op. cit.</w:t>
      </w:r>
      <w:r>
        <w:t xml:space="preserve">, </w:t>
      </w:r>
      <w:r w:rsidR="00617EE6">
        <w:t>ustęp</w:t>
      </w:r>
      <w:r>
        <w:t> 83).</w:t>
      </w:r>
    </w:p>
    <w:p w14:paraId="2FD444E2" w14:textId="22FCE538" w:rsidR="000D5DD6" w:rsidRDefault="00346F6F" w:rsidP="000D5DD6">
      <w:pPr>
        <w:pStyle w:val="ECHRPara"/>
      </w:pPr>
      <w:fldSimple w:instr=" SEQ level0 \*arabic ">
        <w:r w:rsidR="00AB4482">
          <w:rPr>
            <w:noProof/>
          </w:rPr>
          <w:t>221</w:t>
        </w:r>
      </w:fldSimple>
      <w:r w:rsidR="00955532">
        <w:t>. </w:t>
      </w:r>
      <w:r w:rsidR="000D5DD6">
        <w:t xml:space="preserve">Dlatego też, </w:t>
      </w:r>
      <w:r w:rsidR="004B6E58">
        <w:t>Trybunał, badając sprawę, powinien s</w:t>
      </w:r>
      <w:r w:rsidR="000D5DD6">
        <w:t xml:space="preserve">koncentrować się na tych faktach, </w:t>
      </w:r>
      <w:r w:rsidR="004B6E58">
        <w:t xml:space="preserve">opisanych we wskazanych wyżej dokumentach, </w:t>
      </w:r>
      <w:r w:rsidR="000D5DD6">
        <w:t xml:space="preserve">które stanowią zestaw konkretnych </w:t>
      </w:r>
      <w:r w:rsidR="004B6E58">
        <w:t xml:space="preserve">okoliczności </w:t>
      </w:r>
      <w:r w:rsidR="000D5DD6">
        <w:t xml:space="preserve">faktycznych dotyczących tego samego </w:t>
      </w:r>
      <w:r w:rsidR="00955532">
        <w:t>oskarżonego</w:t>
      </w:r>
      <w:r w:rsidR="000D5DD6">
        <w:t xml:space="preserve"> oraz nierozerwalnie powiązanych </w:t>
      </w:r>
      <w:r w:rsidR="004B6E58">
        <w:t xml:space="preserve">ze sobą </w:t>
      </w:r>
      <w:r w:rsidR="000D5DD6">
        <w:t>w czasie i przestrzeni, a których istnienie musi być wykazane</w:t>
      </w:r>
      <w:r w:rsidR="004B6E58">
        <w:t>, by możliwe było skazanie lub by było możliwe wszczęcie</w:t>
      </w:r>
      <w:r w:rsidR="000D5DD6">
        <w:t xml:space="preserve"> postępowania karnego (zobacz </w:t>
      </w:r>
      <w:proofErr w:type="spellStart"/>
      <w:r w:rsidR="000D5DD6">
        <w:rPr>
          <w:i/>
        </w:rPr>
        <w:t>Sergey</w:t>
      </w:r>
      <w:proofErr w:type="spellEnd"/>
      <w:r w:rsidR="000D5DD6">
        <w:rPr>
          <w:i/>
        </w:rPr>
        <w:t xml:space="preserve"> </w:t>
      </w:r>
      <w:proofErr w:type="spellStart"/>
      <w:r w:rsidR="000D5DD6">
        <w:rPr>
          <w:i/>
        </w:rPr>
        <w:t>Zolotukhin</w:t>
      </w:r>
      <w:proofErr w:type="spellEnd"/>
      <w:r w:rsidR="000D5DD6">
        <w:t xml:space="preserve">, </w:t>
      </w:r>
      <w:r w:rsidR="00A63E4A" w:rsidRPr="00A63E4A">
        <w:rPr>
          <w:i/>
        </w:rPr>
        <w:t>op. cit.</w:t>
      </w:r>
      <w:r w:rsidR="000D5DD6">
        <w:t xml:space="preserve">, </w:t>
      </w:r>
      <w:r w:rsidR="00617EE6">
        <w:t>ustęp</w:t>
      </w:r>
      <w:r w:rsidR="000D5DD6">
        <w:t> 84).</w:t>
      </w:r>
    </w:p>
    <w:p w14:paraId="7D635C34" w14:textId="29DFFAA2" w:rsidR="000D5DD6"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222</w:t>
      </w:r>
      <w:r w:rsidRPr="00110749">
        <w:rPr>
          <w:szCs w:val="24"/>
        </w:rPr>
        <w:fldChar w:fldCharType="end"/>
      </w:r>
      <w:r>
        <w:t xml:space="preserve">. Stosując te zasady do niniejszej sprawy, Trybunał zauważa po pierwsze, że </w:t>
      </w:r>
      <w:r w:rsidR="008E5970">
        <w:t xml:space="preserve">stwierdził </w:t>
      </w:r>
      <w:r w:rsidR="004B6E58">
        <w:t xml:space="preserve">na gruncie </w:t>
      </w:r>
      <w:r>
        <w:t>artykułu 6 Konwencji, iż istni</w:t>
      </w:r>
      <w:r w:rsidR="008E5970">
        <w:t>ały</w:t>
      </w:r>
      <w:r>
        <w:t xml:space="preserve"> uzasadnione p</w:t>
      </w:r>
      <w:r w:rsidR="008E5970">
        <w:t>odstawy</w:t>
      </w:r>
      <w:r>
        <w:t xml:space="preserve">, by uznać, że postępowanie </w:t>
      </w:r>
      <w:r>
        <w:rPr>
          <w:color w:val="000000"/>
        </w:rPr>
        <w:t xml:space="preserve">przed </w:t>
      </w:r>
      <w:r w:rsidR="008E5970">
        <w:t>CONSOB obejmowało</w:t>
      </w:r>
      <w:r>
        <w:t xml:space="preserve"> „</w:t>
      </w:r>
      <w:r w:rsidR="008E5970">
        <w:t>oskarżenie w sprawie karnej</w:t>
      </w:r>
      <w:r>
        <w:t xml:space="preserve">” przeciwko skarżącym (zobacz punkt </w:t>
      </w:r>
      <w:r w:rsidRPr="00110749">
        <w:rPr>
          <w:szCs w:val="24"/>
        </w:rPr>
        <w:fldChar w:fldCharType="begin"/>
      </w:r>
      <w:r w:rsidRPr="00110749">
        <w:rPr>
          <w:szCs w:val="24"/>
        </w:rPr>
        <w:instrText xml:space="preserve"> REF CONSOBpenal \h  \* MERGEFORMAT </w:instrText>
      </w:r>
      <w:r w:rsidRPr="00110749">
        <w:rPr>
          <w:szCs w:val="24"/>
        </w:rPr>
      </w:r>
      <w:r w:rsidRPr="00110749">
        <w:rPr>
          <w:szCs w:val="24"/>
        </w:rPr>
        <w:fldChar w:fldCharType="separate"/>
      </w:r>
      <w:r w:rsidR="00AB4482">
        <w:t>101</w:t>
      </w:r>
      <w:r w:rsidRPr="00110749">
        <w:rPr>
          <w:szCs w:val="24"/>
        </w:rPr>
        <w:fldChar w:fldCharType="end"/>
      </w:r>
      <w:r>
        <w:t xml:space="preserve"> powyżej), a także zauważa, że </w:t>
      </w:r>
      <w:r w:rsidR="008E5970">
        <w:t>kary nałożone</w:t>
      </w:r>
      <w:r>
        <w:t xml:space="preserve">  przez CONSOB i częściowo obniżone przez sąd apelacyjny stały się </w:t>
      </w:r>
      <w:r>
        <w:rPr>
          <w:i/>
        </w:rPr>
        <w:t xml:space="preserve">res </w:t>
      </w:r>
      <w:r w:rsidR="008E5970">
        <w:rPr>
          <w:i/>
        </w:rPr>
        <w:t>i</w:t>
      </w:r>
      <w:r>
        <w:rPr>
          <w:i/>
        </w:rPr>
        <w:t>udicata</w:t>
      </w:r>
      <w:r>
        <w:t xml:space="preserve"> w dniu 23 czerwca 2009 roku, kiedy zostały </w:t>
      </w:r>
      <w:r w:rsidR="008E5970">
        <w:t xml:space="preserve">wydane </w:t>
      </w:r>
      <w:r>
        <w:t xml:space="preserve">wyroki Sądu Kasacyjnego (zobacz punkt </w:t>
      </w:r>
      <w:r w:rsidRPr="00110749">
        <w:rPr>
          <w:szCs w:val="24"/>
        </w:rPr>
        <w:fldChar w:fldCharType="begin"/>
      </w:r>
      <w:r w:rsidRPr="00110749">
        <w:rPr>
          <w:szCs w:val="24"/>
        </w:rPr>
        <w:instrText xml:space="preserve"> REF arretscassation \h  \* MERGEFORMAT </w:instrText>
      </w:r>
      <w:r w:rsidRPr="00110749">
        <w:rPr>
          <w:szCs w:val="24"/>
        </w:rPr>
      </w:r>
      <w:r w:rsidRPr="00110749">
        <w:rPr>
          <w:szCs w:val="24"/>
        </w:rPr>
        <w:fldChar w:fldCharType="separate"/>
      </w:r>
      <w:r w:rsidR="00AB4482">
        <w:t>38</w:t>
      </w:r>
      <w:r w:rsidRPr="00110749">
        <w:rPr>
          <w:szCs w:val="24"/>
        </w:rPr>
        <w:fldChar w:fldCharType="end"/>
      </w:r>
      <w:r>
        <w:t xml:space="preserve"> powyżej). Począwszy od tej daty, skarżący powinni</w:t>
      </w:r>
      <w:r w:rsidR="00992768">
        <w:t xml:space="preserve"> być</w:t>
      </w:r>
      <w:r>
        <w:t xml:space="preserve"> zatem uznani za „</w:t>
      </w:r>
      <w:r w:rsidR="008E5970">
        <w:t xml:space="preserve">już </w:t>
      </w:r>
      <w:r>
        <w:t xml:space="preserve">prawomocnie skazanych za przestępstwo” </w:t>
      </w:r>
      <w:r w:rsidR="008E5970">
        <w:t>w rozumieniu</w:t>
      </w:r>
      <w:r>
        <w:t xml:space="preserve"> artykułu 4 Protokołu </w:t>
      </w:r>
      <w:r w:rsidR="00B841DA">
        <w:t xml:space="preserve">nr </w:t>
      </w:r>
      <w:r>
        <w:t>7.</w:t>
      </w:r>
    </w:p>
    <w:p w14:paraId="67D52961" w14:textId="381FB808"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223</w:t>
      </w:r>
      <w:r w:rsidRPr="00110749">
        <w:rPr>
          <w:szCs w:val="24"/>
        </w:rPr>
        <w:fldChar w:fldCharType="end"/>
      </w:r>
      <w:r w:rsidR="00992768">
        <w:t>. </w:t>
      </w:r>
      <w:r w:rsidR="000B7495">
        <w:t>Pomimo to n</w:t>
      </w:r>
      <w:r>
        <w:t xml:space="preserve">owe postępowanie karne, które zostało wszczęte przeciwko nim w międzyczasie (zobacz punkty </w:t>
      </w:r>
      <w:r w:rsidRPr="00110749">
        <w:rPr>
          <w:szCs w:val="24"/>
        </w:rPr>
        <w:fldChar w:fldCharType="begin"/>
      </w:r>
      <w:r w:rsidRPr="00110749">
        <w:rPr>
          <w:szCs w:val="24"/>
        </w:rPr>
        <w:instrText xml:space="preserve"> REF nouvellespoursuites1 \h  \* MERGEFORMAT </w:instrText>
      </w:r>
      <w:r w:rsidRPr="00110749">
        <w:rPr>
          <w:szCs w:val="24"/>
        </w:rPr>
      </w:r>
      <w:r w:rsidRPr="00110749">
        <w:rPr>
          <w:szCs w:val="24"/>
        </w:rPr>
        <w:fldChar w:fldCharType="separate"/>
      </w:r>
      <w:r w:rsidR="00AB4482">
        <w:t>39</w:t>
      </w:r>
      <w:r w:rsidRPr="00110749">
        <w:rPr>
          <w:szCs w:val="24"/>
        </w:rPr>
        <w:fldChar w:fldCharType="end"/>
      </w:r>
      <w:r>
        <w:t>-</w:t>
      </w:r>
      <w:r w:rsidRPr="00110749">
        <w:rPr>
          <w:szCs w:val="24"/>
        </w:rPr>
        <w:fldChar w:fldCharType="begin"/>
      </w:r>
      <w:r w:rsidRPr="00110749">
        <w:rPr>
          <w:szCs w:val="24"/>
        </w:rPr>
        <w:instrText xml:space="preserve"> REF nouvellespoursuites2 \h  \* MERGEFORMAT </w:instrText>
      </w:r>
      <w:r w:rsidRPr="00110749">
        <w:rPr>
          <w:szCs w:val="24"/>
        </w:rPr>
      </w:r>
      <w:r w:rsidRPr="00110749">
        <w:rPr>
          <w:szCs w:val="24"/>
        </w:rPr>
        <w:fldChar w:fldCharType="separate"/>
      </w:r>
      <w:r w:rsidR="00AB4482">
        <w:t>40</w:t>
      </w:r>
      <w:r w:rsidRPr="00110749">
        <w:rPr>
          <w:szCs w:val="24"/>
        </w:rPr>
        <w:fldChar w:fldCharType="end"/>
      </w:r>
      <w:r>
        <w:t xml:space="preserve"> powyżej), nie zostało </w:t>
      </w:r>
      <w:r>
        <w:lastRenderedPageBreak/>
        <w:t xml:space="preserve">zamknięte i doprowadziło do </w:t>
      </w:r>
      <w:r w:rsidR="008E5970">
        <w:t xml:space="preserve">wydania wyroków </w:t>
      </w:r>
      <w:r>
        <w:t>w pierwszej i drugiej instancji.</w:t>
      </w:r>
    </w:p>
    <w:p w14:paraId="77A15D0E" w14:textId="05A08641" w:rsidR="000D5DD6"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224</w:t>
      </w:r>
      <w:r w:rsidRPr="00110749">
        <w:rPr>
          <w:szCs w:val="24"/>
        </w:rPr>
        <w:fldChar w:fldCharType="end"/>
      </w:r>
      <w:r w:rsidR="00992768">
        <w:t>. </w:t>
      </w:r>
      <w:r w:rsidR="008E5970">
        <w:t xml:space="preserve">Pozostaje </w:t>
      </w:r>
      <w:r>
        <w:t xml:space="preserve">ustalić, czy to nowe postępowanie oparte było na faktach, które były </w:t>
      </w:r>
      <w:r w:rsidR="000B7495">
        <w:t xml:space="preserve">co do istoty </w:t>
      </w:r>
      <w:r>
        <w:t>t</w:t>
      </w:r>
      <w:r w:rsidR="00124E83">
        <w:t>aki</w:t>
      </w:r>
      <w:r w:rsidR="002947E4">
        <w:t>e</w:t>
      </w:r>
      <w:r>
        <w:t xml:space="preserve"> same</w:t>
      </w:r>
      <w:r w:rsidR="0094661E">
        <w:t>,</w:t>
      </w:r>
      <w:r>
        <w:t xml:space="preserve"> </w:t>
      </w:r>
      <w:r w:rsidR="004E25B0">
        <w:t>jak</w:t>
      </w:r>
      <w:r>
        <w:t xml:space="preserve"> </w:t>
      </w:r>
      <w:r w:rsidR="002947E4">
        <w:t>fakty których dotyczyło prawomocne skazanie</w:t>
      </w:r>
      <w:r>
        <w:t xml:space="preserve">. W tym względzie, Trybunał zauważa, że przeciwnie do tego, co zdaje się </w:t>
      </w:r>
      <w:r w:rsidR="002947E4">
        <w:t>twierdzić</w:t>
      </w:r>
      <w:r>
        <w:t xml:space="preserve"> Rząd (zobacz punkt </w:t>
      </w:r>
      <w:r w:rsidRPr="00110749">
        <w:rPr>
          <w:szCs w:val="24"/>
          <w:highlight w:val="yellow"/>
        </w:rPr>
        <w:fldChar w:fldCharType="begin"/>
      </w:r>
      <w:r w:rsidRPr="00110749">
        <w:rPr>
          <w:szCs w:val="24"/>
        </w:rPr>
        <w:instrText xml:space="preserve"> REF Gvtartt187185différents \h </w:instrText>
      </w:r>
      <w:r w:rsidRPr="00110749">
        <w:rPr>
          <w:szCs w:val="24"/>
          <w:highlight w:val="yellow"/>
        </w:rPr>
        <w:instrText xml:space="preserve"> \* MERGEFORMAT </w:instrText>
      </w:r>
      <w:r w:rsidRPr="00110749">
        <w:rPr>
          <w:szCs w:val="24"/>
          <w:highlight w:val="yellow"/>
        </w:rPr>
      </w:r>
      <w:r w:rsidRPr="00110749">
        <w:rPr>
          <w:szCs w:val="24"/>
          <w:highlight w:val="yellow"/>
        </w:rPr>
        <w:fldChar w:fldCharType="separate"/>
      </w:r>
      <w:r w:rsidR="00AB4482">
        <w:t>217</w:t>
      </w:r>
      <w:r w:rsidRPr="00110749">
        <w:rPr>
          <w:szCs w:val="24"/>
          <w:highlight w:val="yellow"/>
        </w:rPr>
        <w:fldChar w:fldCharType="end"/>
      </w:r>
      <w:r>
        <w:t xml:space="preserve"> powyżej), z zasad określonych w sprawie </w:t>
      </w:r>
      <w:proofErr w:type="spellStart"/>
      <w:r w:rsidR="002947E4">
        <w:rPr>
          <w:i/>
        </w:rPr>
        <w:t>Sergey</w:t>
      </w:r>
      <w:proofErr w:type="spellEnd"/>
      <w:r w:rsidRPr="00992768">
        <w:rPr>
          <w:i/>
        </w:rPr>
        <w:t xml:space="preserve"> </w:t>
      </w:r>
      <w:proofErr w:type="spellStart"/>
      <w:r w:rsidRPr="00992768">
        <w:rPr>
          <w:i/>
        </w:rPr>
        <w:t>Zolotukhin</w:t>
      </w:r>
      <w:proofErr w:type="spellEnd"/>
      <w:r>
        <w:t xml:space="preserve">, </w:t>
      </w:r>
      <w:r w:rsidR="002947E4" w:rsidRPr="002947E4">
        <w:rPr>
          <w:i/>
        </w:rPr>
        <w:t>op. cit.</w:t>
      </w:r>
      <w:r>
        <w:t xml:space="preserve">, wynika, że kwestią, na jaką należy sobie odpowiedzieć, nie jest to, czy elementy przestępstwa określone w artykułach 187 </w:t>
      </w:r>
      <w:r w:rsidRPr="009E53FE">
        <w:rPr>
          <w:i/>
        </w:rPr>
        <w:t>ter</w:t>
      </w:r>
      <w:r>
        <w:t xml:space="preserve"> i 185 § 1 Dekretu Legislacyjnego Nr 58 z 1998</w:t>
      </w:r>
      <w:r w:rsidR="007E48CB">
        <w:t xml:space="preserve"> roku</w:t>
      </w:r>
      <w:r>
        <w:t xml:space="preserve"> są identyczne, lecz to, czy przestępstwa, za popełnienie których skarżący zostali oskarżeni przed CONSOB oraz przed sądami karnymi</w:t>
      </w:r>
      <w:r w:rsidR="009E53FE">
        <w:t>,</w:t>
      </w:r>
      <w:r>
        <w:t xml:space="preserve"> dotyczyły tego samego zachowania.</w:t>
      </w:r>
    </w:p>
    <w:p w14:paraId="047BD4BB" w14:textId="6FB5C014"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225</w:t>
      </w:r>
      <w:r w:rsidRPr="00110749">
        <w:rPr>
          <w:szCs w:val="24"/>
        </w:rPr>
        <w:fldChar w:fldCharType="end"/>
      </w:r>
      <w:r w:rsidR="00992768">
        <w:t>. </w:t>
      </w:r>
      <w:r w:rsidR="0032111E">
        <w:t>Przed CONSOB</w:t>
      </w:r>
      <w:r>
        <w:t xml:space="preserve"> skarżący zostali zasadniczo oskarżeni o </w:t>
      </w:r>
      <w:r w:rsidR="0032111E">
        <w:t xml:space="preserve">brak </w:t>
      </w:r>
      <w:r w:rsidR="0094661E">
        <w:t xml:space="preserve">podania </w:t>
      </w:r>
      <w:r>
        <w:t xml:space="preserve">w </w:t>
      </w:r>
      <w:r w:rsidR="0032111E">
        <w:t xml:space="preserve">komunikatach </w:t>
      </w:r>
      <w:r>
        <w:t xml:space="preserve">prasowych z 24 sierpnia 2005 roku </w:t>
      </w:r>
      <w:r w:rsidR="0094661E">
        <w:t xml:space="preserve"> informacji </w:t>
      </w:r>
      <w:r w:rsidR="0032111E">
        <w:t>na temat planu</w:t>
      </w:r>
      <w:r>
        <w:t xml:space="preserve"> </w:t>
      </w:r>
      <w:r w:rsidR="0032111E">
        <w:t>renegocjacji</w:t>
      </w:r>
      <w:r>
        <w:t xml:space="preserve"> kapitałowej transakcji </w:t>
      </w:r>
      <w:proofErr w:type="spellStart"/>
      <w:r>
        <w:t>swap</w:t>
      </w:r>
      <w:proofErr w:type="spellEnd"/>
      <w:r>
        <w:t xml:space="preserve"> z Merrill Lynch International </w:t>
      </w:r>
      <w:proofErr w:type="spellStart"/>
      <w:r>
        <w:t>Ltd</w:t>
      </w:r>
      <w:proofErr w:type="spellEnd"/>
      <w:r>
        <w:t xml:space="preserve">, mimo iż plan ten już istniał i znajdował się </w:t>
      </w:r>
      <w:r w:rsidR="00080CE2">
        <w:t>w</w:t>
      </w:r>
      <w:r>
        <w:t xml:space="preserve"> zaawansowanym stadium przygotowania (zobacz punkty </w:t>
      </w:r>
      <w:r w:rsidRPr="00110749">
        <w:rPr>
          <w:szCs w:val="24"/>
        </w:rPr>
        <w:fldChar w:fldCharType="begin"/>
      </w:r>
      <w:r w:rsidRPr="00110749">
        <w:rPr>
          <w:szCs w:val="24"/>
        </w:rPr>
        <w:instrText xml:space="preserve"> REF art187ter \h  \* MERGEFORMAT </w:instrText>
      </w:r>
      <w:r w:rsidRPr="00110749">
        <w:rPr>
          <w:szCs w:val="24"/>
        </w:rPr>
      </w:r>
      <w:r w:rsidRPr="00110749">
        <w:rPr>
          <w:szCs w:val="24"/>
        </w:rPr>
        <w:fldChar w:fldCharType="separate"/>
      </w:r>
      <w:r w:rsidR="00AB4482">
        <w:t>20</w:t>
      </w:r>
      <w:r w:rsidRPr="00110749">
        <w:rPr>
          <w:szCs w:val="24"/>
        </w:rPr>
        <w:fldChar w:fldCharType="end"/>
      </w:r>
      <w:r>
        <w:t xml:space="preserve"> i </w:t>
      </w:r>
      <w:r w:rsidRPr="00110749">
        <w:rPr>
          <w:szCs w:val="24"/>
        </w:rPr>
        <w:fldChar w:fldCharType="begin"/>
      </w:r>
      <w:r w:rsidRPr="00110749">
        <w:rPr>
          <w:szCs w:val="24"/>
        </w:rPr>
        <w:instrText xml:space="preserve"> REF requsinvitésdefendre \h  \* MERGEFORMAT </w:instrText>
      </w:r>
      <w:r w:rsidRPr="00110749">
        <w:rPr>
          <w:szCs w:val="24"/>
        </w:rPr>
      </w:r>
      <w:r w:rsidRPr="00110749">
        <w:rPr>
          <w:szCs w:val="24"/>
        </w:rPr>
        <w:fldChar w:fldCharType="separate"/>
      </w:r>
      <w:r w:rsidR="00AB4482">
        <w:t>21</w:t>
      </w:r>
      <w:r w:rsidRPr="00110749">
        <w:rPr>
          <w:szCs w:val="24"/>
        </w:rPr>
        <w:fldChar w:fldCharType="end"/>
      </w:r>
      <w:r>
        <w:t xml:space="preserve"> powyżej). Zostali następnie ukarani za to przez CONSOB oraz przez Sąd Apelacyjny w Turynie (zobacz punkty </w:t>
      </w:r>
      <w:r w:rsidRPr="00110749">
        <w:rPr>
          <w:szCs w:val="24"/>
        </w:rPr>
        <w:fldChar w:fldCharType="begin"/>
      </w:r>
      <w:r w:rsidRPr="00110749">
        <w:rPr>
          <w:szCs w:val="24"/>
        </w:rPr>
        <w:instrText xml:space="preserve"> REF dolreqCONSOB \h  \* MERGEFORMAT </w:instrText>
      </w:r>
      <w:r w:rsidRPr="00110749">
        <w:rPr>
          <w:szCs w:val="24"/>
        </w:rPr>
      </w:r>
      <w:r w:rsidRPr="00110749">
        <w:rPr>
          <w:szCs w:val="24"/>
        </w:rPr>
        <w:fldChar w:fldCharType="separate"/>
      </w:r>
      <w:r w:rsidR="00AB4482">
        <w:t>27</w:t>
      </w:r>
      <w:r w:rsidRPr="00110749">
        <w:rPr>
          <w:szCs w:val="24"/>
        </w:rPr>
        <w:fldChar w:fldCharType="end"/>
      </w:r>
      <w:r>
        <w:t xml:space="preserve"> i </w:t>
      </w:r>
      <w:r w:rsidRPr="00110749">
        <w:rPr>
          <w:szCs w:val="24"/>
        </w:rPr>
        <w:fldChar w:fldCharType="begin"/>
      </w:r>
      <w:r w:rsidRPr="00110749">
        <w:rPr>
          <w:szCs w:val="24"/>
        </w:rPr>
        <w:instrText xml:space="preserve"> REF dolreqappel \h  \* MERGEFORMAT </w:instrText>
      </w:r>
      <w:r w:rsidRPr="00110749">
        <w:rPr>
          <w:szCs w:val="24"/>
        </w:rPr>
      </w:r>
      <w:r w:rsidRPr="00110749">
        <w:rPr>
          <w:szCs w:val="24"/>
        </w:rPr>
        <w:fldChar w:fldCharType="separate"/>
      </w:r>
      <w:r w:rsidR="00AB4482">
        <w:t>35</w:t>
      </w:r>
      <w:r w:rsidRPr="00110749">
        <w:rPr>
          <w:szCs w:val="24"/>
        </w:rPr>
        <w:fldChar w:fldCharType="end"/>
      </w:r>
      <w:r>
        <w:t xml:space="preserve"> powyżej).</w:t>
      </w:r>
    </w:p>
    <w:p w14:paraId="1D9CBA1D" w14:textId="09CD117C" w:rsidR="000D5DD6"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226</w:t>
      </w:r>
      <w:r w:rsidRPr="00110749">
        <w:rPr>
          <w:szCs w:val="24"/>
        </w:rPr>
        <w:fldChar w:fldCharType="end"/>
      </w:r>
      <w:r w:rsidR="00080CE2">
        <w:t>. </w:t>
      </w:r>
      <w:r w:rsidR="0094661E">
        <w:t>Przed sądami karnymi</w:t>
      </w:r>
      <w:r>
        <w:t xml:space="preserve"> skarżący zostali oskarżeni o </w:t>
      </w:r>
      <w:r w:rsidR="00093927">
        <w:t>złożenie oświadczenia</w:t>
      </w:r>
      <w:r>
        <w:t xml:space="preserve">, w tych samych </w:t>
      </w:r>
      <w:r w:rsidR="0032111E">
        <w:t>komunikatach</w:t>
      </w:r>
      <w:r>
        <w:t xml:space="preserve"> prasowych, że </w:t>
      </w:r>
      <w:proofErr w:type="spellStart"/>
      <w:r>
        <w:t>Exor</w:t>
      </w:r>
      <w:proofErr w:type="spellEnd"/>
      <w:r>
        <w:t xml:space="preserve"> ani nie wszczynał, ani nie badał inicjatyw dotyczących wygaśnięcia </w:t>
      </w:r>
      <w:r w:rsidR="00093927">
        <w:t>umowy o finansowanie</w:t>
      </w:r>
      <w:r>
        <w:t xml:space="preserve">, mimo że umowa zmieniająca kapitałowy </w:t>
      </w:r>
      <w:proofErr w:type="spellStart"/>
      <w:r>
        <w:t>swap</w:t>
      </w:r>
      <w:proofErr w:type="spellEnd"/>
      <w:r>
        <w:t xml:space="preserve"> została już przeanalizowana i zawarta, </w:t>
      </w:r>
      <w:r w:rsidR="00093927">
        <w:t xml:space="preserve">a </w:t>
      </w:r>
      <w:r>
        <w:t xml:space="preserve">informację </w:t>
      </w:r>
      <w:r w:rsidR="00093927">
        <w:t>tę utrzymywano</w:t>
      </w:r>
      <w:r>
        <w:t xml:space="preserve"> w tajemnicy w celu uniknięcia prawdopodobnego spadku ceny udziałów spółki FIAT (zobacz punkt </w:t>
      </w:r>
      <w:r w:rsidRPr="00110749">
        <w:rPr>
          <w:szCs w:val="24"/>
        </w:rPr>
        <w:fldChar w:fldCharType="begin"/>
      </w:r>
      <w:r w:rsidRPr="00110749">
        <w:rPr>
          <w:szCs w:val="24"/>
        </w:rPr>
        <w:instrText xml:space="preserve"> REF nouvellespoursuites2 \h  \* MERGEFORMAT </w:instrText>
      </w:r>
      <w:r w:rsidRPr="00110749">
        <w:rPr>
          <w:szCs w:val="24"/>
        </w:rPr>
      </w:r>
      <w:r w:rsidRPr="00110749">
        <w:rPr>
          <w:szCs w:val="24"/>
        </w:rPr>
        <w:fldChar w:fldCharType="separate"/>
      </w:r>
      <w:r w:rsidR="00AB4482">
        <w:t>40</w:t>
      </w:r>
      <w:r w:rsidRPr="00110749">
        <w:rPr>
          <w:szCs w:val="24"/>
        </w:rPr>
        <w:fldChar w:fldCharType="end"/>
      </w:r>
      <w:r>
        <w:t xml:space="preserve"> powyżej).</w:t>
      </w:r>
    </w:p>
    <w:p w14:paraId="209CBC82" w14:textId="2B71F255" w:rsidR="00AB4482"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227</w:t>
      </w:r>
      <w:r w:rsidRPr="00110749">
        <w:rPr>
          <w:szCs w:val="24"/>
        </w:rPr>
        <w:fldChar w:fldCharType="end"/>
      </w:r>
      <w:r w:rsidR="00330BB9">
        <w:t>. </w:t>
      </w:r>
      <w:r>
        <w:t xml:space="preserve">Zdaniem Trybunału, postępowanie to wyraźnie dotyczyło tego samego </w:t>
      </w:r>
      <w:r w:rsidR="002430EA">
        <w:t>zachowania</w:t>
      </w:r>
      <w:r>
        <w:t xml:space="preserve"> </w:t>
      </w:r>
      <w:r w:rsidR="00093927">
        <w:t>tych samych</w:t>
      </w:r>
      <w:r>
        <w:t xml:space="preserve"> o</w:t>
      </w:r>
      <w:r w:rsidR="00093927">
        <w:t>sób w tym samym dniu</w:t>
      </w:r>
      <w:r>
        <w:t>. Ponadto, sam Sąd Apelacyjny w Turynie, w swoich wyrokach z 23 stycznia 2008</w:t>
      </w:r>
      <w:r w:rsidR="007E48CB">
        <w:t xml:space="preserve"> roku</w:t>
      </w:r>
      <w:r>
        <w:t xml:space="preserve">, przyznał, że artykuły 187 </w:t>
      </w:r>
      <w:r>
        <w:rPr>
          <w:i/>
        </w:rPr>
        <w:t xml:space="preserve">ter </w:t>
      </w:r>
      <w:r>
        <w:t xml:space="preserve">i 185 § 1 Dekretu Legislacyjnego Nr 58 z 1998 roku dotyczyły tego samego </w:t>
      </w:r>
      <w:r w:rsidR="00FB61C4">
        <w:t>zachowania</w:t>
      </w:r>
      <w:r>
        <w:t>, a mianowicie rozp</w:t>
      </w:r>
      <w:r w:rsidR="00330BB9">
        <w:t>owszech</w:t>
      </w:r>
      <w:r>
        <w:t xml:space="preserve">niania fałszywych informacji (zobacz punkt </w:t>
      </w:r>
      <w:r w:rsidRPr="00110749">
        <w:rPr>
          <w:szCs w:val="24"/>
        </w:rPr>
        <w:fldChar w:fldCharType="begin"/>
      </w:r>
      <w:r w:rsidRPr="00110749">
        <w:rPr>
          <w:szCs w:val="24"/>
        </w:rPr>
        <w:instrText xml:space="preserve"> REF appelmemeconduite \h  \* MERGEFORMAT </w:instrText>
      </w:r>
      <w:r w:rsidRPr="00110749">
        <w:rPr>
          <w:szCs w:val="24"/>
        </w:rPr>
      </w:r>
      <w:r w:rsidRPr="00110749">
        <w:rPr>
          <w:szCs w:val="24"/>
        </w:rPr>
        <w:fldChar w:fldCharType="separate"/>
      </w:r>
      <w:r w:rsidR="00AB4482">
        <w:t>34</w:t>
      </w:r>
      <w:r w:rsidRPr="00110749">
        <w:rPr>
          <w:szCs w:val="24"/>
        </w:rPr>
        <w:fldChar w:fldCharType="end"/>
      </w:r>
      <w:r>
        <w:t xml:space="preserve"> powyżej). Wynika z tego, że drugie postępowanie dotyczyło drugiego „przestępstwa” wywodzącego się z czynów identycznych z czynami, jakie stanowiły przedmiot pierwszego i prawomocnego skazania.</w:t>
      </w:r>
    </w:p>
    <w:bookmarkStart w:id="48" w:name="constviol4prot7"/>
    <w:p w14:paraId="37F89620" w14:textId="77777777" w:rsidR="000D5DD6" w:rsidRPr="00110749" w:rsidRDefault="000D5DD6" w:rsidP="000D5DD6">
      <w:pPr>
        <w:pStyle w:val="ECHRPara"/>
        <w:rPr>
          <w:szCs w:val="24"/>
        </w:rPr>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228</w:t>
      </w:r>
      <w:r w:rsidRPr="00110749">
        <w:rPr>
          <w:szCs w:val="24"/>
        </w:rPr>
        <w:fldChar w:fldCharType="end"/>
      </w:r>
      <w:bookmarkEnd w:id="48"/>
      <w:r w:rsidR="0091171C">
        <w:t>. </w:t>
      </w:r>
      <w:r>
        <w:t>Ustalenie to jest wystarczające, by stwierdzić, że nastąpiło naruszenie artykułu 4 Protokołu nr 7.</w:t>
      </w:r>
    </w:p>
    <w:p w14:paraId="56A42DBA" w14:textId="6CE5C87D" w:rsidR="000D5DD6" w:rsidRPr="00110749" w:rsidRDefault="000D5DD6" w:rsidP="000D5DD6">
      <w:pPr>
        <w:pStyle w:val="ECHRPara"/>
      </w:pPr>
      <w:r w:rsidRPr="00110749">
        <w:rPr>
          <w:szCs w:val="24"/>
        </w:rPr>
        <w:fldChar w:fldCharType="begin"/>
      </w:r>
      <w:r w:rsidRPr="00110749">
        <w:rPr>
          <w:szCs w:val="24"/>
        </w:rPr>
        <w:instrText xml:space="preserve"> SEQ level0 \*arabic </w:instrText>
      </w:r>
      <w:r w:rsidRPr="00110749">
        <w:rPr>
          <w:szCs w:val="24"/>
        </w:rPr>
        <w:fldChar w:fldCharType="separate"/>
      </w:r>
      <w:r w:rsidR="00AB4482">
        <w:rPr>
          <w:noProof/>
          <w:szCs w:val="24"/>
        </w:rPr>
        <w:t>229</w:t>
      </w:r>
      <w:r w:rsidRPr="00110749">
        <w:rPr>
          <w:szCs w:val="24"/>
        </w:rPr>
        <w:fldChar w:fldCharType="end"/>
      </w:r>
      <w:r w:rsidR="0091171C">
        <w:t>. </w:t>
      </w:r>
      <w:r>
        <w:t xml:space="preserve">Ponadto, w zakresie, w jakim stwierdza Rząd, że prawo Unii Europejskiej wyraźnie dopuszcza zastosowanie podwójnej kary (administracyjnej i karnej) w kontekście zwalczania </w:t>
      </w:r>
      <w:r w:rsidR="00FC0878">
        <w:t xml:space="preserve">nadużyć </w:t>
      </w:r>
      <w:r>
        <w:t xml:space="preserve">na rynkach finansowych (zobacz punkt </w:t>
      </w:r>
      <w:r w:rsidRPr="00110749">
        <w:rPr>
          <w:szCs w:val="24"/>
        </w:rPr>
        <w:fldChar w:fldCharType="begin"/>
      </w:r>
      <w:r w:rsidRPr="00110749">
        <w:rPr>
          <w:szCs w:val="24"/>
        </w:rPr>
        <w:instrText xml:space="preserve"> REF droitunionautorise \h  \* MERGEFORMAT </w:instrText>
      </w:r>
      <w:r w:rsidRPr="00110749">
        <w:rPr>
          <w:szCs w:val="24"/>
        </w:rPr>
      </w:r>
      <w:r w:rsidRPr="00110749">
        <w:rPr>
          <w:szCs w:val="24"/>
        </w:rPr>
        <w:fldChar w:fldCharType="separate"/>
      </w:r>
      <w:r w:rsidR="00AB4482">
        <w:t>216</w:t>
      </w:r>
      <w:r w:rsidRPr="00110749">
        <w:rPr>
          <w:szCs w:val="24"/>
        </w:rPr>
        <w:fldChar w:fldCharType="end"/>
      </w:r>
      <w:r>
        <w:t xml:space="preserve"> powyżej), Trybunał, </w:t>
      </w:r>
      <w:r w:rsidR="00175A24">
        <w:t>zastrzegając</w:t>
      </w:r>
      <w:r>
        <w:t xml:space="preserve">, że jego zadaniem nie jest interpretacja orzecznictwa </w:t>
      </w:r>
      <w:r w:rsidR="00297C57">
        <w:t>TSUE</w:t>
      </w:r>
      <w:r>
        <w:t>, zauważa, że w swoim orzeczeniu z 23 grudnia 2009</w:t>
      </w:r>
      <w:r w:rsidR="007E48CB">
        <w:t xml:space="preserve"> roku</w:t>
      </w:r>
      <w:r>
        <w:t xml:space="preserve">, w sprawie </w:t>
      </w:r>
      <w:proofErr w:type="spellStart"/>
      <w:r>
        <w:rPr>
          <w:i/>
        </w:rPr>
        <w:t>Spector</w:t>
      </w:r>
      <w:proofErr w:type="spellEnd"/>
      <w:r>
        <w:rPr>
          <w:i/>
        </w:rPr>
        <w:t xml:space="preserve"> Photo </w:t>
      </w:r>
      <w:proofErr w:type="spellStart"/>
      <w:r>
        <w:rPr>
          <w:i/>
        </w:rPr>
        <w:t>Group</w:t>
      </w:r>
      <w:proofErr w:type="spellEnd"/>
      <w:r>
        <w:t xml:space="preserve">, </w:t>
      </w:r>
      <w:r w:rsidR="00297C57">
        <w:t>TSUE</w:t>
      </w:r>
      <w:r>
        <w:t xml:space="preserve"> wskazał, że artykuł 14 dyrek</w:t>
      </w:r>
      <w:r w:rsidR="00CB5B17">
        <w:t xml:space="preserve">tywy nr 2003/6 nie zobowiązuje państw </w:t>
      </w:r>
      <w:r w:rsidR="00CB5B17">
        <w:lastRenderedPageBreak/>
        <w:t>c</w:t>
      </w:r>
      <w:r>
        <w:t>złonkowskich do nałożenia sankcji karnych na autorów informacji pouf</w:t>
      </w:r>
      <w:r w:rsidR="00CB5B17">
        <w:t>nych, lecz jedynie stanowi, że p</w:t>
      </w:r>
      <w:r>
        <w:t xml:space="preserve">aństwa te są zobowiązane do zapewnienia, </w:t>
      </w:r>
      <w:r w:rsidR="00175A24">
        <w:t xml:space="preserve">by nałożone zostały </w:t>
      </w:r>
      <w:r>
        <w:t>sankcje administracyjne na osoby</w:t>
      </w:r>
      <w:r w:rsidR="00175A24" w:rsidRPr="00175A24">
        <w:t xml:space="preserve"> </w:t>
      </w:r>
      <w:r w:rsidR="00175A24">
        <w:t>odpowiedzialne</w:t>
      </w:r>
      <w:r>
        <w:t>, jeżeli nastąpiło zanie</w:t>
      </w:r>
      <w:r w:rsidR="00175A24">
        <w:t>chanie</w:t>
      </w:r>
      <w:r>
        <w:t xml:space="preserve"> zastosowania się do przepisów przyjętych w ramach wdrożenia tej dyrektywy. Zwrócił</w:t>
      </w:r>
      <w:r w:rsidR="004115D4">
        <w:t xml:space="preserve"> również uwagę p</w:t>
      </w:r>
      <w:r>
        <w:t xml:space="preserve">aństw na fakt, że takie sankcje administracyjne mogą, dla celów stosowania Konwencji, być zakwalifikowane jako sankcje karne (zobacz punkt 61 powyżej). Ponadto, w swoim wyroku </w:t>
      </w:r>
      <w:proofErr w:type="spellStart"/>
      <w:r>
        <w:rPr>
          <w:i/>
        </w:rPr>
        <w:t>Åklagaren</w:t>
      </w:r>
      <w:proofErr w:type="spellEnd"/>
      <w:r>
        <w:rPr>
          <w:i/>
        </w:rPr>
        <w:t xml:space="preserve"> przeciwko Hansowi </w:t>
      </w:r>
      <w:proofErr w:type="spellStart"/>
      <w:r>
        <w:rPr>
          <w:i/>
        </w:rPr>
        <w:t>Åkerbergowi</w:t>
      </w:r>
      <w:proofErr w:type="spellEnd"/>
      <w:r>
        <w:rPr>
          <w:i/>
        </w:rPr>
        <w:t xml:space="preserve"> </w:t>
      </w:r>
      <w:proofErr w:type="spellStart"/>
      <w:r>
        <w:rPr>
          <w:i/>
        </w:rPr>
        <w:t>Franssonowi</w:t>
      </w:r>
      <w:proofErr w:type="spellEnd"/>
      <w:r>
        <w:t xml:space="preserve">, w kwestii podatku od wartości dodanej, </w:t>
      </w:r>
      <w:r w:rsidR="008227A4">
        <w:t>ETS</w:t>
      </w:r>
      <w:r w:rsidR="00297C57">
        <w:t xml:space="preserve"> </w:t>
      </w:r>
      <w:r>
        <w:t xml:space="preserve">oświadczył, że zgodnie z zasadą </w:t>
      </w:r>
      <w:proofErr w:type="spellStart"/>
      <w:r>
        <w:rPr>
          <w:i/>
        </w:rPr>
        <w:t>ne</w:t>
      </w:r>
      <w:proofErr w:type="spellEnd"/>
      <w:r>
        <w:rPr>
          <w:i/>
        </w:rPr>
        <w:t xml:space="preserve"> bis in </w:t>
      </w:r>
      <w:proofErr w:type="spellStart"/>
      <w:r>
        <w:rPr>
          <w:i/>
        </w:rPr>
        <w:t>idem</w:t>
      </w:r>
      <w:proofErr w:type="spellEnd"/>
      <w:r w:rsidR="004115D4">
        <w:t>, p</w:t>
      </w:r>
      <w:r>
        <w:t>aństwo może nałożyć podwójną karę (</w:t>
      </w:r>
      <w:r w:rsidR="004115D4">
        <w:t>podatkową</w:t>
      </w:r>
      <w:r>
        <w:t xml:space="preserve"> lub karną) w odniesieniu do tych samych okoliczności, jeżeli pierwsza kara nie ma charakteru karnego (zobacz punkt  </w:t>
      </w:r>
      <w:r w:rsidRPr="00110749">
        <w:rPr>
          <w:szCs w:val="24"/>
        </w:rPr>
        <w:fldChar w:fldCharType="begin"/>
      </w:r>
      <w:r w:rsidRPr="00110749">
        <w:rPr>
          <w:szCs w:val="24"/>
        </w:rPr>
        <w:instrText xml:space="preserve"> REF arretFransson \h  \* MERGEFORMAT </w:instrText>
      </w:r>
      <w:r w:rsidRPr="00110749">
        <w:rPr>
          <w:szCs w:val="24"/>
        </w:rPr>
      </w:r>
      <w:r w:rsidRPr="00110749">
        <w:rPr>
          <w:szCs w:val="24"/>
        </w:rPr>
        <w:fldChar w:fldCharType="separate"/>
      </w:r>
      <w:r w:rsidR="00AB4482">
        <w:t>92</w:t>
      </w:r>
      <w:r w:rsidRPr="00110749">
        <w:rPr>
          <w:szCs w:val="24"/>
        </w:rPr>
        <w:fldChar w:fldCharType="end"/>
      </w:r>
      <w:r>
        <w:t xml:space="preserve"> powyżej).</w:t>
      </w:r>
    </w:p>
    <w:p w14:paraId="737B2C2F" w14:textId="5AF07459" w:rsidR="000D5DD6" w:rsidRPr="00110749" w:rsidRDefault="000D5DD6" w:rsidP="000D5DD6">
      <w:pPr>
        <w:pStyle w:val="ECHRHeading1"/>
      </w:pPr>
      <w:r>
        <w:t>VI.  </w:t>
      </w:r>
      <w:r w:rsidR="00494CD5">
        <w:t>ZA</w:t>
      </w:r>
      <w:r>
        <w:t>STOSOWANIE ARTYKUŁÓW 41 i 46 KONWENCJI</w:t>
      </w:r>
    </w:p>
    <w:p w14:paraId="575AEB54" w14:textId="77777777" w:rsidR="000D5DD6" w:rsidRPr="00110749" w:rsidRDefault="00346F6F" w:rsidP="000D5DD6">
      <w:pPr>
        <w:pStyle w:val="ECHRPara"/>
        <w:keepNext/>
        <w:keepLines/>
        <w:outlineLvl w:val="0"/>
      </w:pPr>
      <w:fldSimple w:instr=" SEQ level0 \*arabic ">
        <w:r w:rsidR="00AB4482">
          <w:rPr>
            <w:noProof/>
          </w:rPr>
          <w:t>230</w:t>
        </w:r>
      </w:fldSimple>
      <w:r w:rsidR="000D5DD6">
        <w:t>.  Artykuł 41 Konwencji stanowi:</w:t>
      </w:r>
    </w:p>
    <w:p w14:paraId="5602D0DA" w14:textId="55AC5332" w:rsidR="000D5DD6" w:rsidRPr="00110749" w:rsidRDefault="000D5DD6" w:rsidP="000D5DD6">
      <w:pPr>
        <w:pStyle w:val="ECHRParaQuote"/>
      </w:pPr>
      <w:r>
        <w:t>„Jeśli Trybunał stwierdzi, że nastąpiło naruszenie Konwencji lub jej Protokołów oraz jeśli prawo wewnętrzne zainteresowanej Wysokiej Układającej się Strony pozwala tylko na częściowe usunięcie</w:t>
      </w:r>
      <w:r w:rsidR="004115D4">
        <w:t xml:space="preserve"> </w:t>
      </w:r>
      <w:r>
        <w:t xml:space="preserve">konsekwencji tego naruszenia, Trybunał orzeka, gdy zachodzi </w:t>
      </w:r>
      <w:r w:rsidR="009A4CC9">
        <w:t xml:space="preserve">taka </w:t>
      </w:r>
      <w:r>
        <w:t xml:space="preserve">potrzeba, </w:t>
      </w:r>
      <w:r w:rsidR="009A4CC9">
        <w:t xml:space="preserve">o przyznaniu </w:t>
      </w:r>
      <w:r>
        <w:t>słuszne</w:t>
      </w:r>
      <w:r w:rsidR="009A4CC9">
        <w:t>go zadośćuczynienia</w:t>
      </w:r>
      <w:r>
        <w:t xml:space="preserve"> pokrzywdzonej stronie.”</w:t>
      </w:r>
    </w:p>
    <w:p w14:paraId="45132525" w14:textId="77777777" w:rsidR="000D5DD6" w:rsidRPr="00110749" w:rsidRDefault="00346F6F" w:rsidP="000D5DD6">
      <w:pPr>
        <w:pStyle w:val="ECHRPara"/>
      </w:pPr>
      <w:fldSimple w:instr=" SEQ level0 \*arabic ">
        <w:r w:rsidR="00AB4482">
          <w:rPr>
            <w:noProof/>
          </w:rPr>
          <w:t>231</w:t>
        </w:r>
      </w:fldSimple>
      <w:r w:rsidR="000D5DD6">
        <w:t>.  Odpowiednie części artykułu 46 Konwencji brzmią następująco:</w:t>
      </w:r>
    </w:p>
    <w:p w14:paraId="0A84D024" w14:textId="77777777" w:rsidR="000D5DD6" w:rsidRPr="00110749" w:rsidRDefault="000D5DD6" w:rsidP="000D5DD6">
      <w:pPr>
        <w:pStyle w:val="ECHRParaQuote"/>
      </w:pPr>
      <w:r>
        <w:t xml:space="preserve">„1.  Wysokie Układające się Strony zobowiązują się do przestrzegania ostatecznego wyroku Trybunału we wszystkich sprawach, w których są stronami. </w:t>
      </w:r>
    </w:p>
    <w:p w14:paraId="2431A46F" w14:textId="77777777" w:rsidR="00AB4482" w:rsidRDefault="000D5DD6" w:rsidP="000D5DD6">
      <w:pPr>
        <w:pStyle w:val="ECHRParaQuote"/>
      </w:pPr>
      <w:r>
        <w:t>2.  Ostateczny wyrok Trybunału przekazuje się Komitetowi Ministrów, który czuwa nad jego wykonaniem.</w:t>
      </w:r>
      <w:r w:rsidR="001A5216">
        <w:t xml:space="preserve"> .</w:t>
      </w:r>
      <w:r>
        <w:t>..</w:t>
      </w:r>
    </w:p>
    <w:p w14:paraId="1F7E085F" w14:textId="6387BED7" w:rsidR="000D5DD6" w:rsidRPr="00110749" w:rsidRDefault="000D5DD6" w:rsidP="000D5DD6">
      <w:pPr>
        <w:pStyle w:val="ECHRHeading2"/>
      </w:pPr>
      <w:r>
        <w:t>A.  Wskazanie środków</w:t>
      </w:r>
      <w:r w:rsidR="00856C7B">
        <w:t xml:space="preserve"> generalnych i indywidualnych</w:t>
      </w:r>
    </w:p>
    <w:p w14:paraId="4113FA61" w14:textId="69B12DD2" w:rsidR="000D5DD6" w:rsidRDefault="000D5DD6" w:rsidP="000D5DD6">
      <w:pPr>
        <w:pStyle w:val="ECHRHeading3"/>
      </w:pPr>
      <w:r>
        <w:t>1.  </w:t>
      </w:r>
      <w:r w:rsidR="008C53D5">
        <w:t>Z</w:t>
      </w:r>
      <w:r>
        <w:t>asady</w:t>
      </w:r>
      <w:r w:rsidR="008C53D5">
        <w:t xml:space="preserve"> ogólne</w:t>
      </w:r>
    </w:p>
    <w:p w14:paraId="36793B39" w14:textId="4579C203" w:rsidR="000D5DD6" w:rsidRPr="00A630EE" w:rsidRDefault="00346F6F" w:rsidP="000D5DD6">
      <w:pPr>
        <w:pStyle w:val="ECHRPara"/>
        <w:rPr>
          <w:szCs w:val="24"/>
        </w:rPr>
      </w:pPr>
      <w:fldSimple w:instr=" SEQ level0 \*arabic ">
        <w:r w:rsidR="00AB4482">
          <w:rPr>
            <w:noProof/>
          </w:rPr>
          <w:t>232</w:t>
        </w:r>
      </w:fldSimple>
      <w:r w:rsidR="00A630EE">
        <w:t>. </w:t>
      </w:r>
      <w:r w:rsidR="000D5DD6">
        <w:t>Każdy wyrok, w którym Trybunał stwierdza naruszenie, nakłada na pozwane Państwo prawne zobowiązanie z mocy artykułu 46 Ko</w:t>
      </w:r>
      <w:r w:rsidR="00A630EE">
        <w:t>nwencji zakończenia naruszenia oraz naprawienia</w:t>
      </w:r>
      <w:r w:rsidR="000D5DD6">
        <w:t xml:space="preserve"> </w:t>
      </w:r>
      <w:r w:rsidR="007C0316">
        <w:t xml:space="preserve">jego </w:t>
      </w:r>
      <w:r w:rsidR="000D5DD6">
        <w:t xml:space="preserve">konsekwencji w taki sposób, by przywrócić, w zakresie, w jakim to jest możliwe, sytuację istniejącą przed naruszeniem. Jeżeli, z drugiej strony, prawo krajowe nie </w:t>
      </w:r>
      <w:r w:rsidR="00650E2B">
        <w:t>po</w:t>
      </w:r>
      <w:r w:rsidR="000D5DD6">
        <w:t xml:space="preserve">zwala – lub </w:t>
      </w:r>
      <w:r w:rsidR="00650E2B">
        <w:t>po</w:t>
      </w:r>
      <w:r w:rsidR="000D5DD6">
        <w:t xml:space="preserve">zwala </w:t>
      </w:r>
      <w:r w:rsidR="00650E2B">
        <w:t>jedynie częściowo – na usunięcie</w:t>
      </w:r>
      <w:r w:rsidR="000D5DD6">
        <w:t xml:space="preserve"> konsekwencji naruszenia, artykuł 41 upoważnia Trybunał do </w:t>
      </w:r>
      <w:r w:rsidR="00650E2B">
        <w:t>przyznania</w:t>
      </w:r>
      <w:r w:rsidR="000D5DD6">
        <w:t xml:space="preserve"> stronie pokrzywdzonej takiego zadośćuczynienia, jakie </w:t>
      </w:r>
      <w:r w:rsidR="00650E2B">
        <w:t xml:space="preserve">uznaje za </w:t>
      </w:r>
      <w:r w:rsidR="000D5DD6">
        <w:t>właściwe. Wynika z tego m.in., że wyrok, w którym Trybunał stwierdzi naruszenie Konwencji lub Protokołów do Konwencji, nakłada na poz</w:t>
      </w:r>
      <w:r w:rsidR="00A630EE">
        <w:t>wane Państwo prawne zobowiązanie</w:t>
      </w:r>
      <w:r w:rsidR="000D5DD6">
        <w:t xml:space="preserve"> </w:t>
      </w:r>
      <w:r w:rsidR="00650E2B">
        <w:t xml:space="preserve">nie tylko </w:t>
      </w:r>
      <w:r w:rsidR="000D5DD6">
        <w:t xml:space="preserve">do zapłacenia na rzecz osób zainteresowanych kwot przyznanych w drodze zadośćuczynienia, ale także dokonania wyboru, pod nadzorem Komitetu </w:t>
      </w:r>
      <w:r w:rsidR="000D5DD6">
        <w:lastRenderedPageBreak/>
        <w:t xml:space="preserve">Ministrów, </w:t>
      </w:r>
      <w:r w:rsidR="00650E2B">
        <w:t>środków generalnych</w:t>
      </w:r>
      <w:r w:rsidR="000D5DD6">
        <w:t xml:space="preserve"> oraz/lub, o ile dotyczy, indywidualnych, jakie powinny być podjęte w ramach ich krajowych porządków prawnych (</w:t>
      </w:r>
      <w:r w:rsidR="000D5DD6" w:rsidRPr="00A630EE">
        <w:rPr>
          <w:szCs w:val="24"/>
        </w:rPr>
        <w:t xml:space="preserve">zobacz </w:t>
      </w:r>
      <w:proofErr w:type="spellStart"/>
      <w:r w:rsidR="000D5DD6" w:rsidRPr="00A630EE">
        <w:rPr>
          <w:i/>
          <w:szCs w:val="24"/>
        </w:rPr>
        <w:t>Maestri</w:t>
      </w:r>
      <w:proofErr w:type="spellEnd"/>
      <w:r w:rsidR="000D5DD6" w:rsidRPr="00A630EE">
        <w:rPr>
          <w:i/>
          <w:szCs w:val="24"/>
        </w:rPr>
        <w:t xml:space="preserve"> przeciwko Włochom </w:t>
      </w:r>
      <w:r w:rsidR="00347306">
        <w:rPr>
          <w:szCs w:val="24"/>
        </w:rPr>
        <w:t>[Wielka Izba]</w:t>
      </w:r>
      <w:r w:rsidR="00617EE6">
        <w:rPr>
          <w:szCs w:val="24"/>
        </w:rPr>
        <w:t xml:space="preserve">, nr 39748/98, </w:t>
      </w:r>
      <w:r w:rsidR="007E48CB">
        <w:rPr>
          <w:szCs w:val="24"/>
        </w:rPr>
        <w:t>§</w:t>
      </w:r>
      <w:r w:rsidR="000D5DD6" w:rsidRPr="00A630EE">
        <w:rPr>
          <w:szCs w:val="24"/>
        </w:rPr>
        <w:t xml:space="preserve"> 47, ECHR 2004</w:t>
      </w:r>
      <w:r w:rsidR="000D5DD6" w:rsidRPr="00A630EE">
        <w:rPr>
          <w:szCs w:val="24"/>
        </w:rPr>
        <w:noBreakHyphen/>
        <w:t xml:space="preserve">I; </w:t>
      </w:r>
      <w:proofErr w:type="spellStart"/>
      <w:r w:rsidR="000D5DD6" w:rsidRPr="00A630EE">
        <w:rPr>
          <w:i/>
          <w:szCs w:val="24"/>
        </w:rPr>
        <w:t>Assanidze</w:t>
      </w:r>
      <w:proofErr w:type="spellEnd"/>
      <w:r w:rsidR="000D5DD6" w:rsidRPr="00A630EE">
        <w:rPr>
          <w:i/>
          <w:szCs w:val="24"/>
        </w:rPr>
        <w:t xml:space="preserve"> przeciwko Gruzji </w:t>
      </w:r>
      <w:r w:rsidR="00347306">
        <w:rPr>
          <w:szCs w:val="24"/>
        </w:rPr>
        <w:t>[Wielka Izba]</w:t>
      </w:r>
      <w:r w:rsidR="000D5DD6" w:rsidRPr="00A630EE">
        <w:rPr>
          <w:szCs w:val="24"/>
        </w:rPr>
        <w:t xml:space="preserve">, nr 71503/01, </w:t>
      </w:r>
      <w:r w:rsidR="007E48CB">
        <w:rPr>
          <w:szCs w:val="24"/>
        </w:rPr>
        <w:t>§</w:t>
      </w:r>
      <w:r w:rsidR="000D5DD6" w:rsidRPr="00A630EE">
        <w:rPr>
          <w:szCs w:val="24"/>
        </w:rPr>
        <w:t xml:space="preserve"> 198, ECHR 2004</w:t>
      </w:r>
      <w:r w:rsidR="000D5DD6" w:rsidRPr="00A630EE">
        <w:rPr>
          <w:szCs w:val="24"/>
        </w:rPr>
        <w:noBreakHyphen/>
        <w:t xml:space="preserve">II; oraz </w:t>
      </w:r>
      <w:proofErr w:type="spellStart"/>
      <w:r w:rsidR="000D5DD6" w:rsidRPr="00A630EE">
        <w:rPr>
          <w:i/>
          <w:szCs w:val="24"/>
        </w:rPr>
        <w:t>Ilaşcu</w:t>
      </w:r>
      <w:proofErr w:type="spellEnd"/>
      <w:r w:rsidR="000D5DD6" w:rsidRPr="00A630EE">
        <w:rPr>
          <w:i/>
          <w:szCs w:val="24"/>
        </w:rPr>
        <w:t xml:space="preserve"> i inni przeciwko Mołdawii i Rosji </w:t>
      </w:r>
      <w:r w:rsidR="00347306">
        <w:rPr>
          <w:szCs w:val="24"/>
        </w:rPr>
        <w:t>[Wielka Izba]</w:t>
      </w:r>
      <w:r w:rsidR="000D5DD6" w:rsidRPr="00A630EE">
        <w:rPr>
          <w:szCs w:val="24"/>
        </w:rPr>
        <w:t xml:space="preserve">, nr 48787/99, </w:t>
      </w:r>
      <w:r w:rsidR="007E48CB">
        <w:rPr>
          <w:szCs w:val="24"/>
        </w:rPr>
        <w:t>§</w:t>
      </w:r>
      <w:r w:rsidR="000D5DD6" w:rsidRPr="00A630EE">
        <w:rPr>
          <w:szCs w:val="24"/>
        </w:rPr>
        <w:t xml:space="preserve"> 487, ECHR 2004</w:t>
      </w:r>
      <w:r w:rsidR="000D5DD6" w:rsidRPr="00A630EE">
        <w:rPr>
          <w:szCs w:val="24"/>
        </w:rPr>
        <w:noBreakHyphen/>
        <w:t>VII).</w:t>
      </w:r>
    </w:p>
    <w:p w14:paraId="63E1C755" w14:textId="7CEE0C7E" w:rsidR="00AB4482" w:rsidRDefault="00346F6F" w:rsidP="000D5DD6">
      <w:pPr>
        <w:pStyle w:val="ECHRPara"/>
      </w:pPr>
      <w:fldSimple w:instr=" SEQ level0 \*arabic ">
        <w:r w:rsidR="00AB4482">
          <w:rPr>
            <w:noProof/>
          </w:rPr>
          <w:t>233</w:t>
        </w:r>
      </w:fldSimple>
      <w:r w:rsidR="00A630EE">
        <w:t>. </w:t>
      </w:r>
      <w:r w:rsidR="000D5DD6">
        <w:t xml:space="preserve">Trybunał podkreśla, że jego wyroki są zasadniczo deklaratywne w swoim charakterze oraz że, ogólnie, </w:t>
      </w:r>
      <w:r w:rsidR="003168FC">
        <w:t>do</w:t>
      </w:r>
      <w:r w:rsidR="000D5DD6">
        <w:t xml:space="preserve"> dane</w:t>
      </w:r>
      <w:r w:rsidR="003168FC">
        <w:t>go Państwa należy wybór</w:t>
      </w:r>
      <w:r w:rsidR="000D5DD6">
        <w:t>, z zastrzeżeniem nadzoru ze s</w:t>
      </w:r>
      <w:r w:rsidR="003168FC">
        <w:t>trony Komitetu Ministrów, środków</w:t>
      </w:r>
      <w:r w:rsidR="000D5DD6">
        <w:t xml:space="preserve">, jakie należy </w:t>
      </w:r>
      <w:r w:rsidR="003168FC">
        <w:t>za</w:t>
      </w:r>
      <w:r w:rsidR="000D5DD6">
        <w:t xml:space="preserve">stosować w jego wewnętrznym porządku prawnym w celu wypełnienia zobowiązania wynikającego z artykułu 46 Konwencji, pod warunkiem, że środki </w:t>
      </w:r>
      <w:r w:rsidR="0094661E">
        <w:t xml:space="preserve">takie </w:t>
      </w:r>
      <w:r w:rsidR="000D5DD6">
        <w:t xml:space="preserve">są </w:t>
      </w:r>
      <w:r w:rsidR="0094661E">
        <w:t xml:space="preserve">zgodne z </w:t>
      </w:r>
      <w:r w:rsidR="000D5DD6">
        <w:t>wniosk</w:t>
      </w:r>
      <w:r w:rsidR="0094661E">
        <w:t>ami zawartymi</w:t>
      </w:r>
      <w:r w:rsidR="000D5DD6">
        <w:t xml:space="preserve"> w wyroku Trybunału (zobacz m.in. </w:t>
      </w:r>
      <w:proofErr w:type="spellStart"/>
      <w:r w:rsidR="000D5DD6">
        <w:rPr>
          <w:i/>
        </w:rPr>
        <w:t>Scozzari</w:t>
      </w:r>
      <w:proofErr w:type="spellEnd"/>
      <w:r w:rsidR="000D5DD6">
        <w:rPr>
          <w:i/>
        </w:rPr>
        <w:t xml:space="preserve"> i </w:t>
      </w:r>
      <w:proofErr w:type="spellStart"/>
      <w:r w:rsidR="000D5DD6">
        <w:rPr>
          <w:i/>
        </w:rPr>
        <w:t>Giunta</w:t>
      </w:r>
      <w:proofErr w:type="spellEnd"/>
      <w:r w:rsidR="000D5DD6">
        <w:rPr>
          <w:i/>
        </w:rPr>
        <w:t xml:space="preserve"> przeciwko Włochom </w:t>
      </w:r>
      <w:r w:rsidR="00347306">
        <w:t>[Wielka Izba]</w:t>
      </w:r>
      <w:r w:rsidR="000D5DD6">
        <w:t xml:space="preserve">, nr  39221/98 i 41963/98, </w:t>
      </w:r>
      <w:r w:rsidR="007E48CB">
        <w:t>§</w:t>
      </w:r>
      <w:r w:rsidR="000D5DD6">
        <w:t xml:space="preserve"> 249, ECHR 2000-VIII; </w:t>
      </w:r>
      <w:proofErr w:type="spellStart"/>
      <w:r w:rsidR="000D5DD6">
        <w:rPr>
          <w:i/>
        </w:rPr>
        <w:t>Brumărescu</w:t>
      </w:r>
      <w:proofErr w:type="spellEnd"/>
      <w:r w:rsidR="000D5DD6">
        <w:rPr>
          <w:i/>
        </w:rPr>
        <w:t xml:space="preserve"> przeciwko Rumunii </w:t>
      </w:r>
      <w:r w:rsidR="000D5DD6">
        <w:t>(s</w:t>
      </w:r>
      <w:r w:rsidR="003168FC">
        <w:t>łuszne</w:t>
      </w:r>
      <w:r w:rsidR="000D5DD6">
        <w:t xml:space="preserve"> zadośćuczynienie) </w:t>
      </w:r>
      <w:r w:rsidR="00347306">
        <w:t>[Wielka Izba]</w:t>
      </w:r>
      <w:r w:rsidR="000D5DD6">
        <w:t xml:space="preserve">, nr 28342/95, </w:t>
      </w:r>
      <w:r w:rsidR="007E48CB">
        <w:t>§</w:t>
      </w:r>
      <w:r w:rsidR="000D5DD6">
        <w:t xml:space="preserve"> 20, ECHR 2001-I; oraz </w:t>
      </w:r>
      <w:proofErr w:type="spellStart"/>
      <w:r w:rsidR="000D5DD6">
        <w:rPr>
          <w:i/>
        </w:rPr>
        <w:t>Öcalan</w:t>
      </w:r>
      <w:proofErr w:type="spellEnd"/>
      <w:r w:rsidR="000D5DD6">
        <w:rPr>
          <w:i/>
        </w:rPr>
        <w:t xml:space="preserve"> przeciwko Turcji </w:t>
      </w:r>
      <w:r w:rsidR="00347306">
        <w:t>[Wielka Izba]</w:t>
      </w:r>
      <w:r w:rsidR="000D5DD6">
        <w:t xml:space="preserve">, nr 46221/99, </w:t>
      </w:r>
      <w:r w:rsidR="007E48CB">
        <w:t>§</w:t>
      </w:r>
      <w:r w:rsidR="000D5DD6">
        <w:t xml:space="preserve"> 210, ECHR 2005-IV). Ta uznaniowość, jeżeli chodzi o sposób wykonania wyroku</w:t>
      </w:r>
      <w:r w:rsidR="003168FC">
        <w:t>,</w:t>
      </w:r>
      <w:r w:rsidR="000D5DD6">
        <w:t xml:space="preserve"> odzwierciedla wolność wyboru związaną z głównym zobowiązaniem U</w:t>
      </w:r>
      <w:r w:rsidR="00797013">
        <w:t xml:space="preserve">kładających </w:t>
      </w:r>
      <w:r w:rsidR="000D5DD6">
        <w:t>się Stron</w:t>
      </w:r>
      <w:r w:rsidR="00A630EE">
        <w:t>,</w:t>
      </w:r>
      <w:r w:rsidR="000D5DD6">
        <w:t xml:space="preserve"> wynikającym z Konwencji i polegającym na zapewnieniu gwarantowanych praw i wolności (zobacz </w:t>
      </w:r>
      <w:proofErr w:type="spellStart"/>
      <w:r w:rsidR="000D5DD6">
        <w:rPr>
          <w:i/>
        </w:rPr>
        <w:t>Papamichalopoulos</w:t>
      </w:r>
      <w:proofErr w:type="spellEnd"/>
      <w:r w:rsidR="000D5DD6">
        <w:rPr>
          <w:i/>
        </w:rPr>
        <w:t xml:space="preserve"> i inni przeciwko Grecji </w:t>
      </w:r>
      <w:r w:rsidR="000D5DD6">
        <w:t xml:space="preserve">(artykuł 50), 31 października 1995, </w:t>
      </w:r>
      <w:r w:rsidR="007E48CB">
        <w:t>§</w:t>
      </w:r>
      <w:r w:rsidR="000D5DD6">
        <w:t> 34, Seria A nr 330</w:t>
      </w:r>
      <w:r w:rsidR="000D5DD6">
        <w:noBreakHyphen/>
        <w:t>B).</w:t>
      </w:r>
    </w:p>
    <w:p w14:paraId="67A8E89C" w14:textId="1BF36267" w:rsidR="000D5DD6" w:rsidRPr="00110749" w:rsidRDefault="00346F6F" w:rsidP="000D5DD6">
      <w:pPr>
        <w:pStyle w:val="ECHRPara"/>
        <w:rPr>
          <w:i/>
        </w:rPr>
      </w:pPr>
      <w:fldSimple w:instr=" SEQ level0 \*arabic ">
        <w:r w:rsidR="00AB4482">
          <w:rPr>
            <w:noProof/>
          </w:rPr>
          <w:t>234</w:t>
        </w:r>
      </w:fldSimple>
      <w:r w:rsidR="00A630EE">
        <w:t>. </w:t>
      </w:r>
      <w:r w:rsidR="000D5DD6">
        <w:t xml:space="preserve">Jednakże, w wyjątkowej sytuacji, w celu udzielenia pomocy </w:t>
      </w:r>
      <w:r w:rsidR="003168FC">
        <w:t>Układającemu</w:t>
      </w:r>
      <w:r w:rsidR="000D5DD6">
        <w:t xml:space="preserve"> się Państwu w wypełnieniu jego zobowiązań wynikających z artykułu 46, Trybunał dołoży starań, by wskazać rodzaj środka, jaki powinien być podjęty w celu zakończenia danej sytuacji systemowej, której istnienie stwierdził. W takich okolicznościach, może zaproponować różne opcje oraz pozostawić wybór środka</w:t>
      </w:r>
      <w:r w:rsidR="003168FC">
        <w:t xml:space="preserve"> i jego wdrożenia </w:t>
      </w:r>
      <w:r w:rsidR="000D5DD6">
        <w:t xml:space="preserve">do uznania danego Państwa (zobacz, na przykład, </w:t>
      </w:r>
      <w:r w:rsidR="000D5DD6">
        <w:rPr>
          <w:i/>
        </w:rPr>
        <w:t xml:space="preserve">Broniowski przeciwko Polsce </w:t>
      </w:r>
      <w:r w:rsidR="00347306">
        <w:t>[Wielka Izba]</w:t>
      </w:r>
      <w:r w:rsidR="000D5DD6">
        <w:t xml:space="preserve">, nr 31443/96, </w:t>
      </w:r>
      <w:r w:rsidR="007E48CB">
        <w:t>§</w:t>
      </w:r>
      <w:r w:rsidR="000D5DD6">
        <w:t xml:space="preserve"> 194, ECHR 2004-V). W niektórych przypadkach, charakter </w:t>
      </w:r>
      <w:r w:rsidR="003168FC">
        <w:t>stwierdzonego</w:t>
      </w:r>
      <w:r w:rsidR="000D5DD6">
        <w:t xml:space="preserve"> naruszenia może być taki, że nie pozostawia faktycznego wyboru co do środków wymaganych w celu naprawienia sytuacji, </w:t>
      </w:r>
      <w:r w:rsidR="003168FC">
        <w:t>a</w:t>
      </w:r>
      <w:r w:rsidR="000D5DD6">
        <w:t xml:space="preserve"> Trybunał może podjąć decyzję o wskazaniu konkretnego środka (zobacz, na przykład, </w:t>
      </w:r>
      <w:proofErr w:type="spellStart"/>
      <w:r w:rsidR="000D5DD6">
        <w:rPr>
          <w:i/>
        </w:rPr>
        <w:t>Assanidze</w:t>
      </w:r>
      <w:proofErr w:type="spellEnd"/>
      <w:r w:rsidR="000D5DD6">
        <w:t xml:space="preserve">, </w:t>
      </w:r>
      <w:r w:rsidR="00A63E4A" w:rsidRPr="00A63E4A">
        <w:rPr>
          <w:i/>
        </w:rPr>
        <w:t>op. cit.</w:t>
      </w:r>
      <w:r w:rsidR="000D5DD6">
        <w:t xml:space="preserve">, </w:t>
      </w:r>
      <w:r w:rsidR="007E48CB">
        <w:t>§§</w:t>
      </w:r>
      <w:r w:rsidR="000D5DD6">
        <w:t xml:space="preserve"> 202 i 203; </w:t>
      </w:r>
      <w:proofErr w:type="spellStart"/>
      <w:r w:rsidR="000D5DD6">
        <w:rPr>
          <w:i/>
        </w:rPr>
        <w:t>Alexanian</w:t>
      </w:r>
      <w:proofErr w:type="spellEnd"/>
      <w:r w:rsidR="000D5DD6">
        <w:rPr>
          <w:i/>
        </w:rPr>
        <w:t xml:space="preserve"> przeciwko Rosji</w:t>
      </w:r>
      <w:r w:rsidR="000D5DD6">
        <w:t xml:space="preserve">, nr 46468/06, </w:t>
      </w:r>
      <w:r w:rsidR="007E48CB">
        <w:t>§</w:t>
      </w:r>
      <w:r w:rsidR="000D5DD6">
        <w:t xml:space="preserve"> 240, 22 grudnia 2008r.; </w:t>
      </w:r>
      <w:proofErr w:type="spellStart"/>
      <w:r w:rsidR="000D5DD6">
        <w:rPr>
          <w:i/>
        </w:rPr>
        <w:t>Fatullayev</w:t>
      </w:r>
      <w:proofErr w:type="spellEnd"/>
      <w:r w:rsidR="000D5DD6">
        <w:rPr>
          <w:i/>
        </w:rPr>
        <w:t xml:space="preserve"> przeciwko Azerbejdżanowi</w:t>
      </w:r>
      <w:r w:rsidR="000D5DD6">
        <w:t xml:space="preserve">, nr 40984/07, </w:t>
      </w:r>
      <w:r w:rsidR="007E48CB">
        <w:t>§§</w:t>
      </w:r>
      <w:r w:rsidR="000D5DD6">
        <w:t> 176 i  177, 22 kwietnia 2010</w:t>
      </w:r>
      <w:r w:rsidR="007E48CB">
        <w:t xml:space="preserve"> roku</w:t>
      </w:r>
      <w:r w:rsidR="000D5DD6">
        <w:t xml:space="preserve">; oraz </w:t>
      </w:r>
      <w:proofErr w:type="spellStart"/>
      <w:r w:rsidR="000D5DD6">
        <w:rPr>
          <w:i/>
        </w:rPr>
        <w:t>Oleksandr</w:t>
      </w:r>
      <w:proofErr w:type="spellEnd"/>
      <w:r w:rsidR="000D5DD6">
        <w:t xml:space="preserve"> </w:t>
      </w:r>
      <w:proofErr w:type="spellStart"/>
      <w:r w:rsidR="000D5DD6">
        <w:rPr>
          <w:i/>
        </w:rPr>
        <w:t>Volkov</w:t>
      </w:r>
      <w:proofErr w:type="spellEnd"/>
      <w:r w:rsidR="000D5DD6">
        <w:rPr>
          <w:i/>
        </w:rPr>
        <w:t xml:space="preserve"> przeciwko Ukrainie</w:t>
      </w:r>
      <w:r w:rsidR="000D5DD6">
        <w:t xml:space="preserve">, nr 21722/11, </w:t>
      </w:r>
      <w:r w:rsidR="007E48CB">
        <w:t>§</w:t>
      </w:r>
      <w:r w:rsidR="000D5DD6">
        <w:t> 208, 9 stycznia 2013</w:t>
      </w:r>
      <w:r w:rsidR="007E48CB">
        <w:t xml:space="preserve"> roku</w:t>
      </w:r>
      <w:r w:rsidR="000D5DD6">
        <w:t>).</w:t>
      </w:r>
    </w:p>
    <w:p w14:paraId="55F0959E" w14:textId="77777777" w:rsidR="000D5DD6" w:rsidRPr="00110749" w:rsidRDefault="000D5DD6" w:rsidP="000D5DD6">
      <w:pPr>
        <w:pStyle w:val="ECHRHeading3"/>
      </w:pPr>
      <w:r>
        <w:t>2.  Zastosowanie tych zasad w niniejszej sprawie</w:t>
      </w:r>
    </w:p>
    <w:p w14:paraId="09A8AC4A" w14:textId="6312BE64" w:rsidR="000D5DD6" w:rsidRPr="00110749" w:rsidRDefault="00346F6F" w:rsidP="000D5DD6">
      <w:pPr>
        <w:pStyle w:val="ECHRPara"/>
      </w:pPr>
      <w:fldSimple w:instr=" SEQ level0 \*arabic ">
        <w:r w:rsidR="00AB4482">
          <w:rPr>
            <w:noProof/>
          </w:rPr>
          <w:t>235</w:t>
        </w:r>
      </w:fldSimple>
      <w:r w:rsidR="00A630EE">
        <w:t>. </w:t>
      </w:r>
      <w:r w:rsidR="000D5DD6">
        <w:t>W konkretnych okolicznościach niniejszej sprawy, Trybunał nie uznaje z</w:t>
      </w:r>
      <w:r w:rsidR="00A630EE">
        <w:t>a konieczne wskazywanie</w:t>
      </w:r>
      <w:r w:rsidR="000D5DD6">
        <w:t xml:space="preserve"> środków</w:t>
      </w:r>
      <w:r w:rsidR="003168FC">
        <w:t xml:space="preserve"> generalnych</w:t>
      </w:r>
      <w:r w:rsidR="000D5DD6">
        <w:t>, jakie Państwo powinno podjąć w celu wykonania niniejszego wyroku.</w:t>
      </w:r>
    </w:p>
    <w:p w14:paraId="26E636DA" w14:textId="7A5B337C" w:rsidR="000D5DD6" w:rsidRPr="00110749" w:rsidRDefault="00346F6F" w:rsidP="000D5DD6">
      <w:pPr>
        <w:pStyle w:val="ECHRPara"/>
      </w:pPr>
      <w:fldSimple w:instr=" SEQ level0 \*arabic ">
        <w:r w:rsidR="00AB4482">
          <w:rPr>
            <w:noProof/>
          </w:rPr>
          <w:t>236</w:t>
        </w:r>
      </w:fldSimple>
      <w:r w:rsidR="00A630EE">
        <w:t>. </w:t>
      </w:r>
      <w:r w:rsidR="000D5DD6">
        <w:t>Z kolei jeżeli chodzi o środki indywidualne, Trybunał uznaje, że w niniejszej sprawie charakter stwierdzonego naruszenia jest taki</w:t>
      </w:r>
      <w:r w:rsidR="003168FC">
        <w:t>,</w:t>
      </w:r>
      <w:r w:rsidR="000D5DD6">
        <w:t xml:space="preserve"> że nie </w:t>
      </w:r>
      <w:r w:rsidR="000D5DD6">
        <w:lastRenderedPageBreak/>
        <w:t>pozostawia faktyczn</w:t>
      </w:r>
      <w:r w:rsidR="003168FC">
        <w:t>ie</w:t>
      </w:r>
      <w:r w:rsidR="000D5DD6">
        <w:t xml:space="preserve"> wyboru co do środków wymaganych dla jego naprawy.</w:t>
      </w:r>
    </w:p>
    <w:bookmarkStart w:id="49" w:name="obligationcloture"/>
    <w:p w14:paraId="68D303DD" w14:textId="3F7DD9A7" w:rsidR="000D5DD6" w:rsidRPr="00110749" w:rsidRDefault="000D5DD6" w:rsidP="000D5DD6">
      <w:pPr>
        <w:pStyle w:val="ECHRPara"/>
      </w:pPr>
      <w:r w:rsidRPr="00110749">
        <w:fldChar w:fldCharType="begin"/>
      </w:r>
      <w:r w:rsidRPr="00110749">
        <w:instrText xml:space="preserve"> SEQ level0 \*arabic </w:instrText>
      </w:r>
      <w:r w:rsidRPr="00110749">
        <w:fldChar w:fldCharType="separate"/>
      </w:r>
      <w:r w:rsidR="00AB4482">
        <w:rPr>
          <w:noProof/>
        </w:rPr>
        <w:t>237</w:t>
      </w:r>
      <w:r w:rsidRPr="00110749">
        <w:fldChar w:fldCharType="end"/>
      </w:r>
      <w:bookmarkEnd w:id="49"/>
      <w:r w:rsidR="00A630EE">
        <w:t>. </w:t>
      </w:r>
      <w:r>
        <w:t xml:space="preserve">W tych warunkach, uwzględniając konkretne okoliczności sprawy oraz pilną potrzebę zakończenia naruszenia artykułu 4 Protokołu </w:t>
      </w:r>
      <w:r w:rsidR="00B841DA">
        <w:t xml:space="preserve">nr </w:t>
      </w:r>
      <w:r>
        <w:t xml:space="preserve">7 (zobacz </w:t>
      </w:r>
      <w:r w:rsidR="007E48CB">
        <w:t>§</w:t>
      </w:r>
      <w:r>
        <w:t xml:space="preserve"> </w:t>
      </w:r>
      <w:r w:rsidRPr="00110749">
        <w:fldChar w:fldCharType="begin"/>
      </w:r>
      <w:r w:rsidRPr="00110749">
        <w:instrText xml:space="preserve"> REF constviol4prot7 \h </w:instrText>
      </w:r>
      <w:r w:rsidRPr="00110749">
        <w:fldChar w:fldCharType="separate"/>
      </w:r>
      <w:r w:rsidR="00AB4482">
        <w:rPr>
          <w:noProof/>
          <w:szCs w:val="24"/>
        </w:rPr>
        <w:t>228</w:t>
      </w:r>
      <w:r w:rsidRPr="00110749">
        <w:fldChar w:fldCharType="end"/>
      </w:r>
      <w:r>
        <w:t xml:space="preserve"> powyżej), Trybunał uznaje, że pozwane Państwo musi zapewnić, iż nowe postępowanie karne wniesione przeciwko skarżącym z naruszeniem tego postanowienia, które, zgo</w:t>
      </w:r>
      <w:r w:rsidR="00A630EE">
        <w:t xml:space="preserve">dnie z najnowszymi otrzymanymi </w:t>
      </w:r>
      <w:r>
        <w:t xml:space="preserve">informacjami, nadal jest w toku, zostanie jak najszybciej zamknięte, bez negatywnych konsekwencji dla skarżących (zobacz, </w:t>
      </w:r>
      <w:r>
        <w:rPr>
          <w:i/>
        </w:rPr>
        <w:t>mutatis mutandis</w:t>
      </w:r>
      <w:r>
        <w:t xml:space="preserve">, </w:t>
      </w:r>
      <w:proofErr w:type="spellStart"/>
      <w:r>
        <w:rPr>
          <w:i/>
        </w:rPr>
        <w:t>Assanidze</w:t>
      </w:r>
      <w:proofErr w:type="spellEnd"/>
      <w:r>
        <w:t xml:space="preserve">, </w:t>
      </w:r>
      <w:r w:rsidR="00A63E4A" w:rsidRPr="00A63E4A">
        <w:rPr>
          <w:i/>
        </w:rPr>
        <w:t>op. cit.</w:t>
      </w:r>
      <w:r>
        <w:t xml:space="preserve">, </w:t>
      </w:r>
      <w:r w:rsidR="007E48CB">
        <w:t>§</w:t>
      </w:r>
      <w:r>
        <w:t xml:space="preserve"> 203, oraz </w:t>
      </w:r>
      <w:proofErr w:type="spellStart"/>
      <w:r>
        <w:rPr>
          <w:i/>
        </w:rPr>
        <w:t>Oleksandr</w:t>
      </w:r>
      <w:proofErr w:type="spellEnd"/>
      <w:r>
        <w:t xml:space="preserve"> </w:t>
      </w:r>
      <w:proofErr w:type="spellStart"/>
      <w:r>
        <w:rPr>
          <w:i/>
        </w:rPr>
        <w:t>Volkov</w:t>
      </w:r>
      <w:proofErr w:type="spellEnd"/>
      <w:r>
        <w:t xml:space="preserve">, </w:t>
      </w:r>
      <w:r w:rsidR="00A63E4A" w:rsidRPr="00A63E4A">
        <w:rPr>
          <w:i/>
        </w:rPr>
        <w:t>op. cit.</w:t>
      </w:r>
      <w:r>
        <w:t xml:space="preserve">, </w:t>
      </w:r>
      <w:r w:rsidR="007E48CB">
        <w:t>§</w:t>
      </w:r>
      <w:r>
        <w:t> 208).</w:t>
      </w:r>
    </w:p>
    <w:p w14:paraId="024817BF" w14:textId="77777777" w:rsidR="000D5DD6" w:rsidRDefault="00AB4482" w:rsidP="000D5DD6">
      <w:pPr>
        <w:pStyle w:val="ECHRPara"/>
      </w:pPr>
      <w:r>
        <w:t>...</w:t>
      </w:r>
    </w:p>
    <w:p w14:paraId="22C3A16D" w14:textId="77777777" w:rsidR="003168FC" w:rsidRDefault="003168FC" w:rsidP="003168FC">
      <w:pPr>
        <w:pStyle w:val="ECHRPara"/>
        <w:ind w:firstLine="0"/>
        <w:rPr>
          <w:i/>
        </w:rPr>
      </w:pPr>
    </w:p>
    <w:p w14:paraId="46149E6D" w14:textId="77777777" w:rsidR="003168FC" w:rsidRPr="00D97A48" w:rsidRDefault="003168FC" w:rsidP="003168FC">
      <w:pPr>
        <w:pStyle w:val="ECHRPara"/>
        <w:ind w:firstLine="0"/>
        <w:rPr>
          <w:i/>
          <w:sz w:val="18"/>
        </w:rPr>
      </w:pPr>
      <w:r w:rsidRPr="00D97A48">
        <w:rPr>
          <w:i/>
          <w:sz w:val="18"/>
        </w:rPr>
        <w:t>[Paragrafy 238-245 dotyczące szkody oraz kosztów i wydatków zostały pominięte w niniejszym tłumaczeniu</w:t>
      </w:r>
      <w:r w:rsidR="0094661E">
        <w:rPr>
          <w:i/>
          <w:sz w:val="18"/>
        </w:rPr>
        <w:t xml:space="preserve"> – przyp. tłum.</w:t>
      </w:r>
      <w:r w:rsidRPr="00D97A48">
        <w:rPr>
          <w:i/>
          <w:sz w:val="18"/>
        </w:rPr>
        <w:t>]</w:t>
      </w:r>
    </w:p>
    <w:p w14:paraId="200EA58C" w14:textId="77777777" w:rsidR="000D5DD6" w:rsidRPr="00110749" w:rsidRDefault="000D5DD6" w:rsidP="000D5DD6">
      <w:pPr>
        <w:pStyle w:val="ECHRTitle1"/>
      </w:pPr>
      <w:r>
        <w:t>Z TYCH PRZYCZYN, TRYBUNAŁ</w:t>
      </w:r>
    </w:p>
    <w:p w14:paraId="114E804F" w14:textId="77777777" w:rsidR="00D97A48" w:rsidRPr="00D97A48" w:rsidRDefault="00D97A48" w:rsidP="00D97A48">
      <w:pPr>
        <w:pStyle w:val="JuList"/>
      </w:pPr>
      <w:r w:rsidRPr="00CB1611">
        <w:t>1</w:t>
      </w:r>
      <w:r w:rsidR="00CB1611" w:rsidRPr="00CB1611">
        <w:t>.</w:t>
      </w:r>
      <w:r w:rsidRPr="00D97A48">
        <w:rPr>
          <w:i/>
        </w:rPr>
        <w:t xml:space="preserve">   Uznaje </w:t>
      </w:r>
      <w:r w:rsidRPr="00D97A48">
        <w:t>jednogłośnie, że pozostała część skarg jest dopuszczalna;</w:t>
      </w:r>
    </w:p>
    <w:p w14:paraId="0B9D0263" w14:textId="77777777" w:rsidR="000D5DD6" w:rsidRPr="00D97A48" w:rsidRDefault="000D5DD6" w:rsidP="000D5DD6">
      <w:pPr>
        <w:pStyle w:val="JuList"/>
      </w:pPr>
    </w:p>
    <w:p w14:paraId="21713F79" w14:textId="77777777" w:rsidR="000D5DD6" w:rsidRPr="00110749" w:rsidRDefault="000D5DD6" w:rsidP="000D5DD6">
      <w:pPr>
        <w:pStyle w:val="JuList"/>
      </w:pPr>
      <w:r>
        <w:t>2.  </w:t>
      </w:r>
      <w:r>
        <w:rPr>
          <w:i/>
        </w:rPr>
        <w:t>Orzeka</w:t>
      </w:r>
      <w:r>
        <w:t xml:space="preserve"> jednogłośnie, że n</w:t>
      </w:r>
      <w:r w:rsidR="00970AAE">
        <w:t xml:space="preserve">astąpiło naruszenie artykułu 6 ust. </w:t>
      </w:r>
      <w:r>
        <w:t xml:space="preserve">1 </w:t>
      </w:r>
      <w:r w:rsidR="008C67FB">
        <w:t>K</w:t>
      </w:r>
      <w:r>
        <w:t>onwencji;</w:t>
      </w:r>
    </w:p>
    <w:p w14:paraId="109CBE95" w14:textId="77777777" w:rsidR="000D5DD6" w:rsidRPr="00110749" w:rsidRDefault="000D5DD6" w:rsidP="000D5DD6">
      <w:pPr>
        <w:pStyle w:val="JuList"/>
      </w:pPr>
    </w:p>
    <w:p w14:paraId="2D6A3A10" w14:textId="77777777" w:rsidR="00D97A48" w:rsidRPr="00D97A48" w:rsidRDefault="00D97A48" w:rsidP="00D97A48">
      <w:pPr>
        <w:pStyle w:val="JuList"/>
      </w:pPr>
      <w:r w:rsidRPr="0004513A">
        <w:t>3.  </w:t>
      </w:r>
      <w:r w:rsidRPr="008C67FB">
        <w:rPr>
          <w:i/>
        </w:rPr>
        <w:t>Orzek</w:t>
      </w:r>
      <w:r w:rsidRPr="00D97A48">
        <w:t>a sześcioma głosami do jednego, że nie doszło do naruszenia art. 6 ust. 3 </w:t>
      </w:r>
      <w:r>
        <w:t xml:space="preserve">lit. </w:t>
      </w:r>
      <w:r w:rsidRPr="00D97A48">
        <w:t xml:space="preserve">a) </w:t>
      </w:r>
      <w:r w:rsidR="0094661E">
        <w:t>i</w:t>
      </w:r>
      <w:r>
        <w:t xml:space="preserve"> </w:t>
      </w:r>
      <w:r w:rsidRPr="00D97A48">
        <w:t xml:space="preserve">c) </w:t>
      </w:r>
      <w:r>
        <w:t xml:space="preserve">wobec Pana </w:t>
      </w:r>
      <w:r w:rsidRPr="00D97A48">
        <w:t>Grande Stevens</w:t>
      </w:r>
      <w:r>
        <w:t>a</w:t>
      </w:r>
      <w:r w:rsidRPr="00D97A48">
        <w:t>;</w:t>
      </w:r>
    </w:p>
    <w:p w14:paraId="5F423E65" w14:textId="77777777" w:rsidR="00D97A48" w:rsidRPr="00D97A48" w:rsidRDefault="00D97A48" w:rsidP="00D97A48">
      <w:pPr>
        <w:pStyle w:val="JuList"/>
      </w:pPr>
    </w:p>
    <w:p w14:paraId="0B608695" w14:textId="77777777" w:rsidR="00D97A48" w:rsidRPr="00D97A48" w:rsidRDefault="00D97A48" w:rsidP="00D97A48">
      <w:pPr>
        <w:pStyle w:val="JuList"/>
      </w:pPr>
      <w:r w:rsidRPr="0004513A">
        <w:t>4</w:t>
      </w:r>
      <w:r w:rsidRPr="008C67FB">
        <w:rPr>
          <w:i/>
        </w:rPr>
        <w:t>.  Orzeka</w:t>
      </w:r>
      <w:r w:rsidRPr="00D97A48">
        <w:t xml:space="preserve"> pięcioma głosami do dwóch, że nie doszło do naruszenia art. 1 Protokołu nr 1;</w:t>
      </w:r>
    </w:p>
    <w:p w14:paraId="1117A619" w14:textId="77777777" w:rsidR="000D5DD6" w:rsidRPr="00D97A48" w:rsidRDefault="000D5DD6" w:rsidP="000D5DD6">
      <w:pPr>
        <w:pStyle w:val="JuList"/>
      </w:pPr>
    </w:p>
    <w:p w14:paraId="534BC7C0" w14:textId="77777777" w:rsidR="000D5DD6" w:rsidRPr="00110749" w:rsidRDefault="000D5DD6" w:rsidP="000D5DD6">
      <w:pPr>
        <w:pStyle w:val="JuList"/>
      </w:pPr>
      <w:r>
        <w:t>5.  </w:t>
      </w:r>
      <w:r>
        <w:rPr>
          <w:i/>
        </w:rPr>
        <w:t>Orzeka</w:t>
      </w:r>
      <w:r>
        <w:t xml:space="preserve"> jednogłośnie, że nastąpiło naruszenie artykułu 4 Protokołu </w:t>
      </w:r>
      <w:r w:rsidR="00B841DA">
        <w:t xml:space="preserve">nr </w:t>
      </w:r>
      <w:r>
        <w:t>7;</w:t>
      </w:r>
    </w:p>
    <w:p w14:paraId="1D3AF335" w14:textId="77777777" w:rsidR="000D5DD6" w:rsidRPr="00110749" w:rsidRDefault="000D5DD6" w:rsidP="000D5DD6">
      <w:pPr>
        <w:pStyle w:val="JuList"/>
      </w:pPr>
    </w:p>
    <w:p w14:paraId="799105A7" w14:textId="1B8031C8" w:rsidR="000D5DD6" w:rsidRPr="00110749" w:rsidRDefault="000D5DD6" w:rsidP="000D5DD6">
      <w:pPr>
        <w:pStyle w:val="JuList"/>
      </w:pPr>
      <w:r>
        <w:t>6.  </w:t>
      </w:r>
      <w:r>
        <w:rPr>
          <w:i/>
        </w:rPr>
        <w:t>Orzeka</w:t>
      </w:r>
      <w:r>
        <w:t xml:space="preserve"> jednogłośnie, że pozwane Państwo musi zapewnić, </w:t>
      </w:r>
      <w:r w:rsidR="008C67FB">
        <w:t xml:space="preserve">by </w:t>
      </w:r>
      <w:r>
        <w:t xml:space="preserve">nowe postępowanie karne, </w:t>
      </w:r>
      <w:r w:rsidR="008C67FB">
        <w:t>wszczęte</w:t>
      </w:r>
      <w:r>
        <w:t xml:space="preserve"> przeciwko skarżącym z naruszeniem artykułu 4 Protokołu </w:t>
      </w:r>
      <w:r w:rsidR="00B841DA">
        <w:t xml:space="preserve">nr </w:t>
      </w:r>
      <w:r>
        <w:t xml:space="preserve">7, które, zgodnie z najnowszymi otrzymanymi informacjami, nadal jest w toku w stosunku do Pana </w:t>
      </w:r>
      <w:proofErr w:type="spellStart"/>
      <w:r>
        <w:t>Gabettiego</w:t>
      </w:r>
      <w:proofErr w:type="spellEnd"/>
      <w:r>
        <w:t xml:space="preserve"> i Pana Grande Stevensa, zosta</w:t>
      </w:r>
      <w:r w:rsidR="008C67FB">
        <w:t>ło</w:t>
      </w:r>
      <w:r>
        <w:t xml:space="preserve"> jak najszybciej zamknięte (zobacz </w:t>
      </w:r>
      <w:r w:rsidR="008C67FB">
        <w:t>punkt</w:t>
      </w:r>
      <w:r>
        <w:t xml:space="preserve"> </w:t>
      </w:r>
      <w:r w:rsidRPr="00110749">
        <w:fldChar w:fldCharType="begin"/>
      </w:r>
      <w:r w:rsidRPr="00110749">
        <w:instrText xml:space="preserve"> REF obligationcloture \h </w:instrText>
      </w:r>
      <w:r w:rsidRPr="00110749">
        <w:fldChar w:fldCharType="separate"/>
      </w:r>
      <w:r w:rsidR="00AB4482">
        <w:rPr>
          <w:noProof/>
        </w:rPr>
        <w:t>237</w:t>
      </w:r>
      <w:r w:rsidRPr="00110749">
        <w:fldChar w:fldCharType="end"/>
      </w:r>
      <w:r>
        <w:t xml:space="preserve"> powyżej);</w:t>
      </w:r>
    </w:p>
    <w:p w14:paraId="4B92C9DC" w14:textId="77777777" w:rsidR="000D5DD6" w:rsidRPr="00110749" w:rsidRDefault="000D5DD6" w:rsidP="000D5DD6">
      <w:pPr>
        <w:pStyle w:val="JuList"/>
      </w:pPr>
    </w:p>
    <w:p w14:paraId="72715468" w14:textId="77777777" w:rsidR="00D97A48" w:rsidRPr="0004513A" w:rsidRDefault="00D97A48" w:rsidP="00D97A48">
      <w:pPr>
        <w:pStyle w:val="JuList"/>
      </w:pPr>
      <w:r w:rsidRPr="0004513A">
        <w:t>7.  </w:t>
      </w:r>
      <w:r w:rsidRPr="0004513A">
        <w:rPr>
          <w:i/>
        </w:rPr>
        <w:t>Orzeka</w:t>
      </w:r>
      <w:r w:rsidRPr="0004513A">
        <w:t xml:space="preserve"> jednogłośnie, </w:t>
      </w:r>
      <w:r w:rsidRPr="0004513A">
        <w:rPr>
          <w:i/>
        </w:rPr>
        <w:t xml:space="preserve"> </w:t>
      </w:r>
    </w:p>
    <w:p w14:paraId="00C0150B" w14:textId="77777777" w:rsidR="00D97A48" w:rsidRPr="00D97A48" w:rsidRDefault="00D97A48" w:rsidP="00D97A48">
      <w:pPr>
        <w:pStyle w:val="JuLista"/>
      </w:pPr>
      <w:r w:rsidRPr="00D97A48">
        <w:t>a)  że pozwane Państwo jest zobowiązane wypłacić, w ciągu trzech miesięcy od dnia, w którym</w:t>
      </w:r>
      <w:r w:rsidR="008C67FB">
        <w:t xml:space="preserve"> niniejszy</w:t>
      </w:r>
      <w:r w:rsidRPr="00D97A48">
        <w:t xml:space="preserve"> wyrok stanie się ostateczny zgodnie z art. 44 ust.</w:t>
      </w:r>
      <w:r>
        <w:t xml:space="preserve"> </w:t>
      </w:r>
      <w:r w:rsidRPr="00D97A48">
        <w:t xml:space="preserve">2 </w:t>
      </w:r>
      <w:r>
        <w:t>Konwencji, następujące kwoty</w:t>
      </w:r>
      <w:r w:rsidRPr="00D97A48">
        <w:t>:</w:t>
      </w:r>
    </w:p>
    <w:p w14:paraId="63F3F2D4" w14:textId="77777777" w:rsidR="00D97A48" w:rsidRPr="00D97A48" w:rsidRDefault="00D97A48" w:rsidP="00D97A48">
      <w:pPr>
        <w:pStyle w:val="JuListi"/>
        <w:rPr>
          <w:lang w:eastAsia="en-GB"/>
        </w:rPr>
      </w:pPr>
      <w:r w:rsidRPr="00D97A48">
        <w:rPr>
          <w:lang w:eastAsia="en-GB"/>
        </w:rPr>
        <w:t xml:space="preserve">i)  10 000 EUR (dziesięć tysięcy euro), powiększone o jakąkolwiek kwotę, </w:t>
      </w:r>
      <w:r w:rsidR="008C67FB">
        <w:rPr>
          <w:lang w:eastAsia="en-GB"/>
        </w:rPr>
        <w:t xml:space="preserve">jaka </w:t>
      </w:r>
      <w:r w:rsidRPr="00D97A48">
        <w:rPr>
          <w:lang w:eastAsia="en-GB"/>
        </w:rPr>
        <w:t xml:space="preserve">mogłaby być należna tytułem podatków, każdemu skarżącemu </w:t>
      </w:r>
      <w:r w:rsidR="008C67FB">
        <w:rPr>
          <w:lang w:eastAsia="en-GB"/>
        </w:rPr>
        <w:t>z tytułu szkody moralnej</w:t>
      </w:r>
      <w:r w:rsidRPr="00D97A48">
        <w:rPr>
          <w:lang w:eastAsia="en-GB"/>
        </w:rPr>
        <w:t>;</w:t>
      </w:r>
    </w:p>
    <w:p w14:paraId="20B792D3" w14:textId="77777777" w:rsidR="00D97A48" w:rsidRDefault="00D97A48" w:rsidP="006942C4">
      <w:pPr>
        <w:pStyle w:val="JuListi"/>
      </w:pPr>
      <w:r w:rsidRPr="00D97A48">
        <w:rPr>
          <w:lang w:eastAsia="en-GB"/>
        </w:rPr>
        <w:lastRenderedPageBreak/>
        <w:t xml:space="preserve">ii)  40 000 EUR (czterdzieści tysięcy euro), powiększone o jakąkolwiek kwotę, </w:t>
      </w:r>
      <w:r w:rsidR="008C67FB">
        <w:rPr>
          <w:lang w:eastAsia="en-GB"/>
        </w:rPr>
        <w:t>jaka</w:t>
      </w:r>
      <w:r w:rsidRPr="00D97A48">
        <w:rPr>
          <w:lang w:eastAsia="en-GB"/>
        </w:rPr>
        <w:t xml:space="preserve"> mogłaby być należna tytułem podatków, </w:t>
      </w:r>
      <w:r>
        <w:t>wspólnie skarżącym tytułem kosztów i wydatków</w:t>
      </w:r>
      <w:r w:rsidRPr="00D97A48">
        <w:t>;</w:t>
      </w:r>
    </w:p>
    <w:p w14:paraId="3D88657F" w14:textId="77777777" w:rsidR="002F6AAD" w:rsidRPr="006942C4" w:rsidRDefault="002F6AAD" w:rsidP="00CB1611">
      <w:pPr>
        <w:pStyle w:val="JuLista"/>
      </w:pPr>
      <w:r w:rsidRPr="006942C4">
        <w:t>b) że od momentu upływu wyżej wskazanego terminu trzech miesięcy aż do momentu uregulowania należności, należne będą odsetki zwykłe od określon</w:t>
      </w:r>
      <w:r w:rsidR="008C67FB" w:rsidRPr="006942C4">
        <w:t>ych</w:t>
      </w:r>
      <w:r w:rsidRPr="006942C4">
        <w:t xml:space="preserve"> powyżej kwot, naliczone według stopy równej marginalnej stopie procentowej Europejskiego Banku Centralnego obowiązującej w tym okresie, powiększonej o trzy punkty procentowe;</w:t>
      </w:r>
    </w:p>
    <w:p w14:paraId="34AA7F7F" w14:textId="77777777" w:rsidR="002F6AAD" w:rsidRPr="002F6AAD" w:rsidRDefault="002F6AAD" w:rsidP="002F6AAD">
      <w:pPr>
        <w:pStyle w:val="JuLista"/>
        <w:rPr>
          <w:lang w:eastAsia="en-GB"/>
        </w:rPr>
      </w:pPr>
    </w:p>
    <w:p w14:paraId="0BE9F41F" w14:textId="77777777" w:rsidR="002F6AAD" w:rsidRPr="002F6AAD" w:rsidRDefault="002F6AAD" w:rsidP="002F6AAD">
      <w:pPr>
        <w:pStyle w:val="JuList"/>
      </w:pPr>
      <w:r w:rsidRPr="00CB1611">
        <w:t xml:space="preserve"> </w:t>
      </w:r>
      <w:r w:rsidRPr="0004513A">
        <w:t>8.  </w:t>
      </w:r>
      <w:r w:rsidRPr="002F6AAD">
        <w:rPr>
          <w:i/>
        </w:rPr>
        <w:t>Oddala</w:t>
      </w:r>
      <w:r w:rsidRPr="002F6AAD">
        <w:t xml:space="preserve"> pięcioma głosami do dwóch </w:t>
      </w:r>
      <w:r>
        <w:t xml:space="preserve">dalsze </w:t>
      </w:r>
      <w:r w:rsidRPr="002F6AAD">
        <w:t>roszczenie o przyznanie słusznego zadośćuczynienia.</w:t>
      </w:r>
    </w:p>
    <w:p w14:paraId="2946F998" w14:textId="77777777" w:rsidR="00D97A48" w:rsidRPr="002F6AAD" w:rsidRDefault="00D97A48" w:rsidP="00D97A48">
      <w:pPr>
        <w:pStyle w:val="JuLista"/>
      </w:pPr>
    </w:p>
    <w:p w14:paraId="22E1F5C4" w14:textId="1B387027" w:rsidR="000D5DD6" w:rsidRPr="00110749" w:rsidRDefault="000D5DD6" w:rsidP="000D5DD6">
      <w:pPr>
        <w:pStyle w:val="JuParaLast"/>
      </w:pPr>
      <w:r>
        <w:t xml:space="preserve">Sporządzono w języku francuskim oraz obwieszczono na piśmie w dniu 4 marca 2014 roku, zgodnie z </w:t>
      </w:r>
      <w:r w:rsidR="002F6AAD">
        <w:t>art.</w:t>
      </w:r>
      <w:r>
        <w:t xml:space="preserve"> 77 </w:t>
      </w:r>
      <w:r w:rsidR="00617EE6">
        <w:t>ust.</w:t>
      </w:r>
      <w:r>
        <w:t xml:space="preserve"> 2 i 3 Regulaminu Trybunału.</w:t>
      </w:r>
    </w:p>
    <w:p w14:paraId="519E26DC" w14:textId="5F3353FE" w:rsidR="000D5DD6" w:rsidRPr="00110749" w:rsidRDefault="000D5DD6" w:rsidP="000D5DD6">
      <w:pPr>
        <w:pStyle w:val="JuSigned"/>
      </w:pPr>
      <w:r>
        <w:tab/>
        <w:t xml:space="preserve">Stanley </w:t>
      </w:r>
      <w:proofErr w:type="spellStart"/>
      <w:r>
        <w:t>Naismith</w:t>
      </w:r>
      <w:proofErr w:type="spellEnd"/>
      <w:r>
        <w:tab/>
      </w:r>
      <w:proofErr w:type="spellStart"/>
      <w:r>
        <w:t>Işıl</w:t>
      </w:r>
      <w:proofErr w:type="spellEnd"/>
      <w:r>
        <w:t xml:space="preserve"> </w:t>
      </w:r>
      <w:proofErr w:type="spellStart"/>
      <w:r>
        <w:t>Karakaş</w:t>
      </w:r>
      <w:proofErr w:type="spellEnd"/>
      <w:r>
        <w:br/>
      </w:r>
      <w:r>
        <w:tab/>
      </w:r>
      <w:r w:rsidR="002F6AAD">
        <w:t>Kanclerz</w:t>
      </w:r>
      <w:r>
        <w:tab/>
        <w:t>Przewodniczący</w:t>
      </w:r>
    </w:p>
    <w:p w14:paraId="3B45AAC7" w14:textId="77777777" w:rsidR="008C67FB" w:rsidRDefault="008C67FB" w:rsidP="000D5DD6">
      <w:pPr>
        <w:pStyle w:val="JuParaLast"/>
        <w:spacing w:before="360"/>
      </w:pPr>
    </w:p>
    <w:p w14:paraId="7AB55A7F" w14:textId="1F78CE55" w:rsidR="000D5DD6" w:rsidRPr="00110749" w:rsidRDefault="003318E0" w:rsidP="000D5DD6">
      <w:pPr>
        <w:pStyle w:val="JuParaLast"/>
        <w:spacing w:before="360"/>
      </w:pPr>
      <w:r>
        <w:t>Zgodnie z artykułem 45 ust.</w:t>
      </w:r>
      <w:r w:rsidR="00F920D2">
        <w:t xml:space="preserve"> 2 Konwencji i </w:t>
      </w:r>
      <w:r w:rsidR="002F6AAD">
        <w:t>art.</w:t>
      </w:r>
      <w:r w:rsidR="00F920D2">
        <w:t xml:space="preserve"> 74 ust.</w:t>
      </w:r>
      <w:r w:rsidR="000D5DD6">
        <w:t xml:space="preserve"> 2 Regulaminu Trybunału, </w:t>
      </w:r>
      <w:r w:rsidR="008C67FB">
        <w:t xml:space="preserve">do niniejszego wyroku dołączona została </w:t>
      </w:r>
      <w:r w:rsidR="002F6AAD">
        <w:t xml:space="preserve">wspólna opinia odrębna, </w:t>
      </w:r>
      <w:r w:rsidR="000D5DD6">
        <w:t>częściowo z</w:t>
      </w:r>
      <w:r w:rsidR="002F6AAD">
        <w:t>bieżna</w:t>
      </w:r>
      <w:r w:rsidR="000D5DD6">
        <w:t xml:space="preserve">, a częściowo </w:t>
      </w:r>
      <w:r w:rsidR="002F6AAD">
        <w:t xml:space="preserve">rozbieżna, </w:t>
      </w:r>
      <w:r w:rsidR="008C67FB">
        <w:t>którą złożyli Sędziowie</w:t>
      </w:r>
      <w:r w:rsidR="000D5DD6">
        <w:t xml:space="preserve"> </w:t>
      </w:r>
      <w:proofErr w:type="spellStart"/>
      <w:r w:rsidR="000D5DD6">
        <w:t>Karakaş</w:t>
      </w:r>
      <w:proofErr w:type="spellEnd"/>
      <w:r w:rsidR="000D5DD6">
        <w:t xml:space="preserve"> i </w:t>
      </w:r>
      <w:proofErr w:type="spellStart"/>
      <w:r w:rsidR="000D5DD6">
        <w:t>Pinto</w:t>
      </w:r>
      <w:proofErr w:type="spellEnd"/>
      <w:r w:rsidR="000D5DD6">
        <w:t xml:space="preserve"> de Albuquerque</w:t>
      </w:r>
      <w:r w:rsidR="008C67FB">
        <w:t>.</w:t>
      </w:r>
    </w:p>
    <w:p w14:paraId="1A5DC1E9" w14:textId="77777777" w:rsidR="0035061B" w:rsidRPr="008C67FB" w:rsidRDefault="000D5DD6" w:rsidP="00EC291C">
      <w:pPr>
        <w:pStyle w:val="JuInitialled"/>
        <w:rPr>
          <w:sz w:val="20"/>
        </w:rPr>
      </w:pPr>
      <w:r w:rsidRPr="008C67FB">
        <w:rPr>
          <w:sz w:val="20"/>
        </w:rPr>
        <w:t xml:space="preserve">A.I.K. </w:t>
      </w:r>
      <w:r w:rsidRPr="008C67FB">
        <w:rPr>
          <w:sz w:val="20"/>
        </w:rPr>
        <w:br/>
        <w:t>S.H.N.</w:t>
      </w:r>
    </w:p>
    <w:p w14:paraId="19E4C038" w14:textId="77777777" w:rsidR="0035061B" w:rsidRPr="008C67FB" w:rsidRDefault="0035061B" w:rsidP="0035061B">
      <w:pPr>
        <w:pStyle w:val="JuInitialled"/>
        <w:jc w:val="both"/>
        <w:rPr>
          <w:sz w:val="20"/>
        </w:rPr>
      </w:pPr>
    </w:p>
    <w:p w14:paraId="77AEDD23" w14:textId="77777777" w:rsidR="0035061B" w:rsidRDefault="0035061B" w:rsidP="0035061B">
      <w:pPr>
        <w:pStyle w:val="JuInitialled"/>
        <w:jc w:val="both"/>
        <w:sectPr w:rsidR="0035061B" w:rsidSect="00A507AB">
          <w:headerReference w:type="default" r:id="rId17"/>
          <w:footerReference w:type="default" r:id="rId18"/>
          <w:footnotePr>
            <w:numRestart w:val="eachPage"/>
          </w:footnotePr>
          <w:pgSz w:w="11906" w:h="16838" w:code="9"/>
          <w:pgMar w:top="2274" w:right="2274" w:bottom="2274" w:left="2274" w:header="1701" w:footer="720" w:gutter="0"/>
          <w:cols w:space="720"/>
          <w:docGrid w:linePitch="326"/>
        </w:sectPr>
      </w:pPr>
    </w:p>
    <w:p w14:paraId="0A667BC8" w14:textId="77777777" w:rsidR="002F6AAD" w:rsidRDefault="002F6AAD">
      <w:pPr>
        <w:jc w:val="left"/>
        <w:rPr>
          <w:rFonts w:asciiTheme="majorHAnsi" w:hAnsiTheme="majorHAnsi"/>
          <w:sz w:val="28"/>
        </w:rPr>
      </w:pPr>
      <w:r>
        <w:br w:type="page"/>
      </w:r>
    </w:p>
    <w:p w14:paraId="18A76912" w14:textId="02F2851A" w:rsidR="00A507AB" w:rsidRPr="003833F8" w:rsidRDefault="00F927EB" w:rsidP="003833F8">
      <w:pPr>
        <w:pStyle w:val="ECHRTitleCentre1"/>
      </w:pPr>
      <w:r>
        <w:lastRenderedPageBreak/>
        <w:t>CZĘŚCIOWO Z</w:t>
      </w:r>
      <w:r w:rsidR="00EB5F38">
        <w:t>BIEŻNA</w:t>
      </w:r>
      <w:r>
        <w:t xml:space="preserve">, A CZĘŚCIOWO </w:t>
      </w:r>
      <w:r w:rsidR="00BB4D87">
        <w:t>ROZBIEŻNA</w:t>
      </w:r>
      <w:r>
        <w:t xml:space="preserve"> OPINIA </w:t>
      </w:r>
      <w:r w:rsidR="00BB4D87">
        <w:t>ODRĘBNA</w:t>
      </w:r>
      <w:r w:rsidR="00EB5F38">
        <w:t>, KTÓRĄ ZŁOŻYLI</w:t>
      </w:r>
      <w:r w:rsidR="00BB4D87">
        <w:t xml:space="preserve"> </w:t>
      </w:r>
      <w:r w:rsidR="00EB5F38">
        <w:t>SĘDZIOWIE</w:t>
      </w:r>
      <w:r>
        <w:t xml:space="preserve"> KARAKAŞ I PINTO DE ALBUQUERQUE</w:t>
      </w:r>
    </w:p>
    <w:p w14:paraId="6976A0F7" w14:textId="0611C879" w:rsidR="00A507AB" w:rsidRPr="003833F8" w:rsidRDefault="007A75D5" w:rsidP="003833F8">
      <w:pPr>
        <w:pStyle w:val="OpiPara"/>
      </w:pPr>
      <w:r>
        <w:t>1. </w:t>
      </w:r>
      <w:r w:rsidR="002B0549">
        <w:t xml:space="preserve">W sprawie </w:t>
      </w:r>
      <w:r w:rsidR="002B0549" w:rsidRPr="00D56DA9">
        <w:rPr>
          <w:i/>
        </w:rPr>
        <w:t xml:space="preserve">Grande Stevens i </w:t>
      </w:r>
      <w:r w:rsidR="00D56DA9" w:rsidRPr="00D56DA9">
        <w:rPr>
          <w:i/>
        </w:rPr>
        <w:t>Inni</w:t>
      </w:r>
      <w:r w:rsidR="00EC291C">
        <w:t xml:space="preserve">, </w:t>
      </w:r>
      <w:r w:rsidR="002D361F">
        <w:t xml:space="preserve">przed </w:t>
      </w:r>
      <w:r w:rsidR="00EC291C">
        <w:t>Trybunał</w:t>
      </w:r>
      <w:r w:rsidR="002D361F">
        <w:t>em</w:t>
      </w:r>
      <w:r w:rsidR="00EC291C">
        <w:t xml:space="preserve"> ponownie </w:t>
      </w:r>
      <w:r w:rsidR="002D361F">
        <w:t>stoi poważny problem dotyczący</w:t>
      </w:r>
      <w:r w:rsidR="00EC291C">
        <w:t xml:space="preserve"> </w:t>
      </w:r>
      <w:r w:rsidR="00EB5F38">
        <w:t xml:space="preserve">sądowej </w:t>
      </w:r>
      <w:r w:rsidR="002D361F">
        <w:t xml:space="preserve">kontroli </w:t>
      </w:r>
      <w:r w:rsidR="00EC291C">
        <w:t>administracyjnych sankcji</w:t>
      </w:r>
      <w:r w:rsidR="002B0549">
        <w:t xml:space="preserve"> pieniężnych i niepieniężnych, </w:t>
      </w:r>
      <w:r w:rsidR="00EC291C">
        <w:t>nakładanych przez włoskie władze administracyjne</w:t>
      </w:r>
      <w:r w:rsidR="00EC291C">
        <w:rPr>
          <w:vertAlign w:val="superscript"/>
        </w:rPr>
        <w:footnoteReference w:id="4"/>
      </w:r>
      <w:r w:rsidR="00EC291C">
        <w:t xml:space="preserve">. Waga sprawy wynika nie tylko ze złożonego charakteru różnych proceduralnych braków obecnych zarówno w postępowaniu administracyjnym, jak i sądowym, prowadzących do nałożenia ewidentnie nieadekwatnych sankcji administracyjnych, ale również z </w:t>
      </w:r>
      <w:r w:rsidR="00EB5F38">
        <w:t xml:space="preserve">faktu, że następnie niektórzy skarżący byli sądzeni i </w:t>
      </w:r>
      <w:r w:rsidR="001C4FB0">
        <w:t>u</w:t>
      </w:r>
      <w:r w:rsidR="00EB5F38">
        <w:t xml:space="preserve">karani </w:t>
      </w:r>
      <w:r w:rsidR="00EC291C">
        <w:t xml:space="preserve">w nowym postępowaniu karnym opartym na tych samych okolicznościach </w:t>
      </w:r>
      <w:r w:rsidR="00EB5F38">
        <w:t>co</w:t>
      </w:r>
      <w:r w:rsidR="00EC291C">
        <w:t xml:space="preserve"> okoliczności stanowiące przedmiot poprzedzającego postępowania administracyjnego. Zważywszy, że szereg inny</w:t>
      </w:r>
      <w:r w:rsidR="002B0549">
        <w:t>ch europejskich jurysdykcji sto</w:t>
      </w:r>
      <w:r w:rsidR="00EC291C">
        <w:t>i przed podobnymi problemami, reperkusje niniejszej sprawy idą dużo dalej niż granice włoskiego systemu prawnego.</w:t>
      </w:r>
    </w:p>
    <w:p w14:paraId="070A243C" w14:textId="05BB9BF5" w:rsidR="00AB4482" w:rsidRDefault="002B0549" w:rsidP="003833F8">
      <w:pPr>
        <w:pStyle w:val="OpiPara"/>
      </w:pPr>
      <w:r>
        <w:t>2. </w:t>
      </w:r>
      <w:r w:rsidR="003833F8">
        <w:t>Zgadzamy się z</w:t>
      </w:r>
      <w:r w:rsidR="002D361F">
        <w:t>e stwierdzeniem większości</w:t>
      </w:r>
      <w:r w:rsidR="003833F8">
        <w:t xml:space="preserve">, że artykuł 6 </w:t>
      </w:r>
      <w:r w:rsidR="00EB5F38">
        <w:t xml:space="preserve">w jego aspekcie karnym </w:t>
      </w:r>
      <w:r w:rsidR="003833F8">
        <w:t xml:space="preserve">ma zastosowanie zarówno do postępowania administracyjnego, jak i postępowania sądowego wszczętego na mocy artykułu 187 </w:t>
      </w:r>
      <w:proofErr w:type="spellStart"/>
      <w:r w:rsidR="003833F8" w:rsidRPr="00CF5B83">
        <w:rPr>
          <w:i/>
        </w:rPr>
        <w:t>septis</w:t>
      </w:r>
      <w:proofErr w:type="spellEnd"/>
      <w:r w:rsidR="003833F8">
        <w:t xml:space="preserve"> TUF (Skonsolidowanej Ustawy Finansowej, o której jest mowa w wyroku jako o Dekrecie Legislacyjnym nr 58 z 24 lutego 1998 roku) i ustępu 23 ustawy nr 689 z 24 listopada 1981</w:t>
      </w:r>
      <w:r w:rsidR="007E48CB">
        <w:t xml:space="preserve"> roku</w:t>
      </w:r>
      <w:r w:rsidR="003833F8">
        <w:t xml:space="preserve">, a także do kar nałożonych następnie na skarżących na mocy artykułu 187 </w:t>
      </w:r>
      <w:r w:rsidR="003833F8" w:rsidRPr="002D361F">
        <w:rPr>
          <w:i/>
        </w:rPr>
        <w:t>ter</w:t>
      </w:r>
      <w:r w:rsidR="003833F8">
        <w:t xml:space="preserve"> TUF, że postępowanie administracyjne </w:t>
      </w:r>
      <w:r w:rsidR="003833F8" w:rsidRPr="002D361F">
        <w:rPr>
          <w:i/>
        </w:rPr>
        <w:t xml:space="preserve">przed </w:t>
      </w:r>
      <w:proofErr w:type="spellStart"/>
      <w:r w:rsidR="003833F8" w:rsidRPr="002D361F">
        <w:rPr>
          <w:i/>
        </w:rPr>
        <w:t>Commissione</w:t>
      </w:r>
      <w:proofErr w:type="spellEnd"/>
      <w:r w:rsidR="003833F8" w:rsidRPr="002D361F">
        <w:rPr>
          <w:i/>
        </w:rPr>
        <w:t xml:space="preserve"> </w:t>
      </w:r>
      <w:proofErr w:type="spellStart"/>
      <w:r w:rsidR="003833F8" w:rsidRPr="002D361F">
        <w:rPr>
          <w:i/>
        </w:rPr>
        <w:t>Nazionale</w:t>
      </w:r>
      <w:proofErr w:type="spellEnd"/>
      <w:r w:rsidR="003833F8" w:rsidRPr="002D361F">
        <w:rPr>
          <w:i/>
        </w:rPr>
        <w:t xml:space="preserve"> per la </w:t>
      </w:r>
      <w:proofErr w:type="spellStart"/>
      <w:r w:rsidR="003833F8" w:rsidRPr="002D361F">
        <w:rPr>
          <w:i/>
        </w:rPr>
        <w:t>Società</w:t>
      </w:r>
      <w:proofErr w:type="spellEnd"/>
      <w:r w:rsidR="003833F8" w:rsidRPr="002D361F">
        <w:rPr>
          <w:i/>
        </w:rPr>
        <w:t xml:space="preserve"> e la </w:t>
      </w:r>
      <w:proofErr w:type="spellStart"/>
      <w:r w:rsidR="003833F8" w:rsidRPr="002D361F">
        <w:rPr>
          <w:i/>
        </w:rPr>
        <w:t>Borsa</w:t>
      </w:r>
      <w:proofErr w:type="spellEnd"/>
      <w:r w:rsidR="003833F8">
        <w:t xml:space="preserve"> (CONSOB) nie było </w:t>
      </w:r>
      <w:r>
        <w:t>rzetelne</w:t>
      </w:r>
      <w:r w:rsidR="003833F8">
        <w:t xml:space="preserve">, a także, że następujące postępowanie przed sądem apelacyjnym i Sądem Kasacyjnym nie naprawiło tego braku </w:t>
      </w:r>
      <w:r>
        <w:t>rzeteln</w:t>
      </w:r>
      <w:r w:rsidR="003833F8">
        <w:t xml:space="preserve">ości. Naszym zdaniem, </w:t>
      </w:r>
      <w:r w:rsidR="00EB5F38">
        <w:t xml:space="preserve"> wniosek dotyczący </w:t>
      </w:r>
      <w:r w:rsidR="002D361F">
        <w:t>brak</w:t>
      </w:r>
      <w:r w:rsidR="00EB5F38">
        <w:t>u</w:t>
      </w:r>
      <w:r w:rsidR="002D361F">
        <w:t xml:space="preserve"> zapewnienia skutecznych środków odwoławczych przez </w:t>
      </w:r>
      <w:r w:rsidR="003833F8">
        <w:t xml:space="preserve">sądy krajowe nie wynika wyłącznie z braku </w:t>
      </w:r>
      <w:r w:rsidR="002D361F">
        <w:t xml:space="preserve">przeprowadzenia </w:t>
      </w:r>
      <w:r w:rsidR="00EB5F38">
        <w:t>jawnej</w:t>
      </w:r>
      <w:r w:rsidR="003833F8">
        <w:t xml:space="preserve"> rozprawy w sądzie apelacyjnym, jak to stwierdziła większość.</w:t>
      </w:r>
      <w:r>
        <w:t xml:space="preserve"> Uważamy, że </w:t>
      </w:r>
      <w:r w:rsidR="002D361F">
        <w:t xml:space="preserve">istota </w:t>
      </w:r>
      <w:r>
        <w:t>naruszenia</w:t>
      </w:r>
      <w:r w:rsidR="003833F8">
        <w:t xml:space="preserve"> artykułu 6 leży w braku </w:t>
      </w:r>
      <w:r>
        <w:t>kontradyktoryjnego</w:t>
      </w:r>
      <w:r w:rsidR="003833F8">
        <w:t xml:space="preserve"> zbadania kwestionowanych dowodów w formie zeznań oraz braku przesłuchania skarżących podczas rozprawy przed sądem.</w:t>
      </w:r>
    </w:p>
    <w:p w14:paraId="2B1CD8FB" w14:textId="095AC0AD" w:rsidR="00AB4482" w:rsidRDefault="001250E9" w:rsidP="003833F8">
      <w:pPr>
        <w:pStyle w:val="OpiPara"/>
      </w:pPr>
      <w:r>
        <w:t>3. </w:t>
      </w:r>
      <w:r w:rsidR="0035061B">
        <w:t xml:space="preserve">Ponadto, </w:t>
      </w:r>
      <w:r w:rsidR="002D361F">
        <w:t xml:space="preserve">nie podzielamy również </w:t>
      </w:r>
      <w:r w:rsidR="007504FC">
        <w:t>stanowiska</w:t>
      </w:r>
      <w:r w:rsidR="002D361F">
        <w:t xml:space="preserve"> </w:t>
      </w:r>
      <w:r w:rsidR="0035061B">
        <w:t xml:space="preserve">większości w odniesieniu do legalności i </w:t>
      </w:r>
      <w:r w:rsidR="00CB5B30">
        <w:t>proporcjonalno</w:t>
      </w:r>
      <w:r w:rsidR="0035061B">
        <w:t xml:space="preserve">ści kar nałożonych przez sąd apelacyjny oraz potwierdzonych przez Sąd Kasacyjny, a także w odniesieniu do kwoty słusznego zadośćuczynienia przyznanego przez Europejski Trybunał Praw Człowieka (Trybunał). Wreszcie, Sędzia </w:t>
      </w:r>
      <w:proofErr w:type="spellStart"/>
      <w:r w:rsidR="0035061B">
        <w:t>Pinto</w:t>
      </w:r>
      <w:proofErr w:type="spellEnd"/>
      <w:r w:rsidR="0035061B">
        <w:t xml:space="preserve"> de Albuquerque uważa również, że zmiana zarzutu przez Sąd Apelacyjny w Turynie była niezgodna z Konwencją.</w:t>
      </w:r>
    </w:p>
    <w:p w14:paraId="0CBCDE18" w14:textId="799E68F0" w:rsidR="00AB4482" w:rsidRDefault="00F927EB" w:rsidP="003833F8">
      <w:pPr>
        <w:pStyle w:val="OpiHA"/>
      </w:pPr>
      <w:r w:rsidRPr="00491441">
        <w:lastRenderedPageBreak/>
        <w:t>Nie</w:t>
      </w:r>
      <w:r w:rsidR="00491441" w:rsidRPr="00491441">
        <w:t>rzetelny charakter</w:t>
      </w:r>
      <w:r w:rsidRPr="00491441">
        <w:t xml:space="preserve"> postępowani</w:t>
      </w:r>
      <w:r w:rsidR="00491441" w:rsidRPr="00491441">
        <w:t>a</w:t>
      </w:r>
      <w:r w:rsidRPr="00491441">
        <w:t xml:space="preserve"> przed CONSOB</w:t>
      </w:r>
    </w:p>
    <w:p w14:paraId="44A0E814" w14:textId="46DA068B" w:rsidR="00AB4482" w:rsidRDefault="00CB5B30" w:rsidP="003833F8">
      <w:pPr>
        <w:pStyle w:val="OpiPara"/>
      </w:pPr>
      <w:r>
        <w:t>4. </w:t>
      </w:r>
      <w:r w:rsidR="0035061B">
        <w:t xml:space="preserve">Skarżący zostali uznani winnymi popełnienia administracyjnego przestępstwa manipulacji rynkowej, o którym mowa w artykule 187 </w:t>
      </w:r>
      <w:r w:rsidR="0035061B">
        <w:rPr>
          <w:i/>
        </w:rPr>
        <w:t>ter</w:t>
      </w:r>
      <w:r w:rsidR="0035061B">
        <w:t xml:space="preserve"> TUF, i zostali ukarani w trybie określonym w artykule 187 </w:t>
      </w:r>
      <w:proofErr w:type="spellStart"/>
      <w:r w:rsidR="0035061B">
        <w:rPr>
          <w:i/>
        </w:rPr>
        <w:t>septis</w:t>
      </w:r>
      <w:proofErr w:type="spellEnd"/>
      <w:r w:rsidR="0035061B">
        <w:t xml:space="preserve"> TUF, w związku z ustępem 23 ustawy nr 689 z 24 listopada 1981</w:t>
      </w:r>
      <w:r w:rsidR="007E48CB">
        <w:t xml:space="preserve"> roku</w:t>
      </w:r>
      <w:r w:rsidR="0035061B">
        <w:t xml:space="preserve"> Postępowanie przed CONSOB nie jest </w:t>
      </w:r>
      <w:r w:rsidR="00491441">
        <w:t>rzetelne</w:t>
      </w:r>
      <w:r w:rsidR="0035061B">
        <w:t xml:space="preserve"> w świetle standardów określonych w artykule 6 Konwencji</w:t>
      </w:r>
      <w:r w:rsidR="0035061B">
        <w:rPr>
          <w:vertAlign w:val="superscript"/>
        </w:rPr>
        <w:footnoteReference w:id="5"/>
      </w:r>
      <w:r w:rsidR="0035061B">
        <w:t>.</w:t>
      </w:r>
    </w:p>
    <w:p w14:paraId="6BF42B4B" w14:textId="6A61C1FA" w:rsidR="00AB4482" w:rsidRDefault="00485BE2" w:rsidP="003008BD">
      <w:pPr>
        <w:pStyle w:val="OpiPara"/>
      </w:pPr>
      <w:r>
        <w:t>5. </w:t>
      </w:r>
      <w:r w:rsidR="00D50092">
        <w:t>Zgodnie z artykułem 2 Uchwały CONSOB nr 15086 z dnia 21 czerwca 2005</w:t>
      </w:r>
      <w:r w:rsidR="007E48CB">
        <w:t xml:space="preserve"> roku</w:t>
      </w:r>
      <w:r w:rsidR="00D50092">
        <w:t xml:space="preserve">, postępowanie </w:t>
      </w:r>
      <w:r w:rsidR="00EB5F38">
        <w:t xml:space="preserve"> </w:t>
      </w:r>
      <w:proofErr w:type="spellStart"/>
      <w:r w:rsidR="00F97DA0">
        <w:t>ws</w:t>
      </w:r>
      <w:proofErr w:type="spellEnd"/>
      <w:r w:rsidR="00F97DA0">
        <w:t xml:space="preserve">. </w:t>
      </w:r>
      <w:r w:rsidR="00EB5F38">
        <w:t>sankcji</w:t>
      </w:r>
      <w:r w:rsidR="00D50092">
        <w:t xml:space="preserve"> rozpoczyna się od formalnego powiadomienia o zarzucanym naruszeniu (</w:t>
      </w:r>
      <w:r w:rsidR="00D50092">
        <w:rPr>
          <w:i/>
        </w:rPr>
        <w:t xml:space="preserve">la </w:t>
      </w:r>
      <w:proofErr w:type="spellStart"/>
      <w:r w:rsidR="00D50092">
        <w:rPr>
          <w:i/>
        </w:rPr>
        <w:t>formale</w:t>
      </w:r>
      <w:proofErr w:type="spellEnd"/>
      <w:r w:rsidR="00D50092">
        <w:rPr>
          <w:i/>
        </w:rPr>
        <w:t xml:space="preserve"> </w:t>
      </w:r>
      <w:proofErr w:type="spellStart"/>
      <w:r w:rsidR="00D50092">
        <w:rPr>
          <w:i/>
        </w:rPr>
        <w:t>contestazione</w:t>
      </w:r>
      <w:proofErr w:type="spellEnd"/>
      <w:r w:rsidR="00D50092">
        <w:rPr>
          <w:i/>
        </w:rPr>
        <w:t xml:space="preserve"> </w:t>
      </w:r>
      <w:proofErr w:type="spellStart"/>
      <w:r w:rsidR="00D50092">
        <w:rPr>
          <w:i/>
        </w:rPr>
        <w:t>degli</w:t>
      </w:r>
      <w:proofErr w:type="spellEnd"/>
      <w:r w:rsidR="00D50092">
        <w:rPr>
          <w:i/>
        </w:rPr>
        <w:t xml:space="preserve"> </w:t>
      </w:r>
      <w:proofErr w:type="spellStart"/>
      <w:r w:rsidR="00D50092">
        <w:rPr>
          <w:i/>
        </w:rPr>
        <w:t>addebiti</w:t>
      </w:r>
      <w:proofErr w:type="spellEnd"/>
      <w:r w:rsidR="00D50092">
        <w:t>), sporządzonym na podstawie dowodów zebranych w trakcie postępowania nadzor</w:t>
      </w:r>
      <w:r w:rsidR="00F97DA0">
        <w:t>czego</w:t>
      </w:r>
      <w:r w:rsidR="00D50092">
        <w:t xml:space="preserve"> prowadzonego przez dany organ. Działając z urzędu lub na podstawie </w:t>
      </w:r>
      <w:r w:rsidR="00F97DA0">
        <w:t>za</w:t>
      </w:r>
      <w:r w:rsidR="00D50092">
        <w:t xml:space="preserve">wiadomienia złożonego przez inny krajowy lub zagraniczny organ publiczny, bądź też na podstawie doniesienia złożonego przez osobę prywatną, CONSOB może wszcząć poufne postępowanie </w:t>
      </w:r>
      <w:r>
        <w:t>przed-</w:t>
      </w:r>
      <w:r w:rsidR="00D50092">
        <w:t>przygotowawcze (</w:t>
      </w:r>
      <w:proofErr w:type="spellStart"/>
      <w:r w:rsidR="00D50092">
        <w:rPr>
          <w:i/>
        </w:rPr>
        <w:t>fase</w:t>
      </w:r>
      <w:proofErr w:type="spellEnd"/>
      <w:r w:rsidR="00D50092">
        <w:rPr>
          <w:i/>
        </w:rPr>
        <w:t xml:space="preserve"> </w:t>
      </w:r>
      <w:proofErr w:type="spellStart"/>
      <w:r w:rsidR="00D50092">
        <w:rPr>
          <w:i/>
        </w:rPr>
        <w:t>pre</w:t>
      </w:r>
      <w:r w:rsidR="00D50092">
        <w:noBreakHyphen/>
      </w:r>
      <w:r w:rsidR="00D50092">
        <w:rPr>
          <w:i/>
        </w:rPr>
        <w:t>istruttoria</w:t>
      </w:r>
      <w:proofErr w:type="spellEnd"/>
      <w:r w:rsidR="00D50092">
        <w:t xml:space="preserve">), podczas którego nadzorowana osoba może być </w:t>
      </w:r>
      <w:r w:rsidR="008D620C">
        <w:t xml:space="preserve">poddana </w:t>
      </w:r>
      <w:r w:rsidR="008D620C" w:rsidRPr="008D620C">
        <w:t>środkom określonym</w:t>
      </w:r>
      <w:r w:rsidR="00D50092" w:rsidRPr="008D620C">
        <w:t xml:space="preserve"> w artykule 187-</w:t>
      </w:r>
      <w:r w:rsidR="00D50092" w:rsidRPr="008D620C">
        <w:rPr>
          <w:i/>
        </w:rPr>
        <w:t>octies</w:t>
      </w:r>
      <w:r w:rsidR="00D50092" w:rsidRPr="008D620C">
        <w:t xml:space="preserve"> TUF.</w:t>
      </w:r>
      <w:r w:rsidR="00D50092">
        <w:t xml:space="preserve"> Ponieważ takie postępowanie </w:t>
      </w:r>
      <w:r w:rsidR="004F680D">
        <w:t>przed-</w:t>
      </w:r>
      <w:r w:rsidR="00D50092">
        <w:t xml:space="preserve">przygotowawcze nie ma limitu czasowego, </w:t>
      </w:r>
      <w:r w:rsidR="004F680D">
        <w:t>brak jest</w:t>
      </w:r>
      <w:r w:rsidR="00D50092">
        <w:t xml:space="preserve"> wyraźnego rozróżnienia pom</w:t>
      </w:r>
      <w:r w:rsidR="004F680D">
        <w:t>iędzy ogólną funkcją nadzorczą</w:t>
      </w:r>
      <w:r w:rsidR="00D50092">
        <w:t xml:space="preserve"> CONSOB a jego funkcją </w:t>
      </w:r>
      <w:r w:rsidR="0060294F">
        <w:t>karną</w:t>
      </w:r>
      <w:r w:rsidR="00D50092">
        <w:t xml:space="preserve">, co pociąga za sobą ryzyko, że nakładanie się tych funkcji może </w:t>
      </w:r>
      <w:r w:rsidR="00F97DA0">
        <w:t xml:space="preserve"> </w:t>
      </w:r>
      <w:r w:rsidR="00487B04">
        <w:t xml:space="preserve">w sposób instrumentalny zostać </w:t>
      </w:r>
      <w:r w:rsidR="00F97DA0">
        <w:t>użyt</w:t>
      </w:r>
      <w:r w:rsidR="00487B04">
        <w:t>e</w:t>
      </w:r>
      <w:r w:rsidR="00F97DA0">
        <w:t xml:space="preserve"> d</w:t>
      </w:r>
      <w:r w:rsidR="00EB5F38">
        <w:t xml:space="preserve">o wykorzystania </w:t>
      </w:r>
      <w:r w:rsidR="00D50092">
        <w:t>obowiązku nadzorowanej osoby do informowania, składania dokumentów i współpracy w ramach czynności nadzor</w:t>
      </w:r>
      <w:r w:rsidR="00F97DA0">
        <w:t>czych</w:t>
      </w:r>
      <w:r w:rsidR="00D50092">
        <w:t xml:space="preserve"> CONSOB. W postępowaniu odszkodowawczym, istnieje formalny i fizyczny podział między </w:t>
      </w:r>
      <w:proofErr w:type="spellStart"/>
      <w:r w:rsidR="00D50092">
        <w:rPr>
          <w:i/>
        </w:rPr>
        <w:t>Ufficio</w:t>
      </w:r>
      <w:proofErr w:type="spellEnd"/>
      <w:r w:rsidR="00D50092">
        <w:rPr>
          <w:i/>
        </w:rPr>
        <w:t xml:space="preserve"> </w:t>
      </w:r>
      <w:proofErr w:type="spellStart"/>
      <w:r w:rsidR="00D50092">
        <w:rPr>
          <w:i/>
        </w:rPr>
        <w:t>Insider</w:t>
      </w:r>
      <w:proofErr w:type="spellEnd"/>
      <w:r w:rsidR="00D50092">
        <w:rPr>
          <w:i/>
        </w:rPr>
        <w:t xml:space="preserve"> Trading</w:t>
      </w:r>
      <w:r w:rsidR="00D50092">
        <w:t xml:space="preserve"> (Biurem ds. Wykorzystania Informacji Poufnych, ang. </w:t>
      </w:r>
      <w:proofErr w:type="spellStart"/>
      <w:r w:rsidR="00D50092" w:rsidRPr="002C1EE3">
        <w:rPr>
          <w:i/>
        </w:rPr>
        <w:t>Insider</w:t>
      </w:r>
      <w:proofErr w:type="spellEnd"/>
      <w:r w:rsidR="00D50092" w:rsidRPr="002C1EE3">
        <w:rPr>
          <w:i/>
        </w:rPr>
        <w:t xml:space="preserve"> Trading Office</w:t>
      </w:r>
      <w:r w:rsidR="00D50092">
        <w:t xml:space="preserve"> </w:t>
      </w:r>
      <w:r w:rsidR="004F680D">
        <w:t>–</w:t>
      </w:r>
      <w:r w:rsidR="00D50092">
        <w:t xml:space="preserve"> ITO), które jest odpowiedzialne za wnoszenie zarzutów przeciwko podejrzanemu oraz za ocenę jego pisemnej obrony, a </w:t>
      </w:r>
      <w:proofErr w:type="spellStart"/>
      <w:r w:rsidR="00D50092">
        <w:rPr>
          <w:i/>
        </w:rPr>
        <w:t>Ufficio</w:t>
      </w:r>
      <w:proofErr w:type="spellEnd"/>
      <w:r w:rsidR="00D50092">
        <w:rPr>
          <w:i/>
        </w:rPr>
        <w:t xml:space="preserve"> </w:t>
      </w:r>
      <w:proofErr w:type="spellStart"/>
      <w:r w:rsidR="00D50092">
        <w:rPr>
          <w:i/>
        </w:rPr>
        <w:t>Sanzioni</w:t>
      </w:r>
      <w:proofErr w:type="spellEnd"/>
      <w:r w:rsidR="00D50092">
        <w:rPr>
          <w:i/>
        </w:rPr>
        <w:t xml:space="preserve"> </w:t>
      </w:r>
      <w:proofErr w:type="spellStart"/>
      <w:r w:rsidR="00D50092">
        <w:rPr>
          <w:i/>
        </w:rPr>
        <w:t>Amministrative</w:t>
      </w:r>
      <w:proofErr w:type="spellEnd"/>
      <w:r w:rsidR="00D50092">
        <w:t xml:space="preserve"> (Wydziałem ds. Sankcji Administracyjnych, ang. </w:t>
      </w:r>
      <w:proofErr w:type="spellStart"/>
      <w:r w:rsidR="00D50092">
        <w:t>Administrative</w:t>
      </w:r>
      <w:proofErr w:type="spellEnd"/>
      <w:r w:rsidR="00D50092">
        <w:t xml:space="preserve"> </w:t>
      </w:r>
      <w:proofErr w:type="spellStart"/>
      <w:r w:rsidR="00D50092">
        <w:t>Sanctions</w:t>
      </w:r>
      <w:proofErr w:type="spellEnd"/>
      <w:r w:rsidR="00D50092">
        <w:t xml:space="preserve"> </w:t>
      </w:r>
      <w:proofErr w:type="spellStart"/>
      <w:r w:rsidR="00D50092">
        <w:t>Division</w:t>
      </w:r>
      <w:proofErr w:type="spellEnd"/>
      <w:r w:rsidR="00D50092">
        <w:t xml:space="preserve"> </w:t>
      </w:r>
      <w:r w:rsidR="004F680D">
        <w:t>–</w:t>
      </w:r>
      <w:r w:rsidR="00D50092">
        <w:t xml:space="preserve"> ASD), który jest odpowiedzialny za dochodzenie i sporządzenie raportu </w:t>
      </w:r>
      <w:r w:rsidR="00487B04">
        <w:t xml:space="preserve">końcowego </w:t>
      </w:r>
      <w:r w:rsidR="00D50092">
        <w:t xml:space="preserve">zawierającego formalne oskarżenie i proponowany poziom sankcji, jakie winny być nałożone, oraz CONSOB jako Komisją, która jest odpowiedzialna za wydanie ostatecznej decyzji administracyjnej. Jednakże, ten formalny i fizyczny podział nie gwarantuje skutecznego podziału między funkcjami oskarżycielskimi a orzeczniczymi, zgodnie z wymogiem artykułu 187 </w:t>
      </w:r>
      <w:proofErr w:type="spellStart"/>
      <w:r w:rsidR="00D50092">
        <w:rPr>
          <w:i/>
        </w:rPr>
        <w:t>septies</w:t>
      </w:r>
      <w:proofErr w:type="spellEnd"/>
      <w:r w:rsidR="00D50092">
        <w:t xml:space="preserve"> nr 2 samego TUF. </w:t>
      </w:r>
      <w:r w:rsidR="00487B04">
        <w:t>Cztery powody przemawiają za takim wnioskiem</w:t>
      </w:r>
      <w:r w:rsidR="00D50092">
        <w:t xml:space="preserve">. Po pierwsze, przewodniczący CONSOB ma za zadanie nadzorowanie dochodzenia przygotowawczego i udzielanie wskazówek na temat </w:t>
      </w:r>
      <w:r w:rsidR="00D50092">
        <w:lastRenderedPageBreak/>
        <w:t>funkcjonowania wydziałów oraz dyrektyw co do ich koordynacji</w:t>
      </w:r>
      <w:r w:rsidR="00D50092">
        <w:rPr>
          <w:vertAlign w:val="superscript"/>
        </w:rPr>
        <w:footnoteReference w:id="6"/>
      </w:r>
      <w:r w:rsidR="00D50092">
        <w:t xml:space="preserve">. Po drugie, przewodniczący CONSOB jest bezpośrednio zaangażowany w wykonywanie najważniejszych uprawnień inspekcyjnych oraz innych uprawnień dochodzeniowych przysługujących CONSOB na mocy artykułów 115 i 187 </w:t>
      </w:r>
      <w:proofErr w:type="spellStart"/>
      <w:r w:rsidR="00D50092">
        <w:rPr>
          <w:i/>
        </w:rPr>
        <w:t>octies</w:t>
      </w:r>
      <w:proofErr w:type="spellEnd"/>
      <w:r w:rsidR="00D50092">
        <w:t xml:space="preserve"> TUF, zgodnie z propozycją właściwych dyrektoriatów</w:t>
      </w:r>
      <w:r w:rsidR="00D50092">
        <w:rPr>
          <w:vertAlign w:val="superscript"/>
        </w:rPr>
        <w:footnoteReference w:id="7"/>
      </w:r>
      <w:r w:rsidR="00D50092">
        <w:t>. Po trzecie, CONSOB, działając jako Komisja, może korzystać z najbardziej ingerencyjnych uprawnień dochodzeniowych, takich jak uprawnienie do zajęcia mienia</w:t>
      </w:r>
      <w:r w:rsidR="00D50092">
        <w:rPr>
          <w:vertAlign w:val="superscript"/>
        </w:rPr>
        <w:footnoteReference w:id="8"/>
      </w:r>
      <w:r w:rsidR="00D50092">
        <w:t xml:space="preserve">. Po czwarte, decyzja CONSOB może być umotywowana </w:t>
      </w:r>
      <w:r w:rsidR="00D50092">
        <w:rPr>
          <w:i/>
        </w:rPr>
        <w:t xml:space="preserve">per </w:t>
      </w:r>
      <w:proofErr w:type="spellStart"/>
      <w:r w:rsidR="00D50092">
        <w:rPr>
          <w:i/>
        </w:rPr>
        <w:t>relationem</w:t>
      </w:r>
      <w:proofErr w:type="spellEnd"/>
      <w:r w:rsidR="00D50092">
        <w:t>, w odniesieniu do poprzedzających aktów proceduralnych</w:t>
      </w:r>
      <w:r w:rsidR="00D50092">
        <w:rPr>
          <w:vertAlign w:val="superscript"/>
        </w:rPr>
        <w:footnoteReference w:id="9"/>
      </w:r>
      <w:r w:rsidR="00D50092">
        <w:t xml:space="preserve">, a </w:t>
      </w:r>
      <w:r w:rsidR="008E4B4F">
        <w:t xml:space="preserve">nawet </w:t>
      </w:r>
      <w:r w:rsidR="00D50092">
        <w:t>może być podjęta za milczącą zgodą członków Komisji</w:t>
      </w:r>
      <w:r w:rsidR="00D50092">
        <w:rPr>
          <w:vertAlign w:val="superscript"/>
        </w:rPr>
        <w:footnoteReference w:id="10"/>
      </w:r>
      <w:r w:rsidR="00D50092">
        <w:t xml:space="preserve">. Uwzględniając wszystkie te </w:t>
      </w:r>
      <w:r w:rsidR="008E4B4F">
        <w:t>kwestie</w:t>
      </w:r>
      <w:r w:rsidR="00D50092">
        <w:t xml:space="preserve">, </w:t>
      </w:r>
      <w:r w:rsidR="00D50092">
        <w:rPr>
          <w:u w:val="single"/>
        </w:rPr>
        <w:t>CONSOB, działając jako Komisja, jest dalek</w:t>
      </w:r>
      <w:r w:rsidR="008E4B4F">
        <w:rPr>
          <w:u w:val="single"/>
        </w:rPr>
        <w:t>a</w:t>
      </w:r>
      <w:r w:rsidR="00D50092">
        <w:rPr>
          <w:u w:val="single"/>
        </w:rPr>
        <w:t xml:space="preserve"> od bycia </w:t>
      </w:r>
      <w:r w:rsidR="008E4B4F">
        <w:rPr>
          <w:u w:val="single"/>
        </w:rPr>
        <w:t xml:space="preserve">bezstronnym </w:t>
      </w:r>
      <w:r w:rsidR="00D50092">
        <w:rPr>
          <w:u w:val="single"/>
        </w:rPr>
        <w:t xml:space="preserve">organem </w:t>
      </w:r>
      <w:r w:rsidR="008E4B4F">
        <w:rPr>
          <w:u w:val="single"/>
        </w:rPr>
        <w:t xml:space="preserve">niezależnym </w:t>
      </w:r>
      <w:r w:rsidR="00D50092">
        <w:rPr>
          <w:u w:val="single"/>
        </w:rPr>
        <w:t>względem organów dochodzeniowych i oskarżycielskich ITO i ASD. To podstawowe systemowe zaniedbanie postępowania administracyjnego zbiegło się z poważnym stopniem nierówności pomiędzy stronami.</w:t>
      </w:r>
    </w:p>
    <w:p w14:paraId="112DC8E5" w14:textId="2B6FD370" w:rsidR="00A507AB" w:rsidRPr="00110749" w:rsidRDefault="00D50092" w:rsidP="003833F8">
      <w:pPr>
        <w:pStyle w:val="OpiPara"/>
      </w:pPr>
      <w:r>
        <w:t>6.  Prawdą jest, że ITO wyraziło swoje poglądy w raporcie (</w:t>
      </w:r>
      <w:proofErr w:type="spellStart"/>
      <w:r>
        <w:rPr>
          <w:i/>
        </w:rPr>
        <w:t>relazione</w:t>
      </w:r>
      <w:proofErr w:type="spellEnd"/>
      <w:r>
        <w:rPr>
          <w:i/>
        </w:rPr>
        <w:t xml:space="preserve"> </w:t>
      </w:r>
      <w:proofErr w:type="spellStart"/>
      <w:r>
        <w:rPr>
          <w:i/>
        </w:rPr>
        <w:t>istruttoria</w:t>
      </w:r>
      <w:proofErr w:type="spellEnd"/>
      <w:r>
        <w:t>) z dnia 13 września 2006 roku oraz w nocie uzupełniającej z 19 października 2006</w:t>
      </w:r>
      <w:r w:rsidR="007E48CB">
        <w:t xml:space="preserve"> roku</w:t>
      </w:r>
      <w:r>
        <w:t xml:space="preserve">, </w:t>
      </w:r>
      <w:r w:rsidR="00F27B0C">
        <w:t>które</w:t>
      </w:r>
      <w:r>
        <w:t xml:space="preserve"> zostały podane do wiadomości skarżącym, termin 30 dni na złożenie uwag do noty uzupełniającej był </w:t>
      </w:r>
      <w:r w:rsidR="008E4B4F">
        <w:t xml:space="preserve">zaś </w:t>
      </w:r>
      <w:r>
        <w:t>terminem rozsądnym. Jednakże, fakt</w:t>
      </w:r>
      <w:r w:rsidR="00F27B0C">
        <w:t>em jest</w:t>
      </w:r>
      <w:r>
        <w:t>, że nie nastąpiło przesłuchanie świadków przez ITO. Nie przesłuchano również skarżących, za wyjątkiem skarżącego Grande Stevensa. Ostateczny akt oskarżenia ASD został przyjęty w dniu 19 stycznia 2007</w:t>
      </w:r>
      <w:r w:rsidR="007E48CB">
        <w:t xml:space="preserve"> roku</w:t>
      </w:r>
      <w:r>
        <w:t>, jednak nie został podany do wiadomości skarżących</w:t>
      </w:r>
      <w:r>
        <w:rPr>
          <w:vertAlign w:val="superscript"/>
        </w:rPr>
        <w:footnoteReference w:id="11"/>
      </w:r>
      <w:r>
        <w:t>. Decyzja CONSOB została podjęta 9 lutego 2007</w:t>
      </w:r>
      <w:r w:rsidR="007E48CB">
        <w:t xml:space="preserve"> roku</w:t>
      </w:r>
      <w:r>
        <w:t xml:space="preserve">; skarżących poinformowano o obradach, nie mogli jednak składać pism do CONSOB. Ponadto, decyzja CONSOB została podjęta po zamkniętym </w:t>
      </w:r>
      <w:r w:rsidR="006E5A13">
        <w:t>posiedzeniu</w:t>
      </w:r>
      <w:r>
        <w:t xml:space="preserve"> z</w:t>
      </w:r>
      <w:r w:rsidR="006E5A13">
        <w:t xml:space="preserve"> udziałem pracownika</w:t>
      </w:r>
      <w:r>
        <w:t xml:space="preserve"> ASD, jednak skarżący ani nie mogli uczestniczyć w </w:t>
      </w:r>
      <w:r>
        <w:lastRenderedPageBreak/>
        <w:t xml:space="preserve">tym </w:t>
      </w:r>
      <w:r w:rsidR="006E5A13">
        <w:t>posiedzeni</w:t>
      </w:r>
      <w:r>
        <w:t>u, ani nie mogli uzyskać protokołu z jego obrad. Oskarżyciel miał jedyne i ostateczne prawo głosu przed CONSOB, a nie skarżący</w:t>
      </w:r>
      <w:r>
        <w:rPr>
          <w:vertAlign w:val="superscript"/>
        </w:rPr>
        <w:footnoteReference w:id="12"/>
      </w:r>
      <w:r>
        <w:t>.</w:t>
      </w:r>
    </w:p>
    <w:p w14:paraId="2480BB5B" w14:textId="73424095" w:rsidR="00AB4482" w:rsidRDefault="007D1C87" w:rsidP="003833F8">
      <w:pPr>
        <w:pStyle w:val="OpiPara"/>
      </w:pPr>
      <w:r>
        <w:t>7. </w:t>
      </w:r>
      <w:r w:rsidR="00D50092">
        <w:t>Przyczyna takiego inkwizycyjnego i nierównego postępowania jest następująca: według Sądu Kasacyjnego, artykuły 24 (</w:t>
      </w:r>
      <w:proofErr w:type="spellStart"/>
      <w:r w:rsidR="00D50092">
        <w:rPr>
          <w:i/>
        </w:rPr>
        <w:t>diritto</w:t>
      </w:r>
      <w:proofErr w:type="spellEnd"/>
      <w:r w:rsidR="00D50092">
        <w:rPr>
          <w:i/>
        </w:rPr>
        <w:t xml:space="preserve"> di </w:t>
      </w:r>
      <w:proofErr w:type="spellStart"/>
      <w:r w:rsidR="00D50092">
        <w:rPr>
          <w:i/>
        </w:rPr>
        <w:t>difesa</w:t>
      </w:r>
      <w:proofErr w:type="spellEnd"/>
      <w:r w:rsidR="00D50092">
        <w:t>) i 111 (</w:t>
      </w:r>
      <w:proofErr w:type="spellStart"/>
      <w:r w:rsidR="00D50092">
        <w:rPr>
          <w:i/>
        </w:rPr>
        <w:t>giusto</w:t>
      </w:r>
      <w:proofErr w:type="spellEnd"/>
      <w:r w:rsidR="00D50092">
        <w:rPr>
          <w:i/>
        </w:rPr>
        <w:t xml:space="preserve"> </w:t>
      </w:r>
      <w:proofErr w:type="spellStart"/>
      <w:r w:rsidR="00D50092">
        <w:rPr>
          <w:i/>
        </w:rPr>
        <w:t>processo</w:t>
      </w:r>
      <w:proofErr w:type="spellEnd"/>
      <w:r w:rsidR="00D50092">
        <w:t>) włoskiej Konstytucji nie mają zastosowania do administracyjnego etapu postępowania karnego, a „prawo do dyskusji podczas postępowania nie ma zastosowania do sankcji lub ich kryteriów kwalifikacyjnych”</w:t>
      </w:r>
      <w:r w:rsidR="00D50092">
        <w:rPr>
          <w:vertAlign w:val="superscript"/>
        </w:rPr>
        <w:footnoteReference w:id="13"/>
      </w:r>
      <w:r w:rsidR="00D50092">
        <w:t xml:space="preserve">. </w:t>
      </w:r>
      <w:r w:rsidR="00C5454E">
        <w:t>To uzasadnia fakt, że u</w:t>
      </w:r>
      <w:r w:rsidR="00D50092">
        <w:t>chwały CONSOB nr 12697 z 2 sierpnia 2000</w:t>
      </w:r>
      <w:r w:rsidR="007E48CB">
        <w:t xml:space="preserve"> roku</w:t>
      </w:r>
      <w:r w:rsidR="00D50092">
        <w:t xml:space="preserve"> i nr 15086 z 21 czerwca 2005</w:t>
      </w:r>
      <w:r w:rsidR="007E48CB">
        <w:t xml:space="preserve"> roku</w:t>
      </w:r>
      <w:r w:rsidR="00D50092">
        <w:t xml:space="preserve"> nie </w:t>
      </w:r>
      <w:r w:rsidR="00DA38F5">
        <w:t xml:space="preserve">spełniają tych </w:t>
      </w:r>
      <w:r w:rsidR="00C5454E">
        <w:t xml:space="preserve">gwarancji </w:t>
      </w:r>
      <w:r w:rsidR="00DA38F5">
        <w:t>konstytucyjnych</w:t>
      </w:r>
      <w:r w:rsidR="00D50092">
        <w:t>, a w szczególności konstytucyj</w:t>
      </w:r>
      <w:r w:rsidR="00C5454E">
        <w:t>nych gwarancji</w:t>
      </w:r>
      <w:r>
        <w:t xml:space="preserve"> przesłuchania </w:t>
      </w:r>
      <w:r w:rsidR="00D50092">
        <w:t>świadków oskarżenia przed sądem oraz przedstawienia świadków obrony w tych samych warunkach co świadkowie oskarżenia. Reasumując, godne pochwały intencje włoskiej legislatury w momencie wprowadzania przez nią nowej wersji artykułu 187-</w:t>
      </w:r>
      <w:r w:rsidR="00D50092">
        <w:rPr>
          <w:i/>
        </w:rPr>
        <w:t xml:space="preserve">septies </w:t>
      </w:r>
      <w:r w:rsidR="00D50092">
        <w:t>nr 2 TUF w 2005</w:t>
      </w:r>
      <w:r w:rsidR="007E48CB">
        <w:t xml:space="preserve"> roku</w:t>
      </w:r>
      <w:r w:rsidR="00D50092">
        <w:t xml:space="preserve"> zostały ograniczone w praktyce, zarówno przez orzecznictwo, jak i przez decyzje administracyjne. Dwa etapy składania pisemnych oświadczeń przed ITO i ASD, które nie wnoszą faktycznej wartości dodanej do postępowania, nie rekompensują braku prawdziwej, </w:t>
      </w:r>
      <w:r>
        <w:t>kontradyktoryjnej</w:t>
      </w:r>
      <w:r w:rsidR="00D50092">
        <w:t xml:space="preserve"> prezentacji i zbadania dowodów i braku równości broni między stronami.</w:t>
      </w:r>
    </w:p>
    <w:p w14:paraId="79A05471" w14:textId="4FB49574" w:rsidR="00AB4482" w:rsidRDefault="00F927EB" w:rsidP="003833F8">
      <w:pPr>
        <w:pStyle w:val="OpiHA"/>
      </w:pPr>
      <w:r w:rsidRPr="00C5454E">
        <w:t>Brak skutecznej</w:t>
      </w:r>
      <w:r w:rsidR="00DA38F5" w:rsidRPr="00C5454E">
        <w:t xml:space="preserve"> kontroli sądowej</w:t>
      </w:r>
      <w:r w:rsidRPr="00C5454E">
        <w:t xml:space="preserve"> decyzji CONSOB</w:t>
      </w:r>
    </w:p>
    <w:p w14:paraId="16D470B5" w14:textId="06B0B8B8" w:rsidR="00AB4482" w:rsidRDefault="007D1C87" w:rsidP="003833F8">
      <w:pPr>
        <w:pStyle w:val="OpiPara"/>
      </w:pPr>
      <w:r>
        <w:t>8. Sądow</w:t>
      </w:r>
      <w:r w:rsidR="00D50092">
        <w:t xml:space="preserve">a kontrola decyzji CONSOB o zastosowaniu sankcji administracyjnych obejmowała apelację do Sądu Apelacyjnego w oparciu o artykuł 187 </w:t>
      </w:r>
      <w:proofErr w:type="spellStart"/>
      <w:r w:rsidR="00D50092">
        <w:rPr>
          <w:i/>
        </w:rPr>
        <w:t>septies</w:t>
      </w:r>
      <w:proofErr w:type="spellEnd"/>
      <w:r w:rsidR="00D50092">
        <w:rPr>
          <w:i/>
        </w:rPr>
        <w:t xml:space="preserve"> </w:t>
      </w:r>
      <w:r w:rsidR="00223E8D">
        <w:t xml:space="preserve">nr 6 TUF i ustępu 23 </w:t>
      </w:r>
      <w:r w:rsidR="00D50092">
        <w:t>ustawy nr 689/1981, a także apelację do Sądu Kasacyjnego w oparciu o artykuł 360 kodeksu postępowania cywilnego (k</w:t>
      </w:r>
      <w:r w:rsidR="00C47B04">
        <w:t>.</w:t>
      </w:r>
      <w:r w:rsidR="00D50092">
        <w:t>p</w:t>
      </w:r>
      <w:r w:rsidR="00C47B04">
        <w:t>.</w:t>
      </w:r>
      <w:r w:rsidR="00D50092">
        <w:t>c</w:t>
      </w:r>
      <w:r w:rsidR="00C47B04">
        <w:t>.</w:t>
      </w:r>
      <w:r w:rsidR="00D50092">
        <w:t xml:space="preserve">). Artykuły te zostały uchylone nowym </w:t>
      </w:r>
      <w:proofErr w:type="spellStart"/>
      <w:r w:rsidR="00D50092">
        <w:rPr>
          <w:i/>
        </w:rPr>
        <w:t>Codice</w:t>
      </w:r>
      <w:proofErr w:type="spellEnd"/>
      <w:r w:rsidR="00D50092">
        <w:rPr>
          <w:i/>
        </w:rPr>
        <w:t xml:space="preserve"> del </w:t>
      </w:r>
      <w:proofErr w:type="spellStart"/>
      <w:r w:rsidR="00D50092">
        <w:rPr>
          <w:i/>
        </w:rPr>
        <w:t>Processo</w:t>
      </w:r>
      <w:proofErr w:type="spellEnd"/>
      <w:r w:rsidR="00D50092">
        <w:rPr>
          <w:i/>
        </w:rPr>
        <w:t xml:space="preserve"> </w:t>
      </w:r>
      <w:proofErr w:type="spellStart"/>
      <w:r w:rsidR="00D50092">
        <w:rPr>
          <w:i/>
        </w:rPr>
        <w:t>Amministrativo</w:t>
      </w:r>
      <w:proofErr w:type="spellEnd"/>
      <w:r w:rsidR="00D50092">
        <w:t xml:space="preserve"> (kodeksem postępowania administracyjnego lub k</w:t>
      </w:r>
      <w:r w:rsidR="00C47B04">
        <w:t>.</w:t>
      </w:r>
      <w:r w:rsidR="00D50092">
        <w:t>p</w:t>
      </w:r>
      <w:r w:rsidR="00C47B04">
        <w:t>.</w:t>
      </w:r>
      <w:r w:rsidR="00D50092">
        <w:t>a</w:t>
      </w:r>
      <w:r w:rsidR="00C47B04">
        <w:t>.</w:t>
      </w:r>
      <w:r w:rsidR="00D50092">
        <w:t>)</w:t>
      </w:r>
      <w:r w:rsidR="00C47B04">
        <w:t>,</w:t>
      </w:r>
      <w:r w:rsidR="00D50092">
        <w:t xml:space="preserve"> zatwierdzonym na mocy Dekretu Legislacyjnego Nr 104 (</w:t>
      </w:r>
      <w:proofErr w:type="spellStart"/>
      <w:r w:rsidR="00D50092">
        <w:rPr>
          <w:i/>
        </w:rPr>
        <w:t>Decreto</w:t>
      </w:r>
      <w:proofErr w:type="spellEnd"/>
      <w:r w:rsidR="00D50092">
        <w:rPr>
          <w:i/>
        </w:rPr>
        <w:t xml:space="preserve"> </w:t>
      </w:r>
      <w:proofErr w:type="spellStart"/>
      <w:r w:rsidR="00D50092">
        <w:rPr>
          <w:i/>
        </w:rPr>
        <w:t>legislative</w:t>
      </w:r>
      <w:proofErr w:type="spellEnd"/>
      <w:r w:rsidR="00C47B04">
        <w:t>) z 2 lipca 2010 roku;</w:t>
      </w:r>
      <w:r w:rsidR="00D50092">
        <w:t xml:space="preserve"> nowy artykuł 133 (1) l k</w:t>
      </w:r>
      <w:r w:rsidR="00C47B04">
        <w:t>.</w:t>
      </w:r>
      <w:r w:rsidR="00D50092">
        <w:t>p</w:t>
      </w:r>
      <w:r w:rsidR="00C47B04">
        <w:t>.</w:t>
      </w:r>
      <w:r w:rsidR="00D50092">
        <w:t>a</w:t>
      </w:r>
      <w:r w:rsidR="00C47B04">
        <w:t>.</w:t>
      </w:r>
      <w:r w:rsidR="00D50092">
        <w:t xml:space="preserve"> udzielił sędziom administracyjnym wyłącznej jurysdykcji (</w:t>
      </w:r>
      <w:proofErr w:type="spellStart"/>
      <w:r w:rsidR="00D50092">
        <w:rPr>
          <w:i/>
        </w:rPr>
        <w:t>giurisdizione</w:t>
      </w:r>
      <w:proofErr w:type="spellEnd"/>
      <w:r w:rsidR="00D50092">
        <w:rPr>
          <w:i/>
        </w:rPr>
        <w:t xml:space="preserve"> </w:t>
      </w:r>
      <w:proofErr w:type="spellStart"/>
      <w:r w:rsidR="00D50092">
        <w:rPr>
          <w:i/>
        </w:rPr>
        <w:t>esclusiva</w:t>
      </w:r>
      <w:proofErr w:type="spellEnd"/>
      <w:r w:rsidR="00D50092">
        <w:t xml:space="preserve">) w „postępowaniach </w:t>
      </w:r>
      <w:r w:rsidR="0004513A">
        <w:t xml:space="preserve"> w sprawie </w:t>
      </w:r>
      <w:r w:rsidR="00C5454E">
        <w:t>sankcji</w:t>
      </w:r>
      <w:r w:rsidR="00D50092">
        <w:t>” (</w:t>
      </w:r>
      <w:proofErr w:type="spellStart"/>
      <w:r w:rsidR="00D50092">
        <w:rPr>
          <w:i/>
        </w:rPr>
        <w:t>provvedimenti</w:t>
      </w:r>
      <w:proofErr w:type="spellEnd"/>
      <w:r w:rsidR="00D50092">
        <w:rPr>
          <w:i/>
        </w:rPr>
        <w:t xml:space="preserve"> </w:t>
      </w:r>
      <w:proofErr w:type="spellStart"/>
      <w:r w:rsidR="00D50092">
        <w:rPr>
          <w:i/>
        </w:rPr>
        <w:t>sanzionatori</w:t>
      </w:r>
      <w:proofErr w:type="spellEnd"/>
      <w:r w:rsidR="00D50092">
        <w:t>) CONSOB, a nowy artykuł 134 (1) c tego samego k</w:t>
      </w:r>
      <w:r w:rsidR="00C47B04">
        <w:t>.</w:t>
      </w:r>
      <w:r w:rsidR="00D50092">
        <w:t>p</w:t>
      </w:r>
      <w:r w:rsidR="00C47B04">
        <w:t>.</w:t>
      </w:r>
      <w:r w:rsidR="00D50092">
        <w:t>a</w:t>
      </w:r>
      <w:r w:rsidR="00C47B04">
        <w:t>.</w:t>
      </w:r>
      <w:r w:rsidR="00D50092">
        <w:t xml:space="preserve"> obejmuje spory dotyczące sankcji pieniężnych (</w:t>
      </w:r>
      <w:proofErr w:type="spellStart"/>
      <w:r w:rsidR="00D50092">
        <w:rPr>
          <w:i/>
        </w:rPr>
        <w:t>sanzioni</w:t>
      </w:r>
      <w:proofErr w:type="spellEnd"/>
      <w:r w:rsidR="00D50092">
        <w:rPr>
          <w:i/>
        </w:rPr>
        <w:t xml:space="preserve"> </w:t>
      </w:r>
      <w:proofErr w:type="spellStart"/>
      <w:r w:rsidR="00D50092">
        <w:rPr>
          <w:i/>
        </w:rPr>
        <w:t>pecuniarie</w:t>
      </w:r>
      <w:proofErr w:type="spellEnd"/>
      <w:r w:rsidR="00D50092">
        <w:t>) w ramach wyłącznej jurysdykcji, gdzie kontrola rozciąga się na przedmiot sprawy (</w:t>
      </w:r>
      <w:proofErr w:type="spellStart"/>
      <w:r w:rsidR="00D50092">
        <w:rPr>
          <w:i/>
        </w:rPr>
        <w:t>cognizione</w:t>
      </w:r>
      <w:proofErr w:type="spellEnd"/>
      <w:r w:rsidR="00D50092">
        <w:rPr>
          <w:i/>
        </w:rPr>
        <w:t xml:space="preserve"> </w:t>
      </w:r>
      <w:proofErr w:type="spellStart"/>
      <w:r w:rsidR="00D50092">
        <w:rPr>
          <w:i/>
        </w:rPr>
        <w:t>estesa</w:t>
      </w:r>
      <w:proofErr w:type="spellEnd"/>
      <w:r w:rsidR="00D50092">
        <w:rPr>
          <w:i/>
        </w:rPr>
        <w:t xml:space="preserve"> al </w:t>
      </w:r>
      <w:proofErr w:type="spellStart"/>
      <w:r w:rsidR="00D50092">
        <w:rPr>
          <w:i/>
        </w:rPr>
        <w:t>merito</w:t>
      </w:r>
      <w:proofErr w:type="spellEnd"/>
      <w:r w:rsidR="00D50092">
        <w:t xml:space="preserve">), która odnosi się nie tylko do legalności </w:t>
      </w:r>
      <w:r w:rsidR="0004513A">
        <w:t>działań</w:t>
      </w:r>
      <w:r w:rsidR="00D50092">
        <w:t xml:space="preserve"> administracyjnych, lecz również do ich konieczności, </w:t>
      </w:r>
      <w:r w:rsidR="003F13B0">
        <w:t>potrzeby</w:t>
      </w:r>
      <w:r w:rsidR="00D50092">
        <w:t xml:space="preserve">, przydatności </w:t>
      </w:r>
      <w:r w:rsidR="00D50092">
        <w:lastRenderedPageBreak/>
        <w:t>i słuszności (</w:t>
      </w:r>
      <w:proofErr w:type="spellStart"/>
      <w:r w:rsidR="00D50092">
        <w:rPr>
          <w:i/>
        </w:rPr>
        <w:t>opportunità</w:t>
      </w:r>
      <w:proofErr w:type="spellEnd"/>
      <w:r w:rsidR="00D50092">
        <w:rPr>
          <w:i/>
        </w:rPr>
        <w:t xml:space="preserve">, </w:t>
      </w:r>
      <w:proofErr w:type="spellStart"/>
      <w:r w:rsidR="00D50092">
        <w:rPr>
          <w:i/>
        </w:rPr>
        <w:t>convenienza</w:t>
      </w:r>
      <w:proofErr w:type="spellEnd"/>
      <w:r w:rsidR="00D50092">
        <w:rPr>
          <w:i/>
        </w:rPr>
        <w:t xml:space="preserve">, </w:t>
      </w:r>
      <w:proofErr w:type="spellStart"/>
      <w:r w:rsidR="00D50092">
        <w:rPr>
          <w:i/>
        </w:rPr>
        <w:t>utilità</w:t>
      </w:r>
      <w:proofErr w:type="spellEnd"/>
      <w:r w:rsidR="00D50092">
        <w:rPr>
          <w:i/>
        </w:rPr>
        <w:t xml:space="preserve"> </w:t>
      </w:r>
      <w:proofErr w:type="spellStart"/>
      <w:r w:rsidR="00D50092">
        <w:rPr>
          <w:i/>
        </w:rPr>
        <w:t>ed</w:t>
      </w:r>
      <w:proofErr w:type="spellEnd"/>
      <w:r w:rsidR="00D50092">
        <w:rPr>
          <w:i/>
        </w:rPr>
        <w:t xml:space="preserve"> </w:t>
      </w:r>
      <w:proofErr w:type="spellStart"/>
      <w:r w:rsidR="00D50092">
        <w:rPr>
          <w:i/>
        </w:rPr>
        <w:t>equità</w:t>
      </w:r>
      <w:proofErr w:type="spellEnd"/>
      <w:r w:rsidR="00D50092">
        <w:t xml:space="preserve">). Wyrok Trybunału Konstytucyjnego nr 162 z dnia 27 czerwca 2012 roku uznał postanowienia </w:t>
      </w:r>
      <w:proofErr w:type="spellStart"/>
      <w:r w:rsidR="00D50092">
        <w:rPr>
          <w:i/>
        </w:rPr>
        <w:t>Decreto</w:t>
      </w:r>
      <w:proofErr w:type="spellEnd"/>
      <w:r w:rsidR="00D50092">
        <w:rPr>
          <w:i/>
        </w:rPr>
        <w:t xml:space="preserve"> </w:t>
      </w:r>
      <w:proofErr w:type="spellStart"/>
      <w:r w:rsidR="00D50092">
        <w:rPr>
          <w:i/>
        </w:rPr>
        <w:t>legislativo</w:t>
      </w:r>
      <w:proofErr w:type="spellEnd"/>
      <w:r w:rsidR="00D50092">
        <w:t xml:space="preserve"> 104/2010 za niezgodne z Konstytucją, a kompetencje sędziów cywilnych (</w:t>
      </w:r>
      <w:proofErr w:type="spellStart"/>
      <w:r w:rsidR="00D50092">
        <w:rPr>
          <w:i/>
        </w:rPr>
        <w:t>giudice</w:t>
      </w:r>
      <w:proofErr w:type="spellEnd"/>
      <w:r w:rsidR="00D50092">
        <w:rPr>
          <w:i/>
        </w:rPr>
        <w:t xml:space="preserve"> </w:t>
      </w:r>
      <w:proofErr w:type="spellStart"/>
      <w:r w:rsidR="00D50092">
        <w:rPr>
          <w:i/>
        </w:rPr>
        <w:t>ordinario</w:t>
      </w:r>
      <w:proofErr w:type="spellEnd"/>
      <w:r w:rsidR="00D50092">
        <w:t>), tzn. sądu apelacyjnego, zostały przywrócone w postępowaniu odszkodowawczym CONSOB</w:t>
      </w:r>
      <w:r w:rsidR="00D50092">
        <w:rPr>
          <w:vertAlign w:val="superscript"/>
        </w:rPr>
        <w:footnoteReference w:id="14"/>
      </w:r>
      <w:r w:rsidR="00D50092">
        <w:t>.</w:t>
      </w:r>
    </w:p>
    <w:p w14:paraId="6EF49AC1" w14:textId="44AB1015" w:rsidR="00AB4482" w:rsidRDefault="003F13B0" w:rsidP="003833F8">
      <w:pPr>
        <w:pStyle w:val="OpiPara"/>
      </w:pPr>
      <w:r>
        <w:t>9. </w:t>
      </w:r>
      <w:r w:rsidR="00D50092">
        <w:t xml:space="preserve">Zgodnie z artykułem 187 </w:t>
      </w:r>
      <w:proofErr w:type="spellStart"/>
      <w:r w:rsidR="00D50092">
        <w:rPr>
          <w:i/>
        </w:rPr>
        <w:t>septies</w:t>
      </w:r>
      <w:proofErr w:type="spellEnd"/>
      <w:r w:rsidR="00D50092">
        <w:rPr>
          <w:i/>
        </w:rPr>
        <w:t xml:space="preserve"> </w:t>
      </w:r>
      <w:r w:rsidR="00D50092">
        <w:t>nr 6 TUF, w związku z ustępem 23 ustawy nr 689/1981, które miały zastosowanie do przedmiotowej sprawy, sąd apelacyjny ma prawo, łącznie z prawem do działania z urzędu, do określenia dowodów, jakie uważa za niezbędne, a także do wezwania świadków; do uchylenia lub zmiany zaskarżonej decyzji w całości lub w części, nawet wyłącznie</w:t>
      </w:r>
      <w:r w:rsidR="00AF0EC1">
        <w:t xml:space="preserve"> w odniesieniu do </w:t>
      </w:r>
      <w:r w:rsidR="00174B94">
        <w:t>wysokości</w:t>
      </w:r>
      <w:r w:rsidR="00AF0EC1">
        <w:t xml:space="preserve"> sankcji,</w:t>
      </w:r>
      <w:r w:rsidR="00D50092">
        <w:t xml:space="preserve"> a także do osobistego przesłuchania skarżącego podczas rozprawy. Mówiąc </w:t>
      </w:r>
      <w:r w:rsidR="00AF0EC1">
        <w:t>wprost</w:t>
      </w:r>
      <w:r w:rsidR="00D50092">
        <w:t xml:space="preserve">, sąd apelacyjny ma prawo nie tylko przeanalizować zaskarżoną decyzję, ale również ponownie rozpatrzeć sprawę </w:t>
      </w:r>
      <w:proofErr w:type="spellStart"/>
      <w:r w:rsidR="00D50092">
        <w:rPr>
          <w:i/>
        </w:rPr>
        <w:t>tota</w:t>
      </w:r>
      <w:proofErr w:type="spellEnd"/>
      <w:r w:rsidR="00D50092">
        <w:rPr>
          <w:i/>
        </w:rPr>
        <w:t xml:space="preserve"> re </w:t>
      </w:r>
      <w:proofErr w:type="spellStart"/>
      <w:r w:rsidR="00D50092">
        <w:rPr>
          <w:i/>
        </w:rPr>
        <w:t>perspecta</w:t>
      </w:r>
      <w:proofErr w:type="spellEnd"/>
      <w:r w:rsidR="00D50092">
        <w:t>, tzn. w odniesieniu do całej rozpatrywanej sprawy, w świetle kwestii prawnych i faktycznych podnoszonych przez skarżących</w:t>
      </w:r>
      <w:r w:rsidR="00D50092">
        <w:rPr>
          <w:vertAlign w:val="superscript"/>
        </w:rPr>
        <w:footnoteReference w:id="15"/>
      </w:r>
      <w:r w:rsidR="00D50092">
        <w:t xml:space="preserve">. </w:t>
      </w:r>
    </w:p>
    <w:p w14:paraId="38E1D77F" w14:textId="77777777" w:rsidR="00A507AB" w:rsidRPr="00110749" w:rsidRDefault="00174B94" w:rsidP="003833F8">
      <w:pPr>
        <w:pStyle w:val="OpiPara"/>
      </w:pPr>
      <w:r>
        <w:t>10. </w:t>
      </w:r>
      <w:r w:rsidR="00D50092">
        <w:t xml:space="preserve">Wykonując swoje funkcje kontrolne zgodnie z artykułem 187 </w:t>
      </w:r>
      <w:proofErr w:type="spellStart"/>
      <w:r w:rsidR="00D50092">
        <w:rPr>
          <w:i/>
        </w:rPr>
        <w:t>septies</w:t>
      </w:r>
      <w:proofErr w:type="spellEnd"/>
      <w:r w:rsidR="00D50092">
        <w:rPr>
          <w:i/>
        </w:rPr>
        <w:t xml:space="preserve"> </w:t>
      </w:r>
      <w:r w:rsidR="00D50092">
        <w:t xml:space="preserve">nr 6 TUF i ustępem 23 ustawy nr 689/1981, sąd apelacyjny ma tylko jedno ograniczenie: zakaz </w:t>
      </w:r>
      <w:proofErr w:type="spellStart"/>
      <w:r w:rsidR="00D50092">
        <w:rPr>
          <w:i/>
        </w:rPr>
        <w:t>reformatio</w:t>
      </w:r>
      <w:proofErr w:type="spellEnd"/>
      <w:r w:rsidR="00D50092">
        <w:rPr>
          <w:i/>
        </w:rPr>
        <w:t xml:space="preserve"> in </w:t>
      </w:r>
      <w:proofErr w:type="spellStart"/>
      <w:r w:rsidR="00D50092">
        <w:rPr>
          <w:i/>
        </w:rPr>
        <w:t>pejus</w:t>
      </w:r>
      <w:proofErr w:type="spellEnd"/>
      <w:r w:rsidR="00D50092">
        <w:rPr>
          <w:vertAlign w:val="superscript"/>
        </w:rPr>
        <w:footnoteReference w:id="16"/>
      </w:r>
      <w:r w:rsidR="00D50092">
        <w:t>. Ponadto, sankcje pieniężne i niepieniężne CONSOB muszą być stosowane na podstawie „powagi przestępstwa” (</w:t>
      </w:r>
      <w:proofErr w:type="spellStart"/>
      <w:r w:rsidR="00D50092">
        <w:rPr>
          <w:i/>
        </w:rPr>
        <w:t>gravità</w:t>
      </w:r>
      <w:proofErr w:type="spellEnd"/>
      <w:r w:rsidR="00D50092">
        <w:rPr>
          <w:i/>
        </w:rPr>
        <w:t xml:space="preserve"> </w:t>
      </w:r>
      <w:proofErr w:type="spellStart"/>
      <w:r w:rsidR="00D50092">
        <w:rPr>
          <w:i/>
        </w:rPr>
        <w:t>della</w:t>
      </w:r>
      <w:proofErr w:type="spellEnd"/>
      <w:r w:rsidR="00D50092">
        <w:rPr>
          <w:i/>
        </w:rPr>
        <w:t xml:space="preserve"> </w:t>
      </w:r>
      <w:proofErr w:type="spellStart"/>
      <w:r w:rsidR="00D50092">
        <w:rPr>
          <w:i/>
        </w:rPr>
        <w:t>violazione</w:t>
      </w:r>
      <w:proofErr w:type="spellEnd"/>
      <w:r w:rsidR="00D50092">
        <w:t>) oraz z uwzględnieniem „możliwości recydywy” (</w:t>
      </w:r>
      <w:proofErr w:type="spellStart"/>
      <w:r w:rsidR="00D50092">
        <w:rPr>
          <w:i/>
        </w:rPr>
        <w:t>eventuale</w:t>
      </w:r>
      <w:proofErr w:type="spellEnd"/>
      <w:r w:rsidR="00D50092">
        <w:rPr>
          <w:i/>
        </w:rPr>
        <w:t xml:space="preserve"> </w:t>
      </w:r>
      <w:proofErr w:type="spellStart"/>
      <w:r w:rsidR="00D50092">
        <w:rPr>
          <w:i/>
        </w:rPr>
        <w:t>recidiva</w:t>
      </w:r>
      <w:proofErr w:type="spellEnd"/>
      <w:r w:rsidR="00D50092">
        <w:t xml:space="preserve">) przestępców, a zatem na podstawie </w:t>
      </w:r>
      <w:r w:rsidR="00D50092">
        <w:rPr>
          <w:i/>
        </w:rPr>
        <w:t xml:space="preserve">kryteriów, </w:t>
      </w:r>
      <w:r w:rsidR="00D50092">
        <w:t>które nie mogą być uznane za wyraz administracyjnej uznaniowości</w:t>
      </w:r>
      <w:r w:rsidR="00D50092">
        <w:rPr>
          <w:vertAlign w:val="superscript"/>
        </w:rPr>
        <w:footnoteReference w:id="17"/>
      </w:r>
      <w:r w:rsidR="002273EB">
        <w:t>. T</w:t>
      </w:r>
      <w:r w:rsidR="00D50092">
        <w:t xml:space="preserve">e same </w:t>
      </w:r>
      <w:r w:rsidR="00D50092">
        <w:rPr>
          <w:i/>
        </w:rPr>
        <w:t xml:space="preserve">kryteria </w:t>
      </w:r>
      <w:r w:rsidR="00D50092">
        <w:t>są wiążące dla sądów apelacyjnych pełniących swoje funkcje kontrolne w stosunku do decyzji CONSOB w sprawie nałożenia sankcji administracyjnych.</w:t>
      </w:r>
    </w:p>
    <w:p w14:paraId="4B1506DE" w14:textId="77777777" w:rsidR="00AB4482" w:rsidRDefault="002273EB" w:rsidP="003833F8">
      <w:pPr>
        <w:pStyle w:val="OpiPara"/>
        <w:rPr>
          <w:u w:val="single"/>
        </w:rPr>
      </w:pPr>
      <w:r>
        <w:t>11. </w:t>
      </w:r>
      <w:r w:rsidR="00D50092">
        <w:t xml:space="preserve">Niemniej jednak, faktem jest, że sąd apelacyjny zrzekł się swoich uprawnień do ponownego rozpatrzenia </w:t>
      </w:r>
      <w:r w:rsidR="00B42E29">
        <w:t>tej sprawy</w:t>
      </w:r>
      <w:r w:rsidR="00D50092">
        <w:t xml:space="preserve">. Jest to oczywiste, jeżeli z uwagą przeczytamy akta, a w szczególności pięć wyroków sądu apelacyjnego. W istocie, sąd apelacyjny oddalił apelację na podstawie dowodów oskarżenia zebranych przez organ administracyjny, pomimo </w:t>
      </w:r>
      <w:r w:rsidR="00D50092">
        <w:lastRenderedPageBreak/>
        <w:t xml:space="preserve">okoliczności, że zostały one zebrane w sposób </w:t>
      </w:r>
      <w:r w:rsidR="00B42E29">
        <w:t>niejawny</w:t>
      </w:r>
      <w:r w:rsidR="00D50092">
        <w:t xml:space="preserve">, bez możliwości </w:t>
      </w:r>
      <w:r w:rsidR="00B42E29">
        <w:t>kontradyktor</w:t>
      </w:r>
      <w:r w:rsidR="00D50092">
        <w:t>yjnej konfrontacji świadków, i zakwestionowane zarówno pod względem ich znaczeni</w:t>
      </w:r>
      <w:r w:rsidR="00E351BB">
        <w:t>a merytorycznego, jak i podmio</w:t>
      </w:r>
      <w:r w:rsidR="00D50092">
        <w:t>towego. Dla sądu apelacyjnego wystarczające były pisemne oświadczenia skarżących oraz pisemne dowody złożone przez oskarżenie. I to było wszystko! Sąd nie przesł</w:t>
      </w:r>
      <w:r w:rsidR="00B42E29">
        <w:t>uchał świadków, nie przesłuchał</w:t>
      </w:r>
      <w:r w:rsidR="00D50092">
        <w:t xml:space="preserve"> żadnego ze skarżących i nie zlecił sporządzenia opinii przez biegłych. W zamian za to, sąd apelacyjny oparł się, a nawet przepisał słowo w słowo w swoich wyrokach, zeznania złożone przez świadków Claudio </w:t>
      </w:r>
      <w:proofErr w:type="spellStart"/>
      <w:r w:rsidR="00D50092">
        <w:t>Salini</w:t>
      </w:r>
      <w:proofErr w:type="spellEnd"/>
      <w:r w:rsidR="00D50092">
        <w:t>, odpowiedzialnego za Wydział ds. Rynków, oraz Antonio Rosati, dyrektora generalnego CONSOB, jako na głównych elementach dowodów uzasadniających skazanie</w:t>
      </w:r>
      <w:r w:rsidR="00D50092">
        <w:rPr>
          <w:vertAlign w:val="superscript"/>
        </w:rPr>
        <w:footnoteReference w:id="18"/>
      </w:r>
      <w:r w:rsidR="00D50092">
        <w:t xml:space="preserve">. Mówiąc żargonem prawnym, </w:t>
      </w:r>
      <w:r w:rsidR="00D50092">
        <w:rPr>
          <w:u w:val="single"/>
        </w:rPr>
        <w:t>sąd apelacyjny nie dokonał niczego więcej ponad samą analizę</w:t>
      </w:r>
      <w:r w:rsidR="00AF1F2A">
        <w:rPr>
          <w:u w:val="single"/>
        </w:rPr>
        <w:t xml:space="preserve"> </w:t>
      </w:r>
      <w:r w:rsidR="00D50092">
        <w:rPr>
          <w:u w:val="single"/>
        </w:rPr>
        <w:t>(</w:t>
      </w:r>
      <w:proofErr w:type="spellStart"/>
      <w:r w:rsidR="00D50092">
        <w:rPr>
          <w:i/>
          <w:u w:val="single"/>
        </w:rPr>
        <w:t>reformatio</w:t>
      </w:r>
      <w:proofErr w:type="spellEnd"/>
      <w:r w:rsidR="00D50092">
        <w:rPr>
          <w:u w:val="single"/>
        </w:rPr>
        <w:t>) logicznej spójności zaskarżonej decyzji, unikając prawdziwego ponownego rozpatrzenia (</w:t>
      </w:r>
      <w:proofErr w:type="spellStart"/>
      <w:r w:rsidR="00D50092">
        <w:rPr>
          <w:i/>
          <w:u w:val="single"/>
        </w:rPr>
        <w:t>revisio</w:t>
      </w:r>
      <w:proofErr w:type="spellEnd"/>
      <w:r w:rsidR="00D50092">
        <w:rPr>
          <w:u w:val="single"/>
        </w:rPr>
        <w:t>) sprawy.</w:t>
      </w:r>
    </w:p>
    <w:p w14:paraId="00B5436D" w14:textId="77777777" w:rsidR="00AB4482" w:rsidRDefault="00AF1F2A" w:rsidP="003833F8">
      <w:pPr>
        <w:pStyle w:val="OpiPara"/>
      </w:pPr>
      <w:r>
        <w:t>12. </w:t>
      </w:r>
      <w:r w:rsidR="00D50092">
        <w:t xml:space="preserve">Niemniej jednak, skarżący wystąpili o ponowne pełne rozpatrzenie ich sprawy, natomiast skarżący Grande Stevens i </w:t>
      </w:r>
      <w:proofErr w:type="spellStart"/>
      <w:r w:rsidR="00D50092">
        <w:t>Marrone</w:t>
      </w:r>
      <w:proofErr w:type="spellEnd"/>
      <w:r w:rsidR="00D50092">
        <w:t xml:space="preserve"> wystąpili nawet, aby sąd apelacyjny przesłuchał wyraźnie wskazanych świadków na okoliczność sprawy</w:t>
      </w:r>
      <w:r w:rsidR="00D50092">
        <w:rPr>
          <w:vertAlign w:val="superscript"/>
        </w:rPr>
        <w:footnoteReference w:id="19"/>
      </w:r>
      <w:r w:rsidR="00D50092">
        <w:t xml:space="preserve">. Oczywiste jest, że okoliczności, co do których żądano zeznań tych świadków, były okolicznościami, o jakich była uprzednio mowa w pisemnych oświadczeniach zebranych na przedsądowym etapie postępowania. Tym bardziej oczywiste jest to, że skarżący oczekiwali, iż świadkowie zostaną wezwani przez sąd apelacyjny, gdyż mógł tego dokonać wykorzystując uprawnienia przysługujące mu z mocy prawa, czy to na wniosek skarżących, czy z urzędu, nawet bez określenia argumentów, jakie </w:t>
      </w:r>
      <w:r w:rsidR="00D50092">
        <w:lastRenderedPageBreak/>
        <w:t>należało dowieść. Fakt, że wnioski o dopuszczenie dowodów w postaci zeznań świadków zostały złożone z zastrzeżeniem, że sąd uzna je za „konieczne” (</w:t>
      </w:r>
      <w:proofErr w:type="spellStart"/>
      <w:r w:rsidR="00D50092">
        <w:rPr>
          <w:i/>
        </w:rPr>
        <w:t>ove</w:t>
      </w:r>
      <w:proofErr w:type="spellEnd"/>
      <w:r w:rsidR="00D50092">
        <w:rPr>
          <w:i/>
        </w:rPr>
        <w:t xml:space="preserve"> </w:t>
      </w:r>
      <w:proofErr w:type="spellStart"/>
      <w:r w:rsidR="00D50092">
        <w:rPr>
          <w:i/>
        </w:rPr>
        <w:t>occorresse</w:t>
      </w:r>
      <w:proofErr w:type="spellEnd"/>
      <w:r w:rsidR="00D50092">
        <w:t>) lub że dowody w postaci dokumentów zostaną uznane za „ewentualnie niewystarczające lub niemożliwe do wykorzystania” (</w:t>
      </w:r>
      <w:proofErr w:type="spellStart"/>
      <w:r w:rsidR="00D50092">
        <w:rPr>
          <w:i/>
        </w:rPr>
        <w:t>eventuale</w:t>
      </w:r>
      <w:proofErr w:type="spellEnd"/>
      <w:r w:rsidR="00D50092">
        <w:rPr>
          <w:i/>
        </w:rPr>
        <w:t xml:space="preserve"> </w:t>
      </w:r>
      <w:proofErr w:type="spellStart"/>
      <w:r w:rsidR="00D50092">
        <w:rPr>
          <w:i/>
        </w:rPr>
        <w:t>insufficienza</w:t>
      </w:r>
      <w:proofErr w:type="spellEnd"/>
      <w:r w:rsidR="00D50092">
        <w:rPr>
          <w:i/>
        </w:rPr>
        <w:t xml:space="preserve"> o </w:t>
      </w:r>
      <w:proofErr w:type="spellStart"/>
      <w:r w:rsidR="00D50092">
        <w:rPr>
          <w:i/>
        </w:rPr>
        <w:t>inutilizzabilità</w:t>
      </w:r>
      <w:proofErr w:type="spellEnd"/>
      <w:r w:rsidR="00D50092">
        <w:rPr>
          <w:i/>
        </w:rPr>
        <w:t xml:space="preserve"> dei </w:t>
      </w:r>
      <w:proofErr w:type="spellStart"/>
      <w:r w:rsidR="00D50092">
        <w:rPr>
          <w:i/>
        </w:rPr>
        <w:t>documenti</w:t>
      </w:r>
      <w:proofErr w:type="spellEnd"/>
      <w:r w:rsidR="00D50092">
        <w:t xml:space="preserve">), zdecydowanie nie wpływa na zmianę intencji skarżących ani na charakter ich wniosku. W istocie, w swoich wnioskach o </w:t>
      </w:r>
      <w:proofErr w:type="spellStart"/>
      <w:r w:rsidR="00D50092">
        <w:rPr>
          <w:i/>
        </w:rPr>
        <w:t>istanze</w:t>
      </w:r>
      <w:proofErr w:type="spellEnd"/>
      <w:r w:rsidR="00D50092">
        <w:rPr>
          <w:i/>
        </w:rPr>
        <w:t xml:space="preserve"> </w:t>
      </w:r>
      <w:proofErr w:type="spellStart"/>
      <w:r w:rsidR="00D50092">
        <w:rPr>
          <w:i/>
        </w:rPr>
        <w:t>istruttorie</w:t>
      </w:r>
      <w:proofErr w:type="spellEnd"/>
      <w:r w:rsidR="00D50092">
        <w:t xml:space="preserve"> skarżący odnieśli się do samych zasad prawa, zgodnie z którym</w:t>
      </w:r>
      <w:r w:rsidR="004F41CC">
        <w:t>i</w:t>
      </w:r>
      <w:r w:rsidR="00D50092">
        <w:t xml:space="preserve"> to od sędziego zależało uznanie dowodów, jakie uważał za „konieczne” dla celów rozstrzygnięcia sprawy oraz dania wiary wersji okoliczności przedstawionej przez skarżących</w:t>
      </w:r>
      <w:r w:rsidR="00D50092">
        <w:rPr>
          <w:vertAlign w:val="superscript"/>
        </w:rPr>
        <w:footnoteReference w:id="20"/>
      </w:r>
      <w:r w:rsidR="00D50092">
        <w:t>.</w:t>
      </w:r>
    </w:p>
    <w:p w14:paraId="44E858BB" w14:textId="699FC850" w:rsidR="00AB4482" w:rsidRDefault="00D50092" w:rsidP="003833F8">
      <w:pPr>
        <w:pStyle w:val="OpiPara"/>
      </w:pPr>
      <w:r>
        <w:t xml:space="preserve">13.  Przesłuchanie świadków przed sądem było niezbędne, ponieważ występowały poważne sprzeczności pomiędzy świadkami co do rozwoju wypadków w okresie od kwietnia do sierpnia 2005 roku. Przesłuchanie skarżących przez sąd również było istotne, zważywszy, że kwestionowano ich indywidualne i rzekomo oszukańcze </w:t>
      </w:r>
      <w:r>
        <w:rPr>
          <w:i/>
        </w:rPr>
        <w:t>mens</w:t>
      </w:r>
      <w:r w:rsidR="0004513A">
        <w:rPr>
          <w:i/>
        </w:rPr>
        <w:t xml:space="preserve"> </w:t>
      </w:r>
      <w:proofErr w:type="spellStart"/>
      <w:r w:rsidR="0004513A">
        <w:rPr>
          <w:i/>
        </w:rPr>
        <w:t>rea</w:t>
      </w:r>
      <w:proofErr w:type="spellEnd"/>
      <w:r>
        <w:rPr>
          <w:vertAlign w:val="superscript"/>
        </w:rPr>
        <w:footnoteReference w:id="21"/>
      </w:r>
      <w:r>
        <w:t>. Innymi słowy, niezwykle ważne było, aby ocenić, czy CONSOB był</w:t>
      </w:r>
      <w:r w:rsidR="005A1724">
        <w:t>a</w:t>
      </w:r>
      <w:r>
        <w:t xml:space="preserve"> świadom</w:t>
      </w:r>
      <w:r w:rsidR="005A1724">
        <w:t>a</w:t>
      </w:r>
      <w:r>
        <w:t xml:space="preserve"> prawnych rozwiązań stworzonych przez Pana Grande Stevensa i uznał</w:t>
      </w:r>
      <w:r w:rsidR="005A1724">
        <w:t>a</w:t>
      </w:r>
      <w:r>
        <w:t xml:space="preserve"> za niekonieczne podanie tych rozwiązań do publicznej wiadomości, w świetle ich początkowego, niepewnego i warunkowego charakteru, a także w celu uniknięcia sztucznego wpływu na rynek, który i tak był już bardzo niestabilny. Gdyby ta wersja faktów miała być potwierdzona, zostałoby wykazane, że postępowanie CONSOB samo stworzyło okoliczności do popełnienia przestępstwa, w ten sposób usidlając skarżących, a następnie karząc ich za to, co sam</w:t>
      </w:r>
      <w:r w:rsidR="005A1724">
        <w:t>a</w:t>
      </w:r>
      <w:r>
        <w:t xml:space="preserve"> wiedział</w:t>
      </w:r>
      <w:r w:rsidR="005A1724">
        <w:t>a</w:t>
      </w:r>
      <w:r>
        <w:t>, że było zaledwie intencją w przedmiotowym czasie (</w:t>
      </w:r>
      <w:proofErr w:type="spellStart"/>
      <w:r>
        <w:rPr>
          <w:i/>
        </w:rPr>
        <w:t>Cogitatio</w:t>
      </w:r>
      <w:proofErr w:type="spellEnd"/>
      <w:r>
        <w:rPr>
          <w:i/>
        </w:rPr>
        <w:t xml:space="preserve"> </w:t>
      </w:r>
      <w:proofErr w:type="spellStart"/>
      <w:r>
        <w:rPr>
          <w:i/>
        </w:rPr>
        <w:t>poenam</w:t>
      </w:r>
      <w:proofErr w:type="spellEnd"/>
      <w:r>
        <w:rPr>
          <w:i/>
        </w:rPr>
        <w:t xml:space="preserve"> </w:t>
      </w:r>
      <w:proofErr w:type="spellStart"/>
      <w:r>
        <w:rPr>
          <w:i/>
        </w:rPr>
        <w:t>nemo</w:t>
      </w:r>
      <w:proofErr w:type="spellEnd"/>
      <w:r>
        <w:rPr>
          <w:i/>
        </w:rPr>
        <w:t xml:space="preserve"> </w:t>
      </w:r>
      <w:proofErr w:type="spellStart"/>
      <w:r>
        <w:rPr>
          <w:i/>
        </w:rPr>
        <w:t>patitur</w:t>
      </w:r>
      <w:proofErr w:type="spellEnd"/>
      <w:r>
        <w:t xml:space="preserve">). To nie tylko sam brak formalności (a mianowicie brak </w:t>
      </w:r>
      <w:r w:rsidR="00C5454E">
        <w:t>jawnej rozprawy)</w:t>
      </w:r>
      <w:r>
        <w:t xml:space="preserve"> </w:t>
      </w:r>
      <w:r w:rsidR="005A1724">
        <w:t xml:space="preserve">jest </w:t>
      </w:r>
      <w:r>
        <w:t>uderza</w:t>
      </w:r>
      <w:r w:rsidR="005A1724">
        <w:t>jący</w:t>
      </w:r>
      <w:r>
        <w:t xml:space="preserve"> w niniejszej sprawie, jak zdaje się uważać większość. Chodzi tu o coś dużo więcej. Prawdziwie szokujący jest absolutny brak </w:t>
      </w:r>
      <w:r w:rsidR="00BC5908">
        <w:t>kontradyktoryjnego</w:t>
      </w:r>
      <w:r>
        <w:t xml:space="preserve"> zbadania kwestionowanych dowodów w odniesieniu do kluczowych okoliczności podczas rozprawy przed sądem. Sąd apelacyjny bez zastrzeżeń </w:t>
      </w:r>
      <w:r>
        <w:lastRenderedPageBreak/>
        <w:t>przyjął dowody w postaci zeznań zebranych przez prokuraturę, nie dając skarżącym możliwości skutecznego przesłuchania świadków na okoliczność sprawy</w:t>
      </w:r>
      <w:r>
        <w:rPr>
          <w:vertAlign w:val="superscript"/>
        </w:rPr>
        <w:footnoteReference w:id="22"/>
      </w:r>
      <w:r>
        <w:t xml:space="preserve">. Pomimo że te uchybienia zostały zakwestionowane przed Sądem Kasacyjnym, nie naprawił ich, oddalając skargi proceduralne jako spóźnione, a w każdym razie utrzymując, że całe postępowanie regulowane Uchwałą CONSOB nr 15608 było </w:t>
      </w:r>
      <w:r w:rsidR="00C5454E">
        <w:t xml:space="preserve">w stanie </w:t>
      </w:r>
      <w:r>
        <w:t xml:space="preserve">w pełni </w:t>
      </w:r>
      <w:r w:rsidR="005A1724">
        <w:t>zapewnić zgodność</w:t>
      </w:r>
      <w:r>
        <w:t xml:space="preserve"> z zasadami </w:t>
      </w:r>
      <w:r w:rsidR="00BC5908">
        <w:t>rzetelnego</w:t>
      </w:r>
      <w:r>
        <w:t xml:space="preserve"> procesu.</w:t>
      </w:r>
    </w:p>
    <w:p w14:paraId="20A0D740" w14:textId="4152EE61" w:rsidR="00AB4482" w:rsidRDefault="00BC5908" w:rsidP="003833F8">
      <w:pPr>
        <w:pStyle w:val="OpiPara"/>
      </w:pPr>
      <w:r>
        <w:t>14. </w:t>
      </w:r>
      <w:r w:rsidR="00D50092">
        <w:t xml:space="preserve">Znaczenie zbadania dowodów z przesłuchania przed sądem nie powinno być i nie powinno było być niedoceniane w postępowaniu </w:t>
      </w:r>
      <w:r w:rsidR="00C5454E">
        <w:t>w sprawie</w:t>
      </w:r>
      <w:r w:rsidR="00A455B3">
        <w:t xml:space="preserve"> </w:t>
      </w:r>
      <w:r w:rsidR="00C5454E">
        <w:t>sankcji</w:t>
      </w:r>
      <w:r w:rsidR="00D50092">
        <w:t xml:space="preserve">, które może prowadzić do nałożenia kar pieniężnych w wysokości milionów </w:t>
      </w:r>
      <w:r w:rsidR="00A455B3">
        <w:t>e</w:t>
      </w:r>
      <w:r w:rsidR="00D50092">
        <w:t xml:space="preserve">uro oraz kar niepieniężnych, które mogą stanowić trwały uszczerbek, a czasami ostatecznie zniszczyć karierę zawodową skazanych osób. W istocie, </w:t>
      </w:r>
      <w:r w:rsidR="00BF2B05">
        <w:t>Trybunał</w:t>
      </w:r>
      <w:r w:rsidR="00D50092">
        <w:t xml:space="preserve"> zauważył w dużo mniej poważnych sprawach konieczność zbadania w sądach drugiej instancji </w:t>
      </w:r>
      <w:r w:rsidR="00A455B3">
        <w:t xml:space="preserve">mocy </w:t>
      </w:r>
      <w:r w:rsidR="00D50092">
        <w:t>dowodów oskarżenia i obrony w publicznej debacie przed sędzią</w:t>
      </w:r>
      <w:r w:rsidR="00D50092">
        <w:rPr>
          <w:vertAlign w:val="superscript"/>
        </w:rPr>
        <w:footnoteReference w:id="23"/>
      </w:r>
      <w:r w:rsidR="00D50092">
        <w:t xml:space="preserve">. </w:t>
      </w:r>
      <w:r w:rsidR="00D50092">
        <w:rPr>
          <w:i/>
        </w:rPr>
        <w:t xml:space="preserve">A </w:t>
      </w:r>
      <w:proofErr w:type="spellStart"/>
      <w:r w:rsidR="00D50092">
        <w:rPr>
          <w:i/>
        </w:rPr>
        <w:t>fortiori</w:t>
      </w:r>
      <w:proofErr w:type="spellEnd"/>
      <w:r w:rsidR="00D50092">
        <w:t>, to samo ma zastosowanie do przesłuchania skarżących, czego konieczność została potwierdzona przez Trybunał, nawet w sądach drugiej instancji, w szczególności gdy chodzi o p</w:t>
      </w:r>
      <w:r w:rsidR="00D013BE">
        <w:t>odmiotowy</w:t>
      </w:r>
      <w:r w:rsidR="00D50092">
        <w:t xml:space="preserve"> element przestępstwa</w:t>
      </w:r>
      <w:r w:rsidR="00D50092">
        <w:rPr>
          <w:vertAlign w:val="superscript"/>
        </w:rPr>
        <w:footnoteReference w:id="24"/>
      </w:r>
      <w:r w:rsidR="00D50092">
        <w:t>. Sądy krajowe zignorowały te normy określone przez Trybunał.</w:t>
      </w:r>
    </w:p>
    <w:p w14:paraId="556E84F8" w14:textId="258FE3A5" w:rsidR="00AB4482" w:rsidRDefault="00F927EB" w:rsidP="00D50092">
      <w:pPr>
        <w:pStyle w:val="OpiHA"/>
        <w:ind w:left="0" w:firstLine="0"/>
      </w:pPr>
      <w:r>
        <w:lastRenderedPageBreak/>
        <w:t>Zmian</w:t>
      </w:r>
      <w:r w:rsidR="00815B91">
        <w:t>a oskarżeń przez sąd apelacyjny</w:t>
      </w:r>
      <w:r>
        <w:t xml:space="preserve"> na niekorzyść skarżącego</w:t>
      </w:r>
      <w:r>
        <w:rPr>
          <w:vertAlign w:val="superscript"/>
        </w:rPr>
        <w:footnoteReference w:id="25"/>
      </w:r>
    </w:p>
    <w:p w14:paraId="0BF00C51" w14:textId="1DBE142A" w:rsidR="00AB4482" w:rsidRDefault="00D013BE" w:rsidP="003833F8">
      <w:pPr>
        <w:pStyle w:val="OpiPara"/>
      </w:pPr>
      <w:r>
        <w:t>15. </w:t>
      </w:r>
      <w:r w:rsidR="00F927EB">
        <w:t xml:space="preserve">Skarżący Grande Stevens wnosi skargę przeciwko zmianie przez Sąd Apelacyjny oskarżenia skierowanego przeciwko niemu. Ma rację. W celu oskarżenia kogoś z artykułu 187 </w:t>
      </w:r>
      <w:r w:rsidR="00F927EB">
        <w:rPr>
          <w:i/>
        </w:rPr>
        <w:t xml:space="preserve">ter </w:t>
      </w:r>
      <w:r w:rsidR="00F927EB">
        <w:t>TUF (przestępstwo administracyjne manipulacji rynkowej), nie wystarczy zarzucić ogólnie, że przestępca uczestniczył w rozprowadzaniu fałszywych informacji. To sprowadzałoby się do prostego powtórzenia dosłownego tekstu przepisów prawnych. Oskarżenie musi wskazywać na fakty przystające do tego tekstu. Mówiąc technicznie, oskarżenie musi opisywać, z koniecznym stopniem dokładności, jak, kiedy, gdzie i przy zastosowaniu jakich środków przestępca uczestniczył w przestępstwie. W niniejszej sprawie, CONSOB oskarżył</w:t>
      </w:r>
      <w:r w:rsidR="00E10116">
        <w:t>a</w:t>
      </w:r>
      <w:r w:rsidR="00F927EB">
        <w:t xml:space="preserve"> skarżącego, Grande Stevensa, o udział w procesie podejmowania decyzji dotyczących rozpowszechniania rzekomo fałszywych informacji, podczas gdy występował w charakterze „administratora IFIL”, co okazało się niezgodne z prawdą. Aby uniknąć uniewinnienia, sąd apelacyjny zmienił przedmiot oskarżenia, zarzucając skarżącemu inne czyny: a mianowicie, że uczestniczył w przestępstwie</w:t>
      </w:r>
      <w:r w:rsidR="00E10116">
        <w:t>,</w:t>
      </w:r>
      <w:r w:rsidR="00F927EB">
        <w:t xml:space="preserve"> występując w charakterze prawnika </w:t>
      </w:r>
      <w:r w:rsidR="00E10116">
        <w:t>wykonującego</w:t>
      </w:r>
      <w:r w:rsidR="00F927EB">
        <w:t xml:space="preserve"> swoją działalność konsultacyjną. Taka zmiana przedmiotu oskarżenia przez sąd apelacyjny na niekorzyść skarżącego jest niedopuszczalna.</w:t>
      </w:r>
    </w:p>
    <w:p w14:paraId="13153A53" w14:textId="77777777" w:rsidR="00AB4482" w:rsidRDefault="00D013BE" w:rsidP="003833F8">
      <w:pPr>
        <w:pStyle w:val="OpiPara"/>
      </w:pPr>
      <w:r>
        <w:t>16. </w:t>
      </w:r>
      <w:r w:rsidR="00D50092">
        <w:t>Zgodnie z ustępem 23 ustawy nr 689/1981, sąd apelacyjny ma prawo zmienić zakwestionowaną decyzję, zarówno w jej aspekcie prawnym, jak i faktycznym. Jednakże, uprawnienie to ma jasno zdefiniowane ograniczenia.</w:t>
      </w:r>
    </w:p>
    <w:p w14:paraId="306B2CCA" w14:textId="77777777" w:rsidR="002D3FF9" w:rsidRDefault="00F927EB" w:rsidP="003833F8">
      <w:pPr>
        <w:pStyle w:val="OpiPara"/>
      </w:pPr>
      <w:r>
        <w:t xml:space="preserve">W świetle obowiązującej zasady zakazu </w:t>
      </w:r>
      <w:proofErr w:type="spellStart"/>
      <w:r>
        <w:rPr>
          <w:i/>
        </w:rPr>
        <w:t>reformatio</w:t>
      </w:r>
      <w:proofErr w:type="spellEnd"/>
      <w:r>
        <w:rPr>
          <w:i/>
        </w:rPr>
        <w:t xml:space="preserve"> in </w:t>
      </w:r>
      <w:proofErr w:type="spellStart"/>
      <w:r>
        <w:rPr>
          <w:i/>
        </w:rPr>
        <w:t>pejus</w:t>
      </w:r>
      <w:proofErr w:type="spellEnd"/>
      <w:r w:rsidR="00D013BE">
        <w:t>, sądow</w:t>
      </w:r>
      <w:r>
        <w:t>ą kontrolę ustanawia się na korzyść skarżącego i nie może ona być nadużywana na jego niekorzyść. Ponadto, jeżeli nadrzędne zasady „zgodności pomiędzy oskarżeniem a skazaniem” (</w:t>
      </w:r>
      <w:proofErr w:type="spellStart"/>
      <w:r>
        <w:rPr>
          <w:i/>
        </w:rPr>
        <w:t>corrispondenza</w:t>
      </w:r>
      <w:proofErr w:type="spellEnd"/>
      <w:r>
        <w:rPr>
          <w:i/>
        </w:rPr>
        <w:t xml:space="preserve"> </w:t>
      </w:r>
      <w:proofErr w:type="spellStart"/>
      <w:r>
        <w:rPr>
          <w:i/>
        </w:rPr>
        <w:t>tra</w:t>
      </w:r>
      <w:proofErr w:type="spellEnd"/>
      <w:r>
        <w:rPr>
          <w:i/>
        </w:rPr>
        <w:t xml:space="preserve"> </w:t>
      </w:r>
      <w:proofErr w:type="spellStart"/>
      <w:r>
        <w:rPr>
          <w:i/>
        </w:rPr>
        <w:t>contestazione</w:t>
      </w:r>
      <w:proofErr w:type="spellEnd"/>
      <w:r>
        <w:rPr>
          <w:i/>
        </w:rPr>
        <w:t xml:space="preserve"> e </w:t>
      </w:r>
      <w:proofErr w:type="spellStart"/>
      <w:r>
        <w:rPr>
          <w:i/>
        </w:rPr>
        <w:t>condanna</w:t>
      </w:r>
      <w:proofErr w:type="spellEnd"/>
      <w:r>
        <w:t>)</w:t>
      </w:r>
      <w:r>
        <w:rPr>
          <w:vertAlign w:val="superscript"/>
        </w:rPr>
        <w:footnoteReference w:id="26"/>
      </w:r>
      <w:r w:rsidR="00D013BE">
        <w:t>,</w:t>
      </w:r>
      <w:r>
        <w:t xml:space="preserve"> a także oddzielenie funkcji </w:t>
      </w:r>
      <w:r w:rsidR="00D013BE">
        <w:t>oskarżycielskiej i orzeczniczej</w:t>
      </w:r>
      <w:r>
        <w:rPr>
          <w:vertAlign w:val="superscript"/>
        </w:rPr>
        <w:footnoteReference w:id="27"/>
      </w:r>
      <w:r>
        <w:t xml:space="preserve"> mają zastosowanie do postępowania administracyjnego, mają one również zastosowanie </w:t>
      </w:r>
      <w:r>
        <w:rPr>
          <w:i/>
        </w:rPr>
        <w:t xml:space="preserve">a </w:t>
      </w:r>
      <w:proofErr w:type="spellStart"/>
      <w:r>
        <w:rPr>
          <w:i/>
        </w:rPr>
        <w:t>fortiori</w:t>
      </w:r>
      <w:proofErr w:type="spellEnd"/>
      <w:r>
        <w:t xml:space="preserve"> w odniesieniu do postępowania sądowego przed sądem apelacyjnym. Sąd apelacyjny przyjąłby na siebie rolę oskarżycielską, gdyby miał uwzględnić w oskarżeniu nowe fakty, które są niekorzystne dla skarżącego. Jednak tego właśnie dokonał sąd apelacyjny w niniejszej sprawie.</w:t>
      </w:r>
    </w:p>
    <w:p w14:paraId="1AA2026C" w14:textId="20184595" w:rsidR="00AB4482" w:rsidRDefault="00D013BE" w:rsidP="003833F8">
      <w:pPr>
        <w:pStyle w:val="OpiPara"/>
      </w:pPr>
      <w:r>
        <w:t>17.</w:t>
      </w:r>
      <w:r w:rsidR="00D50092">
        <w:t xml:space="preserve"> Należy rozważyć jeden końcowy kontrargument. Argument, że nowe okoliczności mają „jakość nieistotną z prawnego punktu widzenia”, a zatem mogą być uwzględnione w oskarżeniu, jest błędny i może być oddalony z </w:t>
      </w:r>
      <w:r w:rsidR="00D50092">
        <w:lastRenderedPageBreak/>
        <w:t>trzech powodów. Po pierwsze, sama decyzja CONSOB brała pod uwagę działalność Pana Grande Stevensa jako administratora (</w:t>
      </w:r>
      <w:proofErr w:type="spellStart"/>
      <w:r w:rsidR="00D50092">
        <w:rPr>
          <w:i/>
        </w:rPr>
        <w:t>amministratore</w:t>
      </w:r>
      <w:proofErr w:type="spellEnd"/>
      <w:r w:rsidR="00D50092">
        <w:t xml:space="preserve">) IFIL </w:t>
      </w:r>
      <w:proofErr w:type="spellStart"/>
      <w:r w:rsidR="00D50092">
        <w:t>Investments</w:t>
      </w:r>
      <w:proofErr w:type="spellEnd"/>
      <w:r w:rsidR="00D50092">
        <w:t xml:space="preserve"> </w:t>
      </w:r>
      <w:proofErr w:type="spellStart"/>
      <w:r w:rsidR="00D50092">
        <w:t>s.p.a</w:t>
      </w:r>
      <w:proofErr w:type="spellEnd"/>
      <w:r w:rsidR="00D50092">
        <w:t>. w celu podwyższenia jego kary</w:t>
      </w:r>
      <w:r w:rsidR="00D50092">
        <w:rPr>
          <w:vertAlign w:val="superscript"/>
        </w:rPr>
        <w:footnoteReference w:id="28"/>
      </w:r>
      <w:r w:rsidR="00D50092">
        <w:t>. Po drugie, charakter prawny, w jakim występował Pan Grande Stevens</w:t>
      </w:r>
      <w:r w:rsidR="00E10116">
        <w:t>,</w:t>
      </w:r>
      <w:r w:rsidR="00D50092">
        <w:t xml:space="preserve"> </w:t>
      </w:r>
      <w:r w:rsidR="00E10116">
        <w:t>czyni</w:t>
      </w:r>
      <w:r w:rsidR="00D50092">
        <w:t xml:space="preserve"> wielką różnicę, ponieważ jest istotny z punktu widzenia zakwalifikowania jego postępowania jako postępowania głównego przestępcy, który ma </w:t>
      </w:r>
      <w:r w:rsidR="00B06DEE">
        <w:t>kompetencję do</w:t>
      </w:r>
      <w:r w:rsidR="00D50092">
        <w:t xml:space="preserve"> podejmowania decyzji w temacie rozpowszechniania informacji, a nie jako zwykłego współsprawcy, który miał jedynie prawo do wyrażenia opinii prawnej osobom uprawnionym do podjęcia wymienionej wcześniej decyzji. Zmieniając tę kwalifikację, sąd apelacyjny zmienił istotne fakty oskarżenia, co jest ewidentnie istotne dla oceny obiektywnej szkodliwości i subiektywnej winy, jaką pociągało za sobą postępowanie Pana Stevensa, a ponadto dokonał tego bez zgody skarżącego</w:t>
      </w:r>
      <w:r w:rsidR="00D50092">
        <w:rPr>
          <w:vertAlign w:val="superscript"/>
        </w:rPr>
        <w:footnoteReference w:id="29"/>
      </w:r>
      <w:r w:rsidR="00D50092">
        <w:t xml:space="preserve">. Po trzecie, nowa okoliczność była również istotna z punktu widzenia odpowiedzialności osób trzecich zaangażowanych w postępowanie, ponieważ skazanie Pana Grande Stevensa jako „administratora” IFIL </w:t>
      </w:r>
      <w:proofErr w:type="spellStart"/>
      <w:r w:rsidR="00D50092">
        <w:t>Investments</w:t>
      </w:r>
      <w:proofErr w:type="spellEnd"/>
      <w:r w:rsidR="00D50092">
        <w:t xml:space="preserve"> </w:t>
      </w:r>
      <w:proofErr w:type="spellStart"/>
      <w:r w:rsidR="00D50092">
        <w:t>s.p.a</w:t>
      </w:r>
      <w:proofErr w:type="spellEnd"/>
      <w:r w:rsidR="00D50092">
        <w:t xml:space="preserve">. pociągało za sobą jego odpowiedzialność wynikającą z artykułu 187 </w:t>
      </w:r>
      <w:proofErr w:type="spellStart"/>
      <w:r w:rsidR="00D50092">
        <w:rPr>
          <w:i/>
        </w:rPr>
        <w:t>quinquies</w:t>
      </w:r>
      <w:proofErr w:type="spellEnd"/>
      <w:r w:rsidR="00D50092">
        <w:rPr>
          <w:i/>
        </w:rPr>
        <w:t xml:space="preserve"> </w:t>
      </w:r>
      <w:r w:rsidR="00D50092">
        <w:t>TUF.</w:t>
      </w:r>
    </w:p>
    <w:p w14:paraId="5443B62F" w14:textId="77777777" w:rsidR="00A507AB" w:rsidRPr="00110749" w:rsidRDefault="00F927EB" w:rsidP="00D50092">
      <w:pPr>
        <w:pStyle w:val="OpiHA"/>
        <w:ind w:left="0" w:firstLine="0"/>
      </w:pPr>
      <w:r>
        <w:t xml:space="preserve">Brak zgodności z prawem i </w:t>
      </w:r>
      <w:r w:rsidR="00B06DEE">
        <w:t>proporcjonalności</w:t>
      </w:r>
      <w:r>
        <w:t xml:space="preserve"> sankcji pieniężnych i niepieniężnych</w:t>
      </w:r>
      <w:r>
        <w:noBreakHyphen/>
      </w:r>
    </w:p>
    <w:p w14:paraId="44B117D1" w14:textId="5E32330E" w:rsidR="00A507AB" w:rsidRPr="00110749" w:rsidRDefault="00B06DEE" w:rsidP="003833F8">
      <w:pPr>
        <w:pStyle w:val="OpiPara"/>
      </w:pPr>
      <w:r>
        <w:t>18. </w:t>
      </w:r>
      <w:r w:rsidR="00D50092">
        <w:t xml:space="preserve">Skarga skarżących dotycząca braku zgodności z prawem i </w:t>
      </w:r>
      <w:r>
        <w:t>proporcjonalności</w:t>
      </w:r>
      <w:r w:rsidR="00D50092">
        <w:t xml:space="preserve"> kar pieniężnych i niepieniężnych. Zgodnie z artykułem 187 </w:t>
      </w:r>
      <w:r w:rsidR="00D50092">
        <w:rPr>
          <w:i/>
        </w:rPr>
        <w:t>ter</w:t>
      </w:r>
      <w:r w:rsidR="00D50092">
        <w:t xml:space="preserve"> TUF, sankcje pieniężne mające zastosowanie do przestępstwa administracyjnego manip</w:t>
      </w:r>
      <w:r>
        <w:t>ulacji rynkowej mogą sięgać pięciu</w:t>
      </w:r>
      <w:r w:rsidR="00D50092">
        <w:t xml:space="preserve"> milionów </w:t>
      </w:r>
      <w:r w:rsidR="00E10116">
        <w:t>e</w:t>
      </w:r>
      <w:r w:rsidR="00D50092">
        <w:t>uro</w:t>
      </w:r>
      <w:r w:rsidR="00D50092">
        <w:rPr>
          <w:vertAlign w:val="superscript"/>
        </w:rPr>
        <w:footnoteReference w:id="30"/>
      </w:r>
      <w:r w:rsidR="00D50092">
        <w:t xml:space="preserve">, a także mogą być podwyższone do trzykrotnej lub nawet dziesięciokrotnej wartości wpływów z przestępstwa lub zysków z niego wynikających, uwzględniając osobistą sytuację winnego, skalę wpływów z przestępstwa lub zysków z niego wynikających, bądź też jego konsekwencje dla rynku. </w:t>
      </w:r>
      <w:r w:rsidR="00D50092">
        <w:rPr>
          <w:u w:val="single"/>
        </w:rPr>
        <w:t xml:space="preserve">Podczas gdy kara za przestępstwa administracyjne na podstawie wpływów z przestępstwa lub zysków z niego wynikających, bez żadnych ustalonych górnych limitów dla sankcji pieniężnych, pociąga za sobą </w:t>
      </w:r>
      <w:r w:rsidR="00D50092">
        <w:rPr>
          <w:i/>
          <w:u w:val="single"/>
        </w:rPr>
        <w:t xml:space="preserve">per </w:t>
      </w:r>
      <w:proofErr w:type="spellStart"/>
      <w:r w:rsidR="00D50092">
        <w:rPr>
          <w:i/>
          <w:u w:val="single"/>
        </w:rPr>
        <w:t>se</w:t>
      </w:r>
      <w:proofErr w:type="spellEnd"/>
      <w:r w:rsidR="00D50092">
        <w:rPr>
          <w:u w:val="single"/>
        </w:rPr>
        <w:t xml:space="preserve"> wątpliwość na gruncie artykułu 7 Konwencji w </w:t>
      </w:r>
      <w:r w:rsidR="00D97A48">
        <w:rPr>
          <w:u w:val="single"/>
        </w:rPr>
        <w:t>jego</w:t>
      </w:r>
      <w:r w:rsidR="00D50092">
        <w:rPr>
          <w:u w:val="single"/>
        </w:rPr>
        <w:t xml:space="preserve"> aspekcie zasady </w:t>
      </w:r>
      <w:proofErr w:type="spellStart"/>
      <w:r>
        <w:rPr>
          <w:i/>
          <w:u w:val="single"/>
        </w:rPr>
        <w:t>nullum</w:t>
      </w:r>
      <w:proofErr w:type="spellEnd"/>
      <w:r>
        <w:rPr>
          <w:i/>
          <w:u w:val="single"/>
        </w:rPr>
        <w:t xml:space="preserve"> </w:t>
      </w:r>
      <w:r>
        <w:rPr>
          <w:i/>
          <w:u w:val="single"/>
        </w:rPr>
        <w:lastRenderedPageBreak/>
        <w:t>poena sine leg</w:t>
      </w:r>
      <w:r w:rsidR="00D50092">
        <w:rPr>
          <w:i/>
          <w:u w:val="single"/>
        </w:rPr>
        <w:t xml:space="preserve">e </w:t>
      </w:r>
      <w:proofErr w:type="spellStart"/>
      <w:r w:rsidR="00D50092">
        <w:rPr>
          <w:i/>
          <w:u w:val="single"/>
        </w:rPr>
        <w:t>stricta</w:t>
      </w:r>
      <w:proofErr w:type="spellEnd"/>
      <w:r w:rsidR="00D50092">
        <w:rPr>
          <w:u w:val="single"/>
        </w:rPr>
        <w:t>,</w:t>
      </w:r>
      <w:r w:rsidR="00D50092">
        <w:t xml:space="preserve"> </w:t>
      </w:r>
      <w:r w:rsidR="00D50092">
        <w:rPr>
          <w:u w:val="single"/>
        </w:rPr>
        <w:t xml:space="preserve">niezwykle szeroki zakres zwiększonej kary pieniężnej przewidziany w artykule 187 </w:t>
      </w:r>
      <w:r w:rsidR="00D50092">
        <w:rPr>
          <w:i/>
          <w:u w:val="single"/>
        </w:rPr>
        <w:t>ter</w:t>
      </w:r>
      <w:r>
        <w:rPr>
          <w:u w:val="single"/>
        </w:rPr>
        <w:t xml:space="preserve"> nr 5 TUF</w:t>
      </w:r>
      <w:r w:rsidR="000D2605">
        <w:rPr>
          <w:u w:val="single"/>
        </w:rPr>
        <w:t xml:space="preserve"> </w:t>
      </w:r>
      <w:r w:rsidR="00D50092">
        <w:rPr>
          <w:u w:val="single"/>
        </w:rPr>
        <w:t>jest nawet bardziej problematyczny</w:t>
      </w:r>
      <w:r w:rsidR="00D50092">
        <w:rPr>
          <w:u w:val="single"/>
          <w:vertAlign w:val="superscript"/>
        </w:rPr>
        <w:footnoteReference w:id="31"/>
      </w:r>
      <w:r w:rsidR="00D50092">
        <w:rPr>
          <w:u w:val="single"/>
        </w:rPr>
        <w:t xml:space="preserve">. Niezależnie od tego, konkretne nałożone sankcje nie są ani zgodne z prawem, ani </w:t>
      </w:r>
      <w:r>
        <w:rPr>
          <w:u w:val="single"/>
        </w:rPr>
        <w:t>proporcjonal</w:t>
      </w:r>
      <w:r w:rsidR="00D50092">
        <w:rPr>
          <w:u w:val="single"/>
        </w:rPr>
        <w:t>ne</w:t>
      </w:r>
      <w:r w:rsidR="00D50092">
        <w:t>.</w:t>
      </w:r>
    </w:p>
    <w:p w14:paraId="58EB9899" w14:textId="46DD7654" w:rsidR="00AB4482" w:rsidRDefault="00692A7C" w:rsidP="003833F8">
      <w:pPr>
        <w:pStyle w:val="OpiPara"/>
      </w:pPr>
      <w:r>
        <w:t>19. </w:t>
      </w:r>
      <w:r w:rsidR="00D50092">
        <w:t xml:space="preserve">Sankcje nałożone na skarżących nie są zgodne z prawem również w tym sensie, że są one „skażone” bardzo poważnymi brakami proceduralnymi postępowania administracyjnego i sądowego, z których się wywodzą. Udawanie, że te braki nie pociągnęły za sobą poważnego uszczerbku </w:t>
      </w:r>
      <w:r w:rsidR="00D50092">
        <w:rPr>
          <w:i/>
        </w:rPr>
        <w:t xml:space="preserve">ab </w:t>
      </w:r>
      <w:proofErr w:type="spellStart"/>
      <w:r w:rsidR="00D50092">
        <w:rPr>
          <w:i/>
        </w:rPr>
        <w:t>imo</w:t>
      </w:r>
      <w:proofErr w:type="spellEnd"/>
      <w:r w:rsidR="00D50092">
        <w:t xml:space="preserve"> dla możliwości skorzystania przez skarżących </w:t>
      </w:r>
      <w:r w:rsidR="00BF6147">
        <w:t>z</w:t>
      </w:r>
      <w:r w:rsidR="00D50092">
        <w:t xml:space="preserve"> prawa do obrony, a także zakładanie, że żadne braki proceduralne nie mogą wpłynąć na decyzję dotyczącą sankcji, w zakresie, w jakim decyzja ta stanowiła niezbędną konsekwencję stwierdzenia popełnienia przestępstwa, stanowi poważne </w:t>
      </w:r>
      <w:proofErr w:type="spellStart"/>
      <w:r w:rsidR="00D50092">
        <w:rPr>
          <w:i/>
        </w:rPr>
        <w:t>petitio</w:t>
      </w:r>
      <w:proofErr w:type="spellEnd"/>
      <w:r w:rsidR="00D50092">
        <w:rPr>
          <w:i/>
        </w:rPr>
        <w:t xml:space="preserve"> </w:t>
      </w:r>
      <w:proofErr w:type="spellStart"/>
      <w:r w:rsidR="00D50092">
        <w:rPr>
          <w:i/>
        </w:rPr>
        <w:t>principii</w:t>
      </w:r>
      <w:proofErr w:type="spellEnd"/>
      <w:r w:rsidR="00D50092">
        <w:t xml:space="preserve">, w oparciu o niedopuszczalne założenie, że </w:t>
      </w:r>
      <w:r w:rsidR="00491441">
        <w:t xml:space="preserve">nierzetelne </w:t>
      </w:r>
      <w:r w:rsidR="00D50092">
        <w:t>postępowanie nie miałoby innego wyniku, a ostatecznie, że skazania można dokonać na podstawie inkwizycyjnego i nierównego postępowania.</w:t>
      </w:r>
    </w:p>
    <w:p w14:paraId="614A0018" w14:textId="77777777" w:rsidR="00AB4482" w:rsidRDefault="00BF6147" w:rsidP="003833F8">
      <w:pPr>
        <w:pStyle w:val="OpiPara"/>
      </w:pPr>
      <w:r>
        <w:t>20. </w:t>
      </w:r>
      <w:r w:rsidR="00D50092">
        <w:t xml:space="preserve">Ponadto, sankcje pieniężne nałożone przez sąd apelacyjny są nieadekwatne, ponieważ Pan </w:t>
      </w:r>
      <w:proofErr w:type="spellStart"/>
      <w:r w:rsidR="00D50092">
        <w:t>Gabetti</w:t>
      </w:r>
      <w:proofErr w:type="spellEnd"/>
      <w:r w:rsidR="00D50092">
        <w:t xml:space="preserve">, prezes przedsiębiorstw handlowych IFIL </w:t>
      </w:r>
      <w:proofErr w:type="spellStart"/>
      <w:r w:rsidR="00D50092">
        <w:t>Investments</w:t>
      </w:r>
      <w:proofErr w:type="spellEnd"/>
      <w:r w:rsidR="00D50092">
        <w:t xml:space="preserve"> </w:t>
      </w:r>
      <w:proofErr w:type="spellStart"/>
      <w:r w:rsidR="00D50092">
        <w:t>s.p.a</w:t>
      </w:r>
      <w:proofErr w:type="spellEnd"/>
      <w:r w:rsidR="00D50092">
        <w:t>. i Giovanni Agnelli &amp; Co., który podjął decyzję o rozpowszechnieniu informacji prasowych, został ukarany mniejszą karą niż Pan Grande Stevens, prawnik, który nie miał prawa do podejmowania decyzji, a występował jedynie jako konsultant</w:t>
      </w:r>
      <w:r w:rsidR="00D50092">
        <w:rPr>
          <w:vertAlign w:val="superscript"/>
        </w:rPr>
        <w:footnoteReference w:id="32"/>
      </w:r>
      <w:r w:rsidR="00D50092">
        <w:t xml:space="preserve">. W istocie, zgodnie z wyrokiem sądu apelacyjnego, administrator, który podjął decyzję, został obciążony karą 1.200.000 Euro (1.000.000 Euro za swoje postępowanie w imieniu IFIL </w:t>
      </w:r>
      <w:proofErr w:type="spellStart"/>
      <w:r w:rsidR="00D50092">
        <w:t>Investments</w:t>
      </w:r>
      <w:proofErr w:type="spellEnd"/>
      <w:r w:rsidR="00D50092">
        <w:t xml:space="preserve"> </w:t>
      </w:r>
      <w:proofErr w:type="spellStart"/>
      <w:r w:rsidR="00D50092">
        <w:t>s.p.a</w:t>
      </w:r>
      <w:proofErr w:type="spellEnd"/>
      <w:r w:rsidR="00D50092">
        <w:t xml:space="preserve">. i 200.000 Euro za postępowanie w imieniu Giovanni Agnelli &amp; Co.), natomiast prawnik, który pełnił jedynie rolę </w:t>
      </w:r>
      <w:r w:rsidR="00D50092">
        <w:lastRenderedPageBreak/>
        <w:t xml:space="preserve">doradczą, a którego opinia mogła być zignorowana przez administratora, został zobowiązany do zapłaty ponad dwukrotnie tyle, a mianowicie 3.000.000 </w:t>
      </w:r>
      <w:r w:rsidR="00E10116">
        <w:t>e</w:t>
      </w:r>
      <w:r w:rsidR="00D50092">
        <w:t>uro. Innymi słowy</w:t>
      </w:r>
      <w:r w:rsidR="00D50092">
        <w:rPr>
          <w:u w:val="single"/>
        </w:rPr>
        <w:t>, współsprawca został ukarany dużo wyższą karą pieniężną niż główny sprawca!</w:t>
      </w:r>
    </w:p>
    <w:p w14:paraId="6EF282BD" w14:textId="391150FA" w:rsidR="00AB4482" w:rsidRDefault="00396CCF" w:rsidP="003833F8">
      <w:pPr>
        <w:pStyle w:val="OpiPara"/>
      </w:pPr>
      <w:r>
        <w:t>21. </w:t>
      </w:r>
      <w:r w:rsidR="00E31EF3">
        <w:t xml:space="preserve">Ta sama krytyka ma zastosowanie do kar niepieniężnych. Pan Grande Stevens został ukarany czteromiesięcznym zakazem prowadzenia działalności zawodowej, a Pan </w:t>
      </w:r>
      <w:proofErr w:type="spellStart"/>
      <w:r w:rsidR="00E31EF3">
        <w:t>Gabetti</w:t>
      </w:r>
      <w:proofErr w:type="spellEnd"/>
      <w:r w:rsidR="00E31EF3">
        <w:t xml:space="preserve"> został ukarany taką samą karą. </w:t>
      </w:r>
      <w:r w:rsidR="00E31EF3">
        <w:rPr>
          <w:u w:val="single"/>
        </w:rPr>
        <w:t>Współsprawca, który udzielił niewiążącej opinii oraz główny sprawca, który podjął decyzję, zostali ukarani takimi samymi sankcjami</w:t>
      </w:r>
      <w:r w:rsidR="00E10116" w:rsidRPr="00E10116">
        <w:rPr>
          <w:u w:val="single"/>
        </w:rPr>
        <w:t xml:space="preserve"> </w:t>
      </w:r>
      <w:r w:rsidR="00E10116">
        <w:rPr>
          <w:u w:val="single"/>
        </w:rPr>
        <w:t>niepieniężnymi</w:t>
      </w:r>
      <w:r w:rsidR="00E31EF3">
        <w:rPr>
          <w:u w:val="single"/>
        </w:rPr>
        <w:t>, jakby ich odpowiedzialność zawodowa była na tym samym poziomie!</w:t>
      </w:r>
    </w:p>
    <w:p w14:paraId="688E8DAF" w14:textId="77777777" w:rsidR="00AB4482" w:rsidRDefault="00396CCF" w:rsidP="003833F8">
      <w:pPr>
        <w:pStyle w:val="OpiPara"/>
      </w:pPr>
      <w:r>
        <w:t>22. </w:t>
      </w:r>
      <w:r w:rsidR="00E31EF3">
        <w:t xml:space="preserve">Nieadekwatność kar nałożonych na skarżących </w:t>
      </w:r>
      <w:proofErr w:type="spellStart"/>
      <w:r w:rsidR="00E31EF3">
        <w:t>Gabettiego</w:t>
      </w:r>
      <w:proofErr w:type="spellEnd"/>
      <w:r w:rsidR="00E31EF3">
        <w:t xml:space="preserve"> i Grande Stevensa przez sąd apelacyjny jest nie tylko widoczna, gdy zostaną one do siebie porównane. Niezrozumiałe jest również, że ta sama kara 3.000.000 </w:t>
      </w:r>
      <w:r w:rsidR="00E10116">
        <w:t>e</w:t>
      </w:r>
      <w:r w:rsidR="00E31EF3">
        <w:t xml:space="preserve">uro została zastosowana do skarżącego Grande Stevensa przez CONSOB i sąd apelacyjny, pomimo faktu, że CONSOB uznał Pana Grande Stevensa za administratora IFIL </w:t>
      </w:r>
      <w:proofErr w:type="spellStart"/>
      <w:r w:rsidR="00E31EF3">
        <w:t>Investments</w:t>
      </w:r>
      <w:proofErr w:type="spellEnd"/>
      <w:r w:rsidR="00E31EF3">
        <w:t xml:space="preserve"> </w:t>
      </w:r>
      <w:proofErr w:type="spellStart"/>
      <w:r w:rsidR="00E31EF3">
        <w:t>s.p.a</w:t>
      </w:r>
      <w:proofErr w:type="spellEnd"/>
      <w:r w:rsidR="00E31EF3">
        <w:t xml:space="preserve">., a sąd apelacyjny uznał go za prawnika bez mocy wykonawczej. Mimo że sąd apelacyjny obniżył odpowiedzialność Pana Grande Stevensa z odpowiedzialności głównego sprawcy do odpowiedzialności współsprawcy, utrzymał tę samą karę, jaka została zastosowana w stosunku do niego przez CONSOB. </w:t>
      </w:r>
      <w:r w:rsidR="00E31EF3">
        <w:rPr>
          <w:u w:val="single"/>
        </w:rPr>
        <w:t xml:space="preserve">Co do istoty, odpowiada to ukrytej formie </w:t>
      </w:r>
      <w:proofErr w:type="spellStart"/>
      <w:r w:rsidR="00E31EF3">
        <w:rPr>
          <w:i/>
          <w:u w:val="single"/>
        </w:rPr>
        <w:t>reformatio</w:t>
      </w:r>
      <w:proofErr w:type="spellEnd"/>
      <w:r w:rsidR="00E31EF3">
        <w:rPr>
          <w:i/>
          <w:u w:val="single"/>
        </w:rPr>
        <w:t xml:space="preserve"> in </w:t>
      </w:r>
      <w:proofErr w:type="spellStart"/>
      <w:r w:rsidR="00E31EF3">
        <w:rPr>
          <w:i/>
          <w:u w:val="single"/>
        </w:rPr>
        <w:t>pejus</w:t>
      </w:r>
      <w:proofErr w:type="spellEnd"/>
      <w:r w:rsidR="00E31EF3">
        <w:rPr>
          <w:i/>
          <w:u w:val="single"/>
        </w:rPr>
        <w:t xml:space="preserve"> </w:t>
      </w:r>
      <w:r w:rsidR="00E31EF3">
        <w:rPr>
          <w:u w:val="single"/>
        </w:rPr>
        <w:t>przez sąd apelacyjny, na niekorzyść skarżącego</w:t>
      </w:r>
      <w:r w:rsidR="00E31EF3">
        <w:t>. Nie podano żadnych uzasadnionych powodów takiej surowości.</w:t>
      </w:r>
    </w:p>
    <w:p w14:paraId="3FDE6AAF" w14:textId="685C6634" w:rsidR="00AB4482" w:rsidRDefault="00396CCF" w:rsidP="003833F8">
      <w:pPr>
        <w:pStyle w:val="OpiPara"/>
      </w:pPr>
      <w:r>
        <w:t>23.</w:t>
      </w:r>
      <w:r w:rsidR="00E31EF3">
        <w:t xml:space="preserve"> Kary zastosowane do Pana </w:t>
      </w:r>
      <w:proofErr w:type="spellStart"/>
      <w:r w:rsidR="00E31EF3">
        <w:t>Marrone</w:t>
      </w:r>
      <w:proofErr w:type="spellEnd"/>
      <w:r w:rsidR="00E31EF3">
        <w:t xml:space="preserve"> są również nieuzasadnione, ponieważ nie uczestniczył on naw</w:t>
      </w:r>
      <w:r>
        <w:t>et w zarzucanym pr</w:t>
      </w:r>
      <w:r w:rsidR="00E10116">
        <w:t>o</w:t>
      </w:r>
      <w:r>
        <w:t>cederze</w:t>
      </w:r>
      <w:r w:rsidR="00E31EF3">
        <w:t xml:space="preserve"> rozpowszechniania rzekomo fałszywych informacji, jak to ustalił Sąd Kasacyjny w swoim końcowym wyroku z 20 czerwca 2012 roku.</w:t>
      </w:r>
    </w:p>
    <w:p w14:paraId="52AF9BEE" w14:textId="452AD279" w:rsidR="00A507AB" w:rsidRPr="00110749" w:rsidRDefault="00396CCF" w:rsidP="003833F8">
      <w:pPr>
        <w:pStyle w:val="OpiPara"/>
      </w:pPr>
      <w:r>
        <w:t>24.</w:t>
      </w:r>
      <w:r w:rsidR="00E31EF3">
        <w:t xml:space="preserve"> Wreszcie, spółka IFIL </w:t>
      </w:r>
      <w:proofErr w:type="spellStart"/>
      <w:r w:rsidR="00E31EF3">
        <w:t>Investments</w:t>
      </w:r>
      <w:proofErr w:type="spellEnd"/>
      <w:r w:rsidR="00E31EF3">
        <w:t xml:space="preserve"> została ukarana karą 1.000.000 </w:t>
      </w:r>
      <w:r w:rsidR="00E10116">
        <w:t>e</w:t>
      </w:r>
      <w:r w:rsidR="00E31EF3">
        <w:t xml:space="preserve">uro w związku z przestępstwem popełnionym przez Pana </w:t>
      </w:r>
      <w:proofErr w:type="spellStart"/>
      <w:r w:rsidR="00E31EF3">
        <w:t>Gabettiego</w:t>
      </w:r>
      <w:proofErr w:type="spellEnd"/>
      <w:r w:rsidR="00E31EF3">
        <w:t xml:space="preserve">, a spółka Giovanni Agnelli &amp; Co. została ukarana karą 600.000 </w:t>
      </w:r>
      <w:r w:rsidR="00E10116">
        <w:t>e</w:t>
      </w:r>
      <w:r w:rsidR="00E31EF3">
        <w:t xml:space="preserve">uro w związku z przestępstwami popełnionymi przez Pana </w:t>
      </w:r>
      <w:proofErr w:type="spellStart"/>
      <w:r w:rsidR="00E31EF3">
        <w:t>Gabettiego</w:t>
      </w:r>
      <w:proofErr w:type="spellEnd"/>
      <w:r w:rsidR="00E31EF3">
        <w:t xml:space="preserve"> i Pana </w:t>
      </w:r>
      <w:proofErr w:type="spellStart"/>
      <w:r w:rsidR="00E31EF3">
        <w:t>Marrone</w:t>
      </w:r>
      <w:proofErr w:type="spellEnd"/>
      <w:r w:rsidR="00E31EF3">
        <w:t>. Zgodnie z artykułem 187-</w:t>
      </w:r>
      <w:r w:rsidR="00E31EF3">
        <w:rPr>
          <w:i/>
        </w:rPr>
        <w:t>quinquies</w:t>
      </w:r>
      <w:r w:rsidR="00E31EF3">
        <w:t xml:space="preserve"> TUF, odpowiedzialność administracyjna osoby prawnej nie ma ustalonego górnego limitu, ponieważ zależy od szeregu osób fizycznych, które popełniły przestępstwo w imieniu osoby prawnej. Jednakże, trudno jest zrozumieć, jak kara </w:t>
      </w:r>
      <w:r w:rsidR="00FB61C4">
        <w:t xml:space="preserve">nałożona za </w:t>
      </w:r>
      <w:r w:rsidR="00E31EF3">
        <w:t xml:space="preserve">rozpowszechnianie rzekomo fałszywych informacji przez jedną osobą fizyczną może stanowić blisko dwukrotność kary </w:t>
      </w:r>
      <w:r w:rsidR="00FB61C4">
        <w:t>za rozpowszechnianie</w:t>
      </w:r>
      <w:r w:rsidR="00E31EF3">
        <w:t xml:space="preserve"> tej samej informacji przez tę samą osobę, jednak z uczestnictwem innej osoby fizycznej. Ponadto, CONSOB nakazał, a sąd apelacyjny utrzymał ten nakaz w mocy, by dwie spółki zapłaciły kary nałożone na osoby przez nie zatrudnione, jako wspólnie odpowiedzialny podmiot, zgodnie z ustępem 6 (3) ustawy nr 689/1981. Zgodnie z ugruntowanym orzecznictwem Sądu Kasacyjnego, artykuł 187-</w:t>
      </w:r>
      <w:r w:rsidR="00E31EF3">
        <w:rPr>
          <w:i/>
        </w:rPr>
        <w:t>quinquies</w:t>
      </w:r>
      <w:r w:rsidR="00E31EF3">
        <w:t xml:space="preserve"> TUF i ustęp 6 ustawy nr 689/1981 mogą być stosowane do tej samej osoby prawnej w oparciu o te same okoliczności, ponieważ pierwszy dotyczy „bezpośredniej odpowiedzialności administracyjnej osoby prawnej”, </w:t>
      </w:r>
      <w:r w:rsidR="00E31EF3">
        <w:lastRenderedPageBreak/>
        <w:t xml:space="preserve">podczas gdy drugi stanowi „specjalny przypadek zadłużenia bez odpowiedzialności, gdy podmiot ponosi odpowiedzialność za naruszenia popełnione przez jeden z jego wewnętrznych organów i jest bezpośrednio odpowiedzialny jako </w:t>
      </w:r>
      <w:proofErr w:type="spellStart"/>
      <w:r w:rsidR="00E31EF3">
        <w:rPr>
          <w:i/>
        </w:rPr>
        <w:t>adiectus</w:t>
      </w:r>
      <w:proofErr w:type="spellEnd"/>
      <w:r w:rsidR="00E31EF3">
        <w:rPr>
          <w:i/>
        </w:rPr>
        <w:t xml:space="preserve"> </w:t>
      </w:r>
      <w:proofErr w:type="spellStart"/>
      <w:r w:rsidR="00E31EF3">
        <w:rPr>
          <w:i/>
        </w:rPr>
        <w:t>solutionis</w:t>
      </w:r>
      <w:proofErr w:type="spellEnd"/>
      <w:r w:rsidR="00E31EF3">
        <w:rPr>
          <w:i/>
        </w:rPr>
        <w:t xml:space="preserve"> causa</w:t>
      </w:r>
      <w:r w:rsidR="00E31EF3">
        <w:t>”. Ponadto, dwóm spółkom zarzucono również popełnienie dodatkowych „administracyjnych” przestępstw z artykułu 25-</w:t>
      </w:r>
      <w:r w:rsidR="00E31EF3">
        <w:rPr>
          <w:i/>
        </w:rPr>
        <w:t>sixies</w:t>
      </w:r>
      <w:r w:rsidR="00E31EF3">
        <w:t xml:space="preserve"> Dekretu Legislacyjnego nr 231 z 8 czerwca 2001 roku. Z praktycznego punktu widzenia, dwie spółki mogły musieć zapłacić trzy różne kary pieniężne w wielkiej wysokości z tytułu tych samych okoliczności. Już w samej swojej budowie koncepcyjnej, ten system odszkodowawczy poddaje w wątpliwość prawa osób prawnych zarówno z artykułu 1 Protokołu nr 1, jak i artykułu 7 Konwencji. Dla celów niniejszej opinii, wystarczy uznać, że spółki IFIL </w:t>
      </w:r>
      <w:proofErr w:type="spellStart"/>
      <w:r w:rsidR="00E31EF3">
        <w:t>Investments</w:t>
      </w:r>
      <w:proofErr w:type="spellEnd"/>
      <w:r w:rsidR="00E31EF3">
        <w:t xml:space="preserve"> </w:t>
      </w:r>
      <w:proofErr w:type="spellStart"/>
      <w:r w:rsidR="00E31EF3">
        <w:t>s.p.a</w:t>
      </w:r>
      <w:proofErr w:type="spellEnd"/>
      <w:r w:rsidR="00E31EF3">
        <w:t>. i Giovanni Agnelli &amp; Co. zostały uniewinnione na mocy wyroku sądu apelacyjnego z 28 lutego 2013 toku, a wyrok ten jest prawomocny w tej części. Sąd apelacyjny uznał, że nie można przypisywać tym przedsiębiorstwo działania niezgodnego z prawdą, a tym bardziej popełnienia jakiegokolwiek przestępstwa „administracyjnego”. W świetle artykułu 187-</w:t>
      </w:r>
      <w:r w:rsidR="00E31EF3">
        <w:rPr>
          <w:i/>
        </w:rPr>
        <w:t>quinquies</w:t>
      </w:r>
      <w:r w:rsidR="00E31EF3">
        <w:t xml:space="preserve"> nr 4 TUF, obrona IFIL </w:t>
      </w:r>
      <w:proofErr w:type="spellStart"/>
      <w:r w:rsidR="00E31EF3">
        <w:t>Investments</w:t>
      </w:r>
      <w:proofErr w:type="spellEnd"/>
      <w:r w:rsidR="00E31EF3">
        <w:t xml:space="preserve"> </w:t>
      </w:r>
      <w:proofErr w:type="spellStart"/>
      <w:r w:rsidR="00E31EF3">
        <w:t>s.p.a</w:t>
      </w:r>
      <w:proofErr w:type="spellEnd"/>
      <w:r w:rsidR="00E31EF3">
        <w:t>. i Giovanni Agnelli &amp; C., która była wystarczająca, by zanegować ich odpowiedzialność „administracyjną” z artykułu 6 Dekretu Legislacyjnego nr 231 z dnia 8 czerwca 2001 roku, powinna również zostać uznana za wystarczającą dla wykluczenia odpowiedzialności „administracyjnej” tych samych osób prawnych z artykułu 187-</w:t>
      </w:r>
      <w:r w:rsidR="00E31EF3">
        <w:rPr>
          <w:i/>
        </w:rPr>
        <w:t>quinquies</w:t>
      </w:r>
      <w:r w:rsidR="00E31EF3">
        <w:t xml:space="preserve"> TUF.</w:t>
      </w:r>
    </w:p>
    <w:p w14:paraId="35FDE9EE" w14:textId="77777777" w:rsidR="00A507AB" w:rsidRPr="00110749" w:rsidRDefault="00F927EB" w:rsidP="00E31EF3">
      <w:pPr>
        <w:pStyle w:val="OpiHA"/>
        <w:ind w:left="0" w:firstLine="0"/>
      </w:pPr>
      <w:r>
        <w:t xml:space="preserve">Ograniczony efekt </w:t>
      </w:r>
      <w:proofErr w:type="spellStart"/>
      <w:r>
        <w:rPr>
          <w:i/>
        </w:rPr>
        <w:t>ne</w:t>
      </w:r>
      <w:proofErr w:type="spellEnd"/>
      <w:r>
        <w:rPr>
          <w:i/>
        </w:rPr>
        <w:t xml:space="preserve"> bis in </w:t>
      </w:r>
      <w:proofErr w:type="spellStart"/>
      <w:r>
        <w:rPr>
          <w:i/>
        </w:rPr>
        <w:t>idem</w:t>
      </w:r>
      <w:proofErr w:type="spellEnd"/>
      <w:r>
        <w:t xml:space="preserve"> ostatecznego skazania na sankcje administracyjne</w:t>
      </w:r>
    </w:p>
    <w:p w14:paraId="69041B96" w14:textId="77777777" w:rsidR="00AB4482" w:rsidRDefault="00FE7915" w:rsidP="003833F8">
      <w:pPr>
        <w:pStyle w:val="OpiPara"/>
      </w:pPr>
      <w:r>
        <w:t>24. </w:t>
      </w:r>
      <w:r w:rsidR="00E31EF3">
        <w:t xml:space="preserve">Dyrektywa w sprawie nadużyć rynkowych 2003/6/WE wprowadziła wszechstronne ramy </w:t>
      </w:r>
      <w:r w:rsidR="00F74FDB">
        <w:t>w zakresie zakazu</w:t>
      </w:r>
      <w:r w:rsidR="00E31EF3">
        <w:t xml:space="preserve"> i karania wykorzystywania informacji poufnych i manipulacji rynkowych. Państwa </w:t>
      </w:r>
      <w:r w:rsidR="00F74FDB">
        <w:t>c</w:t>
      </w:r>
      <w:r w:rsidR="00E31EF3">
        <w:t>złonkowskie zostały zobowiązane do wprowadzenia obowiązkowych sankcji, bez uszczerbku dla ich prawa do nakładania dodatkowych sankcji karnych</w:t>
      </w:r>
      <w:r w:rsidR="00E31EF3">
        <w:rPr>
          <w:vertAlign w:val="superscript"/>
        </w:rPr>
        <w:footnoteReference w:id="33"/>
      </w:r>
      <w:r w:rsidR="00E31EF3">
        <w:t>.</w:t>
      </w:r>
    </w:p>
    <w:p w14:paraId="5DA3384F" w14:textId="77777777" w:rsidR="00AB4482" w:rsidRDefault="00A371E0" w:rsidP="003833F8">
      <w:pPr>
        <w:pStyle w:val="OpiPara"/>
      </w:pPr>
      <w:r>
        <w:lastRenderedPageBreak/>
        <w:t>25. </w:t>
      </w:r>
      <w:r w:rsidR="00E31EF3">
        <w:t>Dyrektywa została wdrożona we Włoszech postanowieniami zawartymi w Tytule I-</w:t>
      </w:r>
      <w:r w:rsidR="00E31EF3">
        <w:rPr>
          <w:i/>
        </w:rPr>
        <w:t>bis</w:t>
      </w:r>
      <w:r w:rsidR="00E31EF3">
        <w:t xml:space="preserve"> Części V TUF. Artykuły 185, 187 </w:t>
      </w:r>
      <w:r w:rsidR="00E31EF3" w:rsidRPr="000E5769">
        <w:rPr>
          <w:i/>
        </w:rPr>
        <w:t>ter</w:t>
      </w:r>
      <w:r w:rsidR="00E31EF3">
        <w:t xml:space="preserve"> i 187 </w:t>
      </w:r>
      <w:proofErr w:type="spellStart"/>
      <w:r w:rsidR="00E31EF3" w:rsidRPr="000E5769">
        <w:rPr>
          <w:i/>
        </w:rPr>
        <w:t>duodecies</w:t>
      </w:r>
      <w:proofErr w:type="spellEnd"/>
      <w:r w:rsidR="00E31EF3">
        <w:t xml:space="preserve"> TUF opisują „dwutorowy system” (</w:t>
      </w:r>
      <w:r w:rsidR="00E31EF3" w:rsidRPr="00C232DB">
        <w:rPr>
          <w:i/>
        </w:rPr>
        <w:t xml:space="preserve">doppio </w:t>
      </w:r>
      <w:proofErr w:type="spellStart"/>
      <w:r w:rsidR="00E31EF3" w:rsidRPr="00C232DB">
        <w:rPr>
          <w:i/>
        </w:rPr>
        <w:t>binario</w:t>
      </w:r>
      <w:proofErr w:type="spellEnd"/>
      <w:r w:rsidR="00E31EF3">
        <w:t>) dla karania osób fizycznych, który przewiduje postępowanie karne niezależnie od postępowania administracyjnego dla „tych samych okoliczności”. W istocie, sankcje administracyjne są ustalane „bez uszczerbku dla sankcji karnych mających zastosowanie, gdy dany czyn stanowi przestępstwo karne” (</w:t>
      </w:r>
      <w:proofErr w:type="spellStart"/>
      <w:r w:rsidR="00E31EF3">
        <w:rPr>
          <w:i/>
        </w:rPr>
        <w:t>Salve</w:t>
      </w:r>
      <w:proofErr w:type="spellEnd"/>
      <w:r w:rsidR="00E31EF3">
        <w:rPr>
          <w:i/>
        </w:rPr>
        <w:t xml:space="preserve"> le </w:t>
      </w:r>
      <w:proofErr w:type="spellStart"/>
      <w:r w:rsidR="00E31EF3">
        <w:rPr>
          <w:i/>
        </w:rPr>
        <w:t>sanzioni</w:t>
      </w:r>
      <w:proofErr w:type="spellEnd"/>
      <w:r w:rsidR="00E31EF3">
        <w:rPr>
          <w:i/>
        </w:rPr>
        <w:t xml:space="preserve"> </w:t>
      </w:r>
      <w:proofErr w:type="spellStart"/>
      <w:r w:rsidR="00E31EF3">
        <w:rPr>
          <w:i/>
        </w:rPr>
        <w:t>penali</w:t>
      </w:r>
      <w:proofErr w:type="spellEnd"/>
      <w:r w:rsidR="00E31EF3">
        <w:rPr>
          <w:i/>
        </w:rPr>
        <w:t xml:space="preserve"> </w:t>
      </w:r>
      <w:proofErr w:type="spellStart"/>
      <w:r w:rsidR="00E31EF3">
        <w:rPr>
          <w:i/>
        </w:rPr>
        <w:t>quando</w:t>
      </w:r>
      <w:proofErr w:type="spellEnd"/>
      <w:r w:rsidR="00E31EF3">
        <w:rPr>
          <w:i/>
        </w:rPr>
        <w:t xml:space="preserve"> </w:t>
      </w:r>
      <w:proofErr w:type="spellStart"/>
      <w:r w:rsidR="00E31EF3">
        <w:rPr>
          <w:i/>
        </w:rPr>
        <w:t>il</w:t>
      </w:r>
      <w:proofErr w:type="spellEnd"/>
      <w:r w:rsidR="00E31EF3">
        <w:rPr>
          <w:i/>
        </w:rPr>
        <w:t xml:space="preserve"> </w:t>
      </w:r>
      <w:proofErr w:type="spellStart"/>
      <w:r w:rsidR="00E31EF3">
        <w:rPr>
          <w:i/>
        </w:rPr>
        <w:t>fatto</w:t>
      </w:r>
      <w:proofErr w:type="spellEnd"/>
      <w:r w:rsidR="00E31EF3">
        <w:rPr>
          <w:i/>
        </w:rPr>
        <w:t xml:space="preserve"> </w:t>
      </w:r>
      <w:proofErr w:type="spellStart"/>
      <w:r w:rsidR="00E31EF3">
        <w:rPr>
          <w:i/>
        </w:rPr>
        <w:t>costituisce</w:t>
      </w:r>
      <w:proofErr w:type="spellEnd"/>
      <w:r w:rsidR="00E31EF3">
        <w:rPr>
          <w:i/>
        </w:rPr>
        <w:t xml:space="preserve"> </w:t>
      </w:r>
      <w:proofErr w:type="spellStart"/>
      <w:r w:rsidR="00E31EF3">
        <w:rPr>
          <w:i/>
        </w:rPr>
        <w:t>reato</w:t>
      </w:r>
      <w:proofErr w:type="spellEnd"/>
      <w:r w:rsidR="00E31EF3">
        <w:t>). Ponadto, postępowanie admi</w:t>
      </w:r>
      <w:r w:rsidR="000E5769">
        <w:t>nistracyjne i kontrola sądow</w:t>
      </w:r>
      <w:r w:rsidR="00E31EF3">
        <w:t xml:space="preserve">a dotycząca takiego postępowania nie są zawieszone, gdy postępowanie karne jest w toku „w odniesieniu do tych samych okoliczności lub okoliczności, od której zależy definicja sprawy” </w:t>
      </w:r>
      <w:r w:rsidR="00E31EF3" w:rsidRPr="000E5769">
        <w:rPr>
          <w:i/>
        </w:rPr>
        <w:t>(</w:t>
      </w:r>
      <w:proofErr w:type="spellStart"/>
      <w:r w:rsidR="00E31EF3" w:rsidRPr="000E5769">
        <w:rPr>
          <w:i/>
        </w:rPr>
        <w:t>avente</w:t>
      </w:r>
      <w:proofErr w:type="spellEnd"/>
      <w:r w:rsidR="00E31EF3" w:rsidRPr="000E5769">
        <w:rPr>
          <w:i/>
        </w:rPr>
        <w:t xml:space="preserve"> ad </w:t>
      </w:r>
      <w:proofErr w:type="spellStart"/>
      <w:r w:rsidR="00E31EF3" w:rsidRPr="000E5769">
        <w:rPr>
          <w:i/>
        </w:rPr>
        <w:t>oggetto</w:t>
      </w:r>
      <w:proofErr w:type="spellEnd"/>
      <w:r w:rsidR="00E31EF3" w:rsidRPr="000E5769">
        <w:rPr>
          <w:i/>
        </w:rPr>
        <w:t xml:space="preserve"> i </w:t>
      </w:r>
      <w:proofErr w:type="spellStart"/>
      <w:r w:rsidR="00E31EF3" w:rsidRPr="000E5769">
        <w:rPr>
          <w:i/>
        </w:rPr>
        <w:t>medesimi</w:t>
      </w:r>
      <w:proofErr w:type="spellEnd"/>
      <w:r w:rsidR="00E31EF3" w:rsidRPr="000E5769">
        <w:rPr>
          <w:i/>
        </w:rPr>
        <w:t xml:space="preserve"> </w:t>
      </w:r>
      <w:proofErr w:type="spellStart"/>
      <w:r w:rsidR="00E31EF3" w:rsidRPr="000E5769">
        <w:rPr>
          <w:i/>
        </w:rPr>
        <w:t>fatti</w:t>
      </w:r>
      <w:proofErr w:type="spellEnd"/>
      <w:r w:rsidR="00E31EF3" w:rsidRPr="000E5769">
        <w:rPr>
          <w:i/>
        </w:rPr>
        <w:t xml:space="preserve"> o </w:t>
      </w:r>
      <w:proofErr w:type="spellStart"/>
      <w:r w:rsidR="00E31EF3" w:rsidRPr="000E5769">
        <w:rPr>
          <w:i/>
        </w:rPr>
        <w:t>fatti</w:t>
      </w:r>
      <w:proofErr w:type="spellEnd"/>
      <w:r w:rsidR="00E31EF3" w:rsidRPr="000E5769">
        <w:rPr>
          <w:i/>
        </w:rPr>
        <w:t xml:space="preserve"> dal </w:t>
      </w:r>
      <w:proofErr w:type="spellStart"/>
      <w:r w:rsidR="00E31EF3" w:rsidRPr="000E5769">
        <w:rPr>
          <w:i/>
        </w:rPr>
        <w:t>cui</w:t>
      </w:r>
      <w:proofErr w:type="spellEnd"/>
      <w:r w:rsidR="00E31EF3" w:rsidRPr="000E5769">
        <w:rPr>
          <w:i/>
        </w:rPr>
        <w:t xml:space="preserve"> </w:t>
      </w:r>
      <w:proofErr w:type="spellStart"/>
      <w:r w:rsidR="00E31EF3" w:rsidRPr="000E5769">
        <w:rPr>
          <w:i/>
        </w:rPr>
        <w:t>accertamento</w:t>
      </w:r>
      <w:proofErr w:type="spellEnd"/>
      <w:r w:rsidR="00E31EF3" w:rsidRPr="000E5769">
        <w:rPr>
          <w:i/>
        </w:rPr>
        <w:t xml:space="preserve"> </w:t>
      </w:r>
      <w:proofErr w:type="spellStart"/>
      <w:r w:rsidR="00E31EF3" w:rsidRPr="000E5769">
        <w:rPr>
          <w:i/>
        </w:rPr>
        <w:t>dipende</w:t>
      </w:r>
      <w:proofErr w:type="spellEnd"/>
      <w:r w:rsidR="00E31EF3" w:rsidRPr="000E5769">
        <w:rPr>
          <w:i/>
        </w:rPr>
        <w:t xml:space="preserve"> la </w:t>
      </w:r>
      <w:proofErr w:type="spellStart"/>
      <w:r w:rsidR="00E31EF3" w:rsidRPr="000E5769">
        <w:rPr>
          <w:i/>
        </w:rPr>
        <w:t>relative</w:t>
      </w:r>
      <w:proofErr w:type="spellEnd"/>
      <w:r w:rsidR="00E31EF3" w:rsidRPr="000E5769">
        <w:rPr>
          <w:i/>
        </w:rPr>
        <w:t xml:space="preserve"> </w:t>
      </w:r>
      <w:proofErr w:type="spellStart"/>
      <w:r w:rsidR="00E31EF3" w:rsidRPr="000E5769">
        <w:rPr>
          <w:i/>
        </w:rPr>
        <w:t>definizione</w:t>
      </w:r>
      <w:proofErr w:type="spellEnd"/>
      <w:r w:rsidR="00E31EF3" w:rsidRPr="000E5769">
        <w:rPr>
          <w:i/>
        </w:rPr>
        <w:t>)</w:t>
      </w:r>
      <w:r w:rsidR="00E31EF3">
        <w:t>. „Dwutorowy system” został również wprowadzony dla osób prawnych, które mogą być obciążone sankcjami administracyjnymi z artykułu 187-</w:t>
      </w:r>
      <w:r w:rsidR="00E31EF3">
        <w:rPr>
          <w:i/>
        </w:rPr>
        <w:t>quinquies</w:t>
      </w:r>
      <w:r w:rsidR="00E31EF3">
        <w:t xml:space="preserve"> TUF i z artykułu 25</w:t>
      </w:r>
      <w:r w:rsidR="00E31EF3">
        <w:noBreakHyphen/>
      </w:r>
      <w:r w:rsidR="00E31EF3">
        <w:rPr>
          <w:i/>
        </w:rPr>
        <w:t>sexies</w:t>
      </w:r>
      <w:r w:rsidR="00E31EF3">
        <w:t xml:space="preserve"> Dekretu Legislacyjnego nr 231 z 8 czerwca 2001 roku w związku z tymi samymi okolicznościami</w:t>
      </w:r>
      <w:r w:rsidR="00E31EF3">
        <w:rPr>
          <w:vertAlign w:val="superscript"/>
        </w:rPr>
        <w:footnoteReference w:id="34"/>
      </w:r>
      <w:r w:rsidR="00E31EF3">
        <w:t xml:space="preserve">. Ten system odszkodowawczy </w:t>
      </w:r>
      <w:r w:rsidR="00E31EF3">
        <w:rPr>
          <w:i/>
        </w:rPr>
        <w:t xml:space="preserve">doppio </w:t>
      </w:r>
      <w:proofErr w:type="spellStart"/>
      <w:r w:rsidR="00E31EF3">
        <w:rPr>
          <w:i/>
        </w:rPr>
        <w:t>binario</w:t>
      </w:r>
      <w:proofErr w:type="spellEnd"/>
      <w:r w:rsidR="00E31EF3">
        <w:t xml:space="preserve"> narusza zasadę </w:t>
      </w:r>
      <w:proofErr w:type="spellStart"/>
      <w:r w:rsidR="00E31EF3">
        <w:rPr>
          <w:i/>
        </w:rPr>
        <w:t>ne</w:t>
      </w:r>
      <w:proofErr w:type="spellEnd"/>
      <w:r w:rsidR="00E31EF3">
        <w:rPr>
          <w:i/>
        </w:rPr>
        <w:t xml:space="preserve"> bis in </w:t>
      </w:r>
      <w:proofErr w:type="spellStart"/>
      <w:r w:rsidR="00E31EF3">
        <w:rPr>
          <w:i/>
        </w:rPr>
        <w:t>idem</w:t>
      </w:r>
      <w:proofErr w:type="spellEnd"/>
      <w:r w:rsidR="00E31EF3">
        <w:rPr>
          <w:i/>
        </w:rPr>
        <w:t xml:space="preserve">, </w:t>
      </w:r>
      <w:r w:rsidR="00E31EF3">
        <w:t>zarówno w swoim aspekcie dogmatycznym, jak i w swojej aktualnej praktyce</w:t>
      </w:r>
      <w:r w:rsidR="00E31EF3">
        <w:rPr>
          <w:vertAlign w:val="superscript"/>
        </w:rPr>
        <w:footnoteReference w:id="35"/>
      </w:r>
      <w:r w:rsidR="00E31EF3">
        <w:t>.</w:t>
      </w:r>
    </w:p>
    <w:p w14:paraId="59B42157" w14:textId="16D955E9" w:rsidR="00AB4482" w:rsidRDefault="006D02F7" w:rsidP="003833F8">
      <w:pPr>
        <w:pStyle w:val="OpiPara"/>
      </w:pPr>
      <w:r>
        <w:t>26. </w:t>
      </w:r>
      <w:r w:rsidR="00E31EF3">
        <w:t xml:space="preserve">Według Sądu Kasacyjnego, artykuł 185 odnosi się do „przestępstwa opartego na </w:t>
      </w:r>
      <w:r w:rsidR="0041557E">
        <w:t>zachowaniu</w:t>
      </w:r>
      <w:r w:rsidR="00E31EF3">
        <w:t>” (</w:t>
      </w:r>
      <w:proofErr w:type="spellStart"/>
      <w:r w:rsidR="00E31EF3">
        <w:rPr>
          <w:i/>
        </w:rPr>
        <w:t>illecito</w:t>
      </w:r>
      <w:proofErr w:type="spellEnd"/>
      <w:r w:rsidR="00E31EF3">
        <w:rPr>
          <w:i/>
        </w:rPr>
        <w:t xml:space="preserve"> di mera </w:t>
      </w:r>
      <w:proofErr w:type="spellStart"/>
      <w:r w:rsidR="00E31EF3">
        <w:rPr>
          <w:i/>
        </w:rPr>
        <w:t>condotta</w:t>
      </w:r>
      <w:proofErr w:type="spellEnd"/>
      <w:r w:rsidR="00E31EF3">
        <w:t xml:space="preserve">), ocenianego na podstawie ewaluacji </w:t>
      </w:r>
      <w:r w:rsidR="00E31EF3">
        <w:rPr>
          <w:i/>
        </w:rPr>
        <w:t>ex </w:t>
      </w:r>
      <w:proofErr w:type="spellStart"/>
      <w:r w:rsidR="00E31EF3">
        <w:rPr>
          <w:i/>
        </w:rPr>
        <w:t>ante</w:t>
      </w:r>
      <w:proofErr w:type="spellEnd"/>
      <w:r w:rsidR="00E31EF3">
        <w:t xml:space="preserve"> ewentualnych konsekwencji, jakie rozprzestrzenienie dokładnych informacji miałoby dla rynku, a nie do „przestępstwa opartego </w:t>
      </w:r>
      <w:r w:rsidR="00870198">
        <w:t>na zdarzeniu</w:t>
      </w:r>
      <w:r w:rsidR="00E31EF3">
        <w:t>” (</w:t>
      </w:r>
      <w:proofErr w:type="spellStart"/>
      <w:r w:rsidR="00E31EF3">
        <w:rPr>
          <w:i/>
        </w:rPr>
        <w:t>illecito</w:t>
      </w:r>
      <w:proofErr w:type="spellEnd"/>
      <w:r w:rsidR="00E31EF3">
        <w:rPr>
          <w:i/>
        </w:rPr>
        <w:t xml:space="preserve"> di </w:t>
      </w:r>
      <w:proofErr w:type="spellStart"/>
      <w:r w:rsidR="00E31EF3">
        <w:rPr>
          <w:i/>
        </w:rPr>
        <w:t>evento</w:t>
      </w:r>
      <w:proofErr w:type="spellEnd"/>
      <w:r w:rsidR="00E31EF3">
        <w:t xml:space="preserve">), ocenianego na podstawie ewaluacji </w:t>
      </w:r>
      <w:r w:rsidR="00E31EF3">
        <w:rPr>
          <w:i/>
        </w:rPr>
        <w:t>ex post</w:t>
      </w:r>
      <w:r w:rsidR="00E31EF3">
        <w:t xml:space="preserve"> realnej sytuacji na rynku po rozpowszechnieniu informacji prasowych</w:t>
      </w:r>
      <w:r w:rsidR="00E31EF3">
        <w:rPr>
          <w:vertAlign w:val="superscript"/>
        </w:rPr>
        <w:footnoteReference w:id="36"/>
      </w:r>
      <w:r w:rsidR="00E31EF3">
        <w:t xml:space="preserve">. Rząd dalej rozwinął tę interpretację Sądu Kasacyjnego, dodając, że przestępstwo karne z artykułu 185 TUF stanowi „konkretne ryzyko przestępstwa </w:t>
      </w:r>
      <w:r w:rsidR="00870198">
        <w:t>polegającego na wyrządzeniu szkody</w:t>
      </w:r>
      <w:r w:rsidR="00E31EF3">
        <w:t>” (</w:t>
      </w:r>
      <w:proofErr w:type="spellStart"/>
      <w:r w:rsidR="00E31EF3">
        <w:rPr>
          <w:i/>
        </w:rPr>
        <w:t>reato</w:t>
      </w:r>
      <w:proofErr w:type="spellEnd"/>
      <w:r w:rsidR="00E31EF3">
        <w:rPr>
          <w:i/>
        </w:rPr>
        <w:t xml:space="preserve"> di </w:t>
      </w:r>
      <w:proofErr w:type="spellStart"/>
      <w:r w:rsidR="00E31EF3">
        <w:rPr>
          <w:i/>
        </w:rPr>
        <w:t>pericolo</w:t>
      </w:r>
      <w:proofErr w:type="spellEnd"/>
      <w:r w:rsidR="00E31EF3">
        <w:rPr>
          <w:i/>
        </w:rPr>
        <w:t xml:space="preserve"> concreto</w:t>
      </w:r>
      <w:r w:rsidR="00E31EF3">
        <w:t xml:space="preserve">), co oznacza, że należy stwierdzić, iż rozpowszechnienie fałszywych informacji spowodowało faktyczne ryzyko, że cena konkretnego instrumentu finansowego ulegnie zmianie, podczas gdy faktyczny wpływ na cenę tego instrumentu finansowego nie jest wymagany, aby przestępstwo było popełnione, natomiast przestępstwo administracyjne z </w:t>
      </w:r>
      <w:r w:rsidR="00E31EF3">
        <w:lastRenderedPageBreak/>
        <w:t xml:space="preserve">artykułu 187 </w:t>
      </w:r>
      <w:r w:rsidR="00E31EF3">
        <w:rPr>
          <w:i/>
        </w:rPr>
        <w:t>ter</w:t>
      </w:r>
      <w:r w:rsidR="00E31EF3">
        <w:t xml:space="preserve"> TUF stanowi „abstrakcyjne ryzyko przestępstwa </w:t>
      </w:r>
      <w:r w:rsidR="00870198">
        <w:t>polegającego na wyrządzeniu szkody</w:t>
      </w:r>
      <w:r w:rsidR="00E31EF3">
        <w:t>” (</w:t>
      </w:r>
      <w:proofErr w:type="spellStart"/>
      <w:r w:rsidR="00E31EF3">
        <w:rPr>
          <w:i/>
        </w:rPr>
        <w:t>reato</w:t>
      </w:r>
      <w:proofErr w:type="spellEnd"/>
      <w:r w:rsidR="00E31EF3">
        <w:rPr>
          <w:i/>
        </w:rPr>
        <w:t xml:space="preserve"> di </w:t>
      </w:r>
      <w:proofErr w:type="spellStart"/>
      <w:r w:rsidR="00E31EF3">
        <w:rPr>
          <w:i/>
        </w:rPr>
        <w:t>pericolo</w:t>
      </w:r>
      <w:proofErr w:type="spellEnd"/>
      <w:r w:rsidR="00E31EF3">
        <w:rPr>
          <w:i/>
        </w:rPr>
        <w:t xml:space="preserve"> </w:t>
      </w:r>
      <w:proofErr w:type="spellStart"/>
      <w:r w:rsidR="00E31EF3">
        <w:rPr>
          <w:i/>
        </w:rPr>
        <w:t>astratto</w:t>
      </w:r>
      <w:proofErr w:type="spellEnd"/>
      <w:r w:rsidR="00E31EF3">
        <w:t>), obejmując swoim zakresem każde postępowanie, które może teoretycznie wpływać na wybory inwestorów, niezależnie od tego, czy fałszywe lub wprowadzające w błąd informacje doprowadziły w istocie do wyborów inwestycyjnych, które w innym przypadku nie zostałyby dokonane.</w:t>
      </w:r>
    </w:p>
    <w:p w14:paraId="6E6FDCFF" w14:textId="5B4AE489" w:rsidR="00AB4482" w:rsidRDefault="006D02F7" w:rsidP="003833F8">
      <w:pPr>
        <w:pStyle w:val="OpiPara"/>
        <w:rPr>
          <w:u w:val="single"/>
        </w:rPr>
      </w:pPr>
      <w:r>
        <w:t>27. </w:t>
      </w:r>
      <w:r w:rsidR="00E31EF3">
        <w:t>Aby uniknąć karania tego samego czynu dwukrotnie (</w:t>
      </w:r>
      <w:r w:rsidR="00E31EF3">
        <w:rPr>
          <w:i/>
        </w:rPr>
        <w:t xml:space="preserve">bis in </w:t>
      </w:r>
      <w:proofErr w:type="spellStart"/>
      <w:r w:rsidR="00E31EF3">
        <w:rPr>
          <w:i/>
        </w:rPr>
        <w:t>idem</w:t>
      </w:r>
      <w:proofErr w:type="spellEnd"/>
      <w:r w:rsidR="00E31EF3">
        <w:t>), system włoski wprowadził dwie gwarancje: „zasadę specjalności” (</w:t>
      </w:r>
      <w:proofErr w:type="spellStart"/>
      <w:r w:rsidR="00E31EF3">
        <w:rPr>
          <w:i/>
        </w:rPr>
        <w:t>principio</w:t>
      </w:r>
      <w:proofErr w:type="spellEnd"/>
      <w:r w:rsidR="00E31EF3">
        <w:rPr>
          <w:i/>
        </w:rPr>
        <w:t xml:space="preserve"> di </w:t>
      </w:r>
      <w:proofErr w:type="spellStart"/>
      <w:r w:rsidR="00E31EF3">
        <w:rPr>
          <w:i/>
        </w:rPr>
        <w:t>specialità</w:t>
      </w:r>
      <w:proofErr w:type="spellEnd"/>
      <w:r w:rsidR="00E31EF3">
        <w:t>), przewidzianą w ustępie 9 ustawy nr 689/1981</w:t>
      </w:r>
      <w:r w:rsidR="00E31EF3">
        <w:rPr>
          <w:vertAlign w:val="superscript"/>
        </w:rPr>
        <w:footnoteReference w:id="37"/>
      </w:r>
      <w:r w:rsidR="00E31EF3">
        <w:t xml:space="preserve">, a także zasadę odliczenia sankcji administracyjnej od sankcji karnej, nałożonej na mocy artykułu 187 </w:t>
      </w:r>
      <w:proofErr w:type="spellStart"/>
      <w:r w:rsidR="00E31EF3">
        <w:rPr>
          <w:i/>
        </w:rPr>
        <w:t>terdecies</w:t>
      </w:r>
      <w:proofErr w:type="spellEnd"/>
      <w:r w:rsidR="00E31EF3">
        <w:t xml:space="preserve"> TUF. Te dwie gwarancje nie są wystarczające, jak tego dowodzi niniejsza sprawa. Mimo że postępowanie karne i administracyjne mają za swój przedmiot dokładnie te same okoliczności faktyczne, Sąd Kasacyjny i Sąd Apelacyjny w Turynie oświadczały wielokrotnie, jednak w sposób nieprzekonujący, że zasada specjalności nie miała do nich zastosowania. Zarówno przestępstwo karne z artykułu 185 oraz przestępstwo administracyjne z artykułu 187 </w:t>
      </w:r>
      <w:r w:rsidR="00E31EF3">
        <w:rPr>
          <w:i/>
        </w:rPr>
        <w:t>ter</w:t>
      </w:r>
      <w:r w:rsidR="00E31EF3">
        <w:t xml:space="preserve"> są przestępstwami opartymi na zachowaniu, które chronią te</w:t>
      </w:r>
      <w:r w:rsidR="00605ECF">
        <w:t>n sam „interes prawny</w:t>
      </w:r>
      <w:r w:rsidR="00E31EF3">
        <w:t>” (</w:t>
      </w:r>
      <w:r w:rsidR="00E31EF3">
        <w:rPr>
          <w:i/>
        </w:rPr>
        <w:t xml:space="preserve">bene </w:t>
      </w:r>
      <w:proofErr w:type="spellStart"/>
      <w:r w:rsidR="00E31EF3">
        <w:rPr>
          <w:i/>
        </w:rPr>
        <w:t>giuridico</w:t>
      </w:r>
      <w:proofErr w:type="spellEnd"/>
      <w:r w:rsidR="00E31EF3">
        <w:t>), a mianowicie transparentnoś</w:t>
      </w:r>
      <w:r w:rsidR="00605ECF">
        <w:t>ć</w:t>
      </w:r>
      <w:r w:rsidR="00E31EF3">
        <w:t xml:space="preserve"> rynku, przy czym różnica między nimi polega na tym, że pierwsze stanowi „konkretne ryzyko przestępstwa </w:t>
      </w:r>
      <w:r w:rsidR="000941AC">
        <w:t>polegającego na wyrządzeniu szkody</w:t>
      </w:r>
      <w:r w:rsidR="00E31EF3">
        <w:t xml:space="preserve">”, a drugie „abstrakcyjne ryzyko przestępstwa </w:t>
      </w:r>
      <w:r w:rsidR="000941AC">
        <w:t>polegającego na wyrządzeniu szkody</w:t>
      </w:r>
      <w:r w:rsidR="00E31EF3">
        <w:t xml:space="preserve">”. A zatem, oczywiste jest, że zasada specjalności ma zastosowanie, ponieważ przepis dotyczący konkretnego ryzyka </w:t>
      </w:r>
      <w:r w:rsidR="000941AC">
        <w:t>wyrządzenia szkody</w:t>
      </w:r>
      <w:r w:rsidR="00E31EF3">
        <w:t xml:space="preserve"> ma charakter specjalny w stosunku do przepisu abstrakcyjnego ryzyka </w:t>
      </w:r>
      <w:r w:rsidR="000941AC">
        <w:t>wyrządzenia szkody,</w:t>
      </w:r>
      <w:r w:rsidR="00E31EF3">
        <w:t xml:space="preserve"> dotyczącego tego samego „interesu prawnego”, a zatem postępowanie karne powinno być nadrzędne i powinno wyłączać postępowanie administracyjne. Istotna kumulacja sankcji karnych i administracyjnych nie tylko nadmiernie obciąża Państwo dwoma niezależnymi dochodzeniami, z ryzykiem różnych rozstrzygnięć w sprawie tych samych okoliczności, ale również ewidentnie narusza zasadę specjalności.</w:t>
      </w:r>
    </w:p>
    <w:p w14:paraId="547E0D09" w14:textId="77777777" w:rsidR="00AB4482" w:rsidRDefault="000941AC" w:rsidP="003833F8">
      <w:pPr>
        <w:pStyle w:val="OpiPara"/>
      </w:pPr>
      <w:r>
        <w:t>28.</w:t>
      </w:r>
      <w:r w:rsidR="00E31EF3">
        <w:t> Nawet zakładając, na rzecz samej argumentacji, że zasada specjalności nie miała zastosowania, pozostaje</w:t>
      </w:r>
      <w:r w:rsidR="00C87115">
        <w:t xml:space="preserve"> faktem</w:t>
      </w:r>
      <w:r w:rsidR="00E31EF3">
        <w:t xml:space="preserve">, że włoski system </w:t>
      </w:r>
      <w:r w:rsidR="00E31EF3">
        <w:rPr>
          <w:i/>
        </w:rPr>
        <w:t xml:space="preserve">doppio </w:t>
      </w:r>
      <w:proofErr w:type="spellStart"/>
      <w:r w:rsidR="00E31EF3">
        <w:rPr>
          <w:i/>
        </w:rPr>
        <w:t>binario</w:t>
      </w:r>
      <w:proofErr w:type="spellEnd"/>
      <w:r w:rsidR="00E31EF3">
        <w:t xml:space="preserve"> nie zakazuje wszczęcia postępowania karnego </w:t>
      </w:r>
      <w:r w:rsidR="00E31EF3">
        <w:rPr>
          <w:i/>
        </w:rPr>
        <w:t xml:space="preserve">in </w:t>
      </w:r>
      <w:proofErr w:type="spellStart"/>
      <w:r w:rsidR="00E31EF3">
        <w:rPr>
          <w:i/>
        </w:rPr>
        <w:t>idem</w:t>
      </w:r>
      <w:proofErr w:type="spellEnd"/>
      <w:r w:rsidR="00E31EF3">
        <w:t xml:space="preserve"> po wydaniu ostatecznej decyzji w sprawie skazania za popełnienie przestępstwa administracyjnego przez właściwy sąd prowadzący kontrolę. Artykuł 2 Protokołu nr 7 również zabrania „podwójnego karania” tego samego </w:t>
      </w:r>
      <w:proofErr w:type="spellStart"/>
      <w:r w:rsidR="00E31EF3">
        <w:rPr>
          <w:i/>
        </w:rPr>
        <w:t>idem</w:t>
      </w:r>
      <w:proofErr w:type="spellEnd"/>
      <w:r w:rsidR="00E31EF3">
        <w:t xml:space="preserve">. A zatem, postępowanie karne może nie zostać wszczęte dla tego samego </w:t>
      </w:r>
      <w:proofErr w:type="spellStart"/>
      <w:r w:rsidR="00E31EF3">
        <w:rPr>
          <w:i/>
        </w:rPr>
        <w:t>idem</w:t>
      </w:r>
      <w:proofErr w:type="spellEnd"/>
      <w:r w:rsidR="00E31EF3">
        <w:rPr>
          <w:i/>
        </w:rPr>
        <w:t>,</w:t>
      </w:r>
      <w:r w:rsidR="00E31EF3">
        <w:t xml:space="preserve"> jeżeli decyzja administracyjna zostanie ostatecznie potwierdzona przez sąd i </w:t>
      </w:r>
      <w:r w:rsidR="00E31EF3">
        <w:lastRenderedPageBreak/>
        <w:t xml:space="preserve">stanie się </w:t>
      </w:r>
      <w:r w:rsidR="00E31EF3">
        <w:rPr>
          <w:i/>
        </w:rPr>
        <w:t xml:space="preserve">res </w:t>
      </w:r>
      <w:proofErr w:type="spellStart"/>
      <w:r w:rsidR="00E31EF3">
        <w:rPr>
          <w:i/>
        </w:rPr>
        <w:t>judicata</w:t>
      </w:r>
      <w:proofErr w:type="spellEnd"/>
      <w:r w:rsidR="00E31EF3">
        <w:t>. System włoski nie przewiduje takiej gwarancji w swoim ustawodawstwie i nie przewidywał jej w konkretnym przypadku skarżących</w:t>
      </w:r>
      <w:r w:rsidR="00E31EF3">
        <w:rPr>
          <w:vertAlign w:val="superscript"/>
        </w:rPr>
        <w:footnoteReference w:id="38"/>
      </w:r>
      <w:r w:rsidR="00E31EF3">
        <w:t>.</w:t>
      </w:r>
    </w:p>
    <w:p w14:paraId="02C6E96A" w14:textId="632E542D" w:rsidR="00A507AB" w:rsidRPr="00110749" w:rsidRDefault="00F927EB" w:rsidP="003833F8">
      <w:pPr>
        <w:pStyle w:val="OpiHA"/>
      </w:pPr>
      <w:r>
        <w:t xml:space="preserve">Niewystarczające </w:t>
      </w:r>
      <w:r w:rsidR="00B3752E">
        <w:t xml:space="preserve">słuszne zadośćuczynienie zasądzone </w:t>
      </w:r>
      <w:r>
        <w:t>przez Trybunał</w:t>
      </w:r>
    </w:p>
    <w:p w14:paraId="23F54480" w14:textId="77777777" w:rsidR="00A507AB" w:rsidRPr="00110749" w:rsidRDefault="001E3187" w:rsidP="003833F8">
      <w:pPr>
        <w:pStyle w:val="OpiPara"/>
      </w:pPr>
      <w:r>
        <w:t>29. </w:t>
      </w:r>
      <w:r w:rsidR="00E31EF3">
        <w:t>Wyżej wymienione poważne braki postępowania administracyjnego i sądowego oraz wynikające z nich niezgodne z prawem i nie</w:t>
      </w:r>
      <w:r w:rsidR="00F51C94">
        <w:t>proporcjonalne</w:t>
      </w:r>
      <w:r w:rsidR="00E31EF3">
        <w:t xml:space="preserve"> sankcje nałożone na skarżących wymagają pełnego i niezwłocznego naprawienia. Jak można utrzymać w mocy tak poważne kary w wysokości kilku milionów </w:t>
      </w:r>
      <w:r w:rsidR="00B3752E">
        <w:t>e</w:t>
      </w:r>
      <w:r w:rsidR="00E31EF3">
        <w:t>uro pomimo tak poważnego naruszenia praw proceduralnych i materialnych skarżących? Powinien odbyć się ponowny proces zgodnie z ustępem 23 ustawy nr 689/1981, zakładając, że przestępstwa administracyjne nie są już przedawnione.</w:t>
      </w:r>
    </w:p>
    <w:p w14:paraId="1351B6CD" w14:textId="03603E95" w:rsidR="00AB4482" w:rsidRDefault="00F51C94" w:rsidP="003833F8">
      <w:pPr>
        <w:pStyle w:val="OpiPara"/>
      </w:pPr>
      <w:r>
        <w:t>30. </w:t>
      </w:r>
      <w:r w:rsidR="00E31EF3">
        <w:t xml:space="preserve">Ponadto, sprawiedliwość </w:t>
      </w:r>
      <w:r w:rsidR="00B3752E">
        <w:t xml:space="preserve">wymaga zadośćuczynienia </w:t>
      </w:r>
      <w:r w:rsidR="00E31EF3">
        <w:t xml:space="preserve">w sprawie. Skarżący doznali poważnego uszczerbku, zarówno z finansowego, jak i moralnego punktu widzenia, ponieważ zapłacili już wysokie kary pieniężne i zostało im zakazane pełnienie </w:t>
      </w:r>
      <w:r>
        <w:t>działalności zawodowej</w:t>
      </w:r>
      <w:r w:rsidR="00E31EF3">
        <w:t xml:space="preserve"> przez znaczący okres czasu. Zadośćuczynienie określone przez ten Trybunał jest ewidentnie niewystarczające dla osiągnięcia tego celu. Co najmniej, kary pieniężne powinny być zwrócone skarżącym.</w:t>
      </w:r>
    </w:p>
    <w:p w14:paraId="40DE87DA" w14:textId="77777777" w:rsidR="00A507AB" w:rsidRPr="00110749" w:rsidRDefault="00D828F5" w:rsidP="003833F8">
      <w:pPr>
        <w:pStyle w:val="OpiPara"/>
      </w:pPr>
      <w:r>
        <w:t>31. </w:t>
      </w:r>
      <w:r w:rsidR="00E31EF3">
        <w:t xml:space="preserve">W każdym razie, toczące się nadal postępowanie powinno być niezwłocznie zakończone, a pozwani Pan </w:t>
      </w:r>
      <w:proofErr w:type="spellStart"/>
      <w:r w:rsidR="00E31EF3">
        <w:t>Gabetti</w:t>
      </w:r>
      <w:proofErr w:type="spellEnd"/>
      <w:r w:rsidR="00E31EF3">
        <w:t xml:space="preserve"> i Pan Grande Stevens powinni być zwolnieni z odpowiedzialności karnej. W konkretnych okolicznościach niniejszej sprawy, żadne inne środki nie mogą pomóc w uniknięciu niesprawiedliwości, jakiej dopuszczono się wobec skarżących w związku z wszczęciem postępowania karnego niezależnie od nałożenia niesprawiedliwych i nadmiernych kar administracyjnych.</w:t>
      </w:r>
    </w:p>
    <w:p w14:paraId="340E8492" w14:textId="77777777" w:rsidR="00A507AB" w:rsidRPr="00110749" w:rsidRDefault="00F927EB" w:rsidP="003833F8">
      <w:pPr>
        <w:pStyle w:val="OpiHA"/>
      </w:pPr>
      <w:r>
        <w:t>Podsumowanie</w:t>
      </w:r>
    </w:p>
    <w:p w14:paraId="2C00AEBB" w14:textId="2129FA61" w:rsidR="002D3FF9" w:rsidRDefault="00926129" w:rsidP="003833F8">
      <w:pPr>
        <w:pStyle w:val="OpiPara"/>
      </w:pPr>
      <w:r>
        <w:t>32. </w:t>
      </w:r>
      <w:r w:rsidR="00E31EF3">
        <w:t>Państwa europejskie stoją przed dylematem. W celu zapewnienia integralności rynków europejskich i zwiększenia zaufa</w:t>
      </w:r>
      <w:r w:rsidR="000164F7">
        <w:t>nia inwestorów do tych rynków, p</w:t>
      </w:r>
      <w:r w:rsidR="00E31EF3">
        <w:t xml:space="preserve">aństwa określiły bardzo szerokie, administracyjne przestępstwa oparte na zachowaniu, w ramach których abstrakcyjne ryzyko </w:t>
      </w:r>
      <w:r w:rsidR="000164F7">
        <w:t>wyrządzenia szkody</w:t>
      </w:r>
      <w:r w:rsidR="00E31EF3">
        <w:t xml:space="preserve"> dla rynku karane jest surowymi, nieokreślonymi karami pieniężnymi i niepieniężnymi, które klasyfikuje się jako sankcje administracyjne i stosuje się przez „niezależne” organy administracyjne w postępowaniu inkwizycyjnym, nierównym i przyspieszonym. Organy te mają do dyspozycji łącznie uprawnienia </w:t>
      </w:r>
      <w:r w:rsidR="000164F7">
        <w:t>do stosowania kar i oskarżania</w:t>
      </w:r>
      <w:r w:rsidR="00E31EF3">
        <w:t xml:space="preserve">, wraz z szerokim prawem nadzorowania danego sektora rynku oraz wykonywania </w:t>
      </w:r>
      <w:r w:rsidR="00E31EF3">
        <w:lastRenderedPageBreak/>
        <w:t>tego nadzoru w sposób umożliwiający korzystanie z powyższych uprawnień, c</w:t>
      </w:r>
      <w:r w:rsidR="00CC5D27">
        <w:t>zasami nakładając na nadzorowaną/podejrzaną osobę</w:t>
      </w:r>
      <w:r w:rsidR="00E31EF3">
        <w:t xml:space="preserve"> zobowiązanie do współpracy w procesie przedstawiania im zarzutów. Obecność trzech, a nawet czterech etapów pisemnej obrony</w:t>
      </w:r>
      <w:r w:rsidR="000C1AD1">
        <w:t xml:space="preserve"> </w:t>
      </w:r>
      <w:r w:rsidR="00E31EF3">
        <w:t xml:space="preserve">– dwukrotnie przed organem administracyjnym, raz przed sądem apelacyjnym i raz przed Sądem Kasacyjnym – stanowi złudzenie gwarancji, która nie rekompensuje nieodłącznego braku </w:t>
      </w:r>
      <w:r w:rsidR="00491441" w:rsidRPr="00491441">
        <w:t>rzetelnośc</w:t>
      </w:r>
      <w:r w:rsidR="00E31EF3" w:rsidRPr="00491441">
        <w:t>i</w:t>
      </w:r>
      <w:r w:rsidR="00E31EF3">
        <w:t xml:space="preserve"> postępowania. Nastąpiła ewidentna pokusa, by oddelegować do tego „nowego” postępowania administracyjnego sprawę, z którą nie można sobie poradzić za pośrednictwem klasycznych instrumentów prawa karnego i zasad proceduralnych. Niemniej jednak, presja rynkowa nie może dominować nad międzynarodowymi zobowiązaniami w zakre</w:t>
      </w:r>
      <w:r w:rsidR="00CC5D27">
        <w:t>sie praw człowieka ciążącymi na państwach związanych</w:t>
      </w:r>
      <w:r w:rsidR="00E31EF3">
        <w:t xml:space="preserve"> Konwencją. Karny charakter przestępstw oraz powaga kary nie mogą być pominięte i ewidentnie wymagają ochrony zapewnionej przez gwarancje proceduralne </w:t>
      </w:r>
      <w:r w:rsidR="00CC5D27">
        <w:t xml:space="preserve">z </w:t>
      </w:r>
      <w:r w:rsidR="00E31EF3">
        <w:t xml:space="preserve">artykułu 6, a także gwarancje materialne </w:t>
      </w:r>
      <w:r w:rsidR="00CC5D27">
        <w:t xml:space="preserve">z </w:t>
      </w:r>
      <w:r w:rsidR="00E31EF3">
        <w:t>artykułu 7 Konwencji.</w:t>
      </w:r>
    </w:p>
    <w:p w14:paraId="313BFFAC" w14:textId="2A414FD5" w:rsidR="00AB4482" w:rsidRDefault="00CC5D27" w:rsidP="003833F8">
      <w:pPr>
        <w:pStyle w:val="OpiPara"/>
      </w:pPr>
      <w:r>
        <w:t>33. </w:t>
      </w:r>
      <w:r w:rsidR="00E31EF3">
        <w:t xml:space="preserve">Uznajemy, że skarżący zostali potraktowani w sposób niesprawiedliwy przez CONSOB oraz przez sądy krajowe, a także, że Trybunał tylko połowicznie oddał im sprawiedliwość. To z tego powodu tylko częściowo zgadzamy się z większością. Oczekujemy, że niniejszy wyrok zapewni możliwość sądom krajowym </w:t>
      </w:r>
      <w:r w:rsidR="000C1AD1">
        <w:t>zapewnienia</w:t>
      </w:r>
      <w:r w:rsidR="00E31EF3">
        <w:t xml:space="preserve"> pełnej sprawiedliwości skarżącym, a ustawodaw</w:t>
      </w:r>
      <w:r w:rsidR="000C1AD1">
        <w:t>cę</w:t>
      </w:r>
      <w:r w:rsidR="00E31EF3">
        <w:t xml:space="preserve"> włoskie</w:t>
      </w:r>
      <w:r w:rsidR="000C1AD1">
        <w:t>go</w:t>
      </w:r>
      <w:r w:rsidR="00E31EF3">
        <w:t xml:space="preserve"> zachęci do naprawienia braków strukturalnych w postępowan</w:t>
      </w:r>
      <w:r w:rsidR="005156A9">
        <w:t>iu administracyjnym i sądowy</w:t>
      </w:r>
      <w:r w:rsidR="00E31EF3">
        <w:t xml:space="preserve">m dla zastosowania i kontroli sankcji administracyjnych CONSOB. Jeżeli </w:t>
      </w:r>
      <w:r w:rsidR="000C1AD1">
        <w:t>ustawodawca włoski będzie gotów</w:t>
      </w:r>
      <w:r w:rsidR="00E31EF3">
        <w:t xml:space="preserve"> przyjąć to wyzwanie, je</w:t>
      </w:r>
      <w:r w:rsidR="005156A9">
        <w:t>go</w:t>
      </w:r>
      <w:r w:rsidR="00E31EF3">
        <w:t xml:space="preserve"> praca stanowić mogłaby przykład dla przeniesienia wypracowanych </w:t>
      </w:r>
      <w:r w:rsidR="0036754B">
        <w:t>przez nie</w:t>
      </w:r>
      <w:r w:rsidR="000C1AD1">
        <w:t>go</w:t>
      </w:r>
      <w:r w:rsidR="00E31EF3">
        <w:t xml:space="preserve"> rozwiązań do innych systemów ustawodawczych borykających się z podobnym problemem.</w:t>
      </w:r>
    </w:p>
    <w:p w14:paraId="65CC24C0" w14:textId="77777777" w:rsidR="00852296" w:rsidRDefault="00852296" w:rsidP="003833F8">
      <w:pPr>
        <w:pStyle w:val="JuInitialled"/>
        <w:jc w:val="left"/>
        <w:sectPr w:rsidR="00852296" w:rsidSect="0035061B">
          <w:headerReference w:type="even" r:id="rId19"/>
          <w:headerReference w:type="default" r:id="rId20"/>
          <w:footerReference w:type="even" r:id="rId21"/>
          <w:footerReference w:type="default" r:id="rId22"/>
          <w:footnotePr>
            <w:numRestart w:val="eachSect"/>
          </w:footnotePr>
          <w:type w:val="continuous"/>
          <w:pgSz w:w="11906" w:h="16838" w:code="9"/>
          <w:pgMar w:top="2274" w:right="2274" w:bottom="2274" w:left="2274" w:header="1701" w:footer="720" w:gutter="0"/>
          <w:cols w:space="720"/>
          <w:docGrid w:linePitch="326"/>
        </w:sectPr>
      </w:pPr>
    </w:p>
    <w:p w14:paraId="63AACD96" w14:textId="77777777" w:rsidR="000D5DD6" w:rsidRPr="00110749" w:rsidRDefault="000D5DD6" w:rsidP="000D5DD6">
      <w:pPr>
        <w:pStyle w:val="JuTitle"/>
      </w:pPr>
      <w:r>
        <w:lastRenderedPageBreak/>
        <w:t>Aneks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282"/>
        <w:gridCol w:w="1304"/>
        <w:gridCol w:w="2172"/>
        <w:gridCol w:w="2094"/>
      </w:tblGrid>
      <w:tr w:rsidR="000D5DD6" w:rsidRPr="00110749" w14:paraId="62579A3C" w14:textId="77777777" w:rsidTr="00B80466">
        <w:trPr>
          <w:tblHeader/>
        </w:trPr>
        <w:tc>
          <w:tcPr>
            <w:tcW w:w="496" w:type="dxa"/>
            <w:shd w:val="clear" w:color="auto" w:fill="A0A0A0"/>
          </w:tcPr>
          <w:p w14:paraId="2A9DECA7" w14:textId="77777777" w:rsidR="000D5DD6" w:rsidRPr="00110749" w:rsidRDefault="000D5DD6" w:rsidP="00A507AB">
            <w:pPr>
              <w:rPr>
                <w:b/>
              </w:rPr>
            </w:pPr>
            <w:bookmarkStart w:id="50" w:name="TableStart"/>
            <w:bookmarkEnd w:id="50"/>
            <w:r>
              <w:rPr>
                <w:b/>
              </w:rPr>
              <w:t>Nr</w:t>
            </w:r>
          </w:p>
        </w:tc>
        <w:tc>
          <w:tcPr>
            <w:tcW w:w="1339" w:type="dxa"/>
            <w:shd w:val="clear" w:color="auto" w:fill="A0A0A0"/>
          </w:tcPr>
          <w:p w14:paraId="078C917F" w14:textId="77777777" w:rsidR="000D5DD6" w:rsidRPr="00110749" w:rsidRDefault="000D5DD6" w:rsidP="00A507AB">
            <w:pPr>
              <w:rPr>
                <w:b/>
              </w:rPr>
            </w:pPr>
            <w:r>
              <w:rPr>
                <w:b/>
              </w:rPr>
              <w:t>Skarga nr</w:t>
            </w:r>
          </w:p>
        </w:tc>
        <w:tc>
          <w:tcPr>
            <w:tcW w:w="1398" w:type="dxa"/>
            <w:shd w:val="clear" w:color="auto" w:fill="A0A0A0"/>
          </w:tcPr>
          <w:p w14:paraId="36B66BE9" w14:textId="77777777" w:rsidR="000D5DD6" w:rsidRPr="00110749" w:rsidRDefault="000D5DD6" w:rsidP="00A507AB">
            <w:pPr>
              <w:rPr>
                <w:b/>
              </w:rPr>
            </w:pPr>
            <w:r>
              <w:rPr>
                <w:b/>
              </w:rPr>
              <w:t xml:space="preserve">Złożona dnia: </w:t>
            </w:r>
          </w:p>
        </w:tc>
        <w:tc>
          <w:tcPr>
            <w:tcW w:w="2190" w:type="dxa"/>
            <w:shd w:val="clear" w:color="auto" w:fill="A0A0A0"/>
          </w:tcPr>
          <w:p w14:paraId="0F569B05" w14:textId="77777777" w:rsidR="00AB4482" w:rsidRDefault="000D5DD6" w:rsidP="00A507AB">
            <w:pPr>
              <w:rPr>
                <w:b/>
              </w:rPr>
            </w:pPr>
            <w:r>
              <w:rPr>
                <w:b/>
              </w:rPr>
              <w:t>Skarżący</w:t>
            </w:r>
          </w:p>
          <w:p w14:paraId="0885CC56" w14:textId="77777777" w:rsidR="00AB4482" w:rsidRDefault="000D5DD6" w:rsidP="00A507AB">
            <w:pPr>
              <w:rPr>
                <w:b/>
              </w:rPr>
            </w:pPr>
            <w:r>
              <w:rPr>
                <w:b/>
              </w:rPr>
              <w:t>Data urodzenia</w:t>
            </w:r>
          </w:p>
          <w:p w14:paraId="0FFCB797" w14:textId="77777777" w:rsidR="000D5DD6" w:rsidRPr="00110749" w:rsidRDefault="000D5DD6" w:rsidP="00A507AB">
            <w:pPr>
              <w:rPr>
                <w:b/>
              </w:rPr>
            </w:pPr>
            <w:r>
              <w:rPr>
                <w:b/>
              </w:rPr>
              <w:t>Miejsce zamieszkania</w:t>
            </w:r>
          </w:p>
        </w:tc>
        <w:tc>
          <w:tcPr>
            <w:tcW w:w="2151" w:type="dxa"/>
            <w:shd w:val="clear" w:color="auto" w:fill="A0A0A0"/>
          </w:tcPr>
          <w:p w14:paraId="6D1BE61B" w14:textId="77777777" w:rsidR="000D5DD6" w:rsidRPr="00110749" w:rsidRDefault="000D5DD6" w:rsidP="00B80466">
            <w:pPr>
              <w:jc w:val="left"/>
              <w:rPr>
                <w:b/>
              </w:rPr>
            </w:pPr>
            <w:r>
              <w:rPr>
                <w:b/>
              </w:rPr>
              <w:t>Reprezentowany przez:</w:t>
            </w:r>
          </w:p>
        </w:tc>
      </w:tr>
      <w:tr w:rsidR="000D5DD6" w:rsidRPr="00110749" w14:paraId="666AC411" w14:textId="77777777" w:rsidTr="00B80466">
        <w:tc>
          <w:tcPr>
            <w:tcW w:w="496" w:type="dxa"/>
            <w:shd w:val="clear" w:color="auto" w:fill="auto"/>
          </w:tcPr>
          <w:p w14:paraId="55C4D686" w14:textId="77777777" w:rsidR="000D5DD6" w:rsidRPr="00110749" w:rsidRDefault="000D5DD6" w:rsidP="00EC291C">
            <w:pPr>
              <w:numPr>
                <w:ilvl w:val="0"/>
                <w:numId w:val="15"/>
              </w:numPr>
              <w:tabs>
                <w:tab w:val="num" w:pos="283"/>
              </w:tabs>
              <w:suppressAutoHyphens/>
              <w:ind w:left="0" w:firstLine="0"/>
              <w:jc w:val="left"/>
              <w:rPr>
                <w:b/>
              </w:rPr>
            </w:pPr>
            <w:bookmarkStart w:id="51" w:name="_Ref368045435"/>
          </w:p>
        </w:tc>
        <w:bookmarkEnd w:id="51"/>
        <w:tc>
          <w:tcPr>
            <w:tcW w:w="1339" w:type="dxa"/>
            <w:shd w:val="clear" w:color="auto" w:fill="auto"/>
          </w:tcPr>
          <w:p w14:paraId="7B66ADA4" w14:textId="77777777" w:rsidR="000D5DD6" w:rsidRPr="00110749" w:rsidRDefault="000D5DD6" w:rsidP="00A507AB">
            <w:r>
              <w:t>18640/10</w:t>
            </w:r>
          </w:p>
        </w:tc>
        <w:tc>
          <w:tcPr>
            <w:tcW w:w="1398" w:type="dxa"/>
            <w:shd w:val="clear" w:color="auto" w:fill="auto"/>
          </w:tcPr>
          <w:p w14:paraId="2D205A0D" w14:textId="77777777" w:rsidR="000D5DD6" w:rsidRPr="00110749" w:rsidRDefault="000D5DD6" w:rsidP="00A507AB">
            <w:r>
              <w:t>27 marca 2010</w:t>
            </w:r>
          </w:p>
        </w:tc>
        <w:tc>
          <w:tcPr>
            <w:tcW w:w="2190" w:type="dxa"/>
            <w:shd w:val="clear" w:color="auto" w:fill="auto"/>
          </w:tcPr>
          <w:p w14:paraId="4D2B66BC" w14:textId="77777777" w:rsidR="000D5DD6" w:rsidRPr="00110749" w:rsidRDefault="000D5DD6" w:rsidP="00A507AB">
            <w:pPr>
              <w:rPr>
                <w:b/>
              </w:rPr>
            </w:pPr>
            <w:proofErr w:type="spellStart"/>
            <w:r>
              <w:rPr>
                <w:b/>
              </w:rPr>
              <w:t>Franzo</w:t>
            </w:r>
            <w:proofErr w:type="spellEnd"/>
            <w:r>
              <w:rPr>
                <w:b/>
              </w:rPr>
              <w:t xml:space="preserve"> GRANDE STEVENS</w:t>
            </w:r>
          </w:p>
          <w:p w14:paraId="1511151D" w14:textId="77777777" w:rsidR="000D5DD6" w:rsidRPr="00110749" w:rsidRDefault="000D5DD6" w:rsidP="00A507AB">
            <w:r>
              <w:t xml:space="preserve">13 września 1928 roku </w:t>
            </w:r>
          </w:p>
          <w:p w14:paraId="4B63B2B4" w14:textId="77777777" w:rsidR="000D5DD6" w:rsidRPr="00110749" w:rsidRDefault="000D5DD6" w:rsidP="00A507AB">
            <w:r>
              <w:t>Turyn</w:t>
            </w:r>
          </w:p>
          <w:p w14:paraId="4ACB93EF" w14:textId="77777777" w:rsidR="000D5DD6" w:rsidRPr="00110749" w:rsidRDefault="000D5DD6" w:rsidP="00A507AB"/>
        </w:tc>
        <w:tc>
          <w:tcPr>
            <w:tcW w:w="2151" w:type="dxa"/>
            <w:shd w:val="clear" w:color="auto" w:fill="auto"/>
          </w:tcPr>
          <w:p w14:paraId="7EF70AEB" w14:textId="77777777" w:rsidR="000D5DD6" w:rsidRPr="00110749" w:rsidRDefault="000D5DD6" w:rsidP="00B80466">
            <w:pPr>
              <w:jc w:val="left"/>
            </w:pPr>
            <w:r>
              <w:t xml:space="preserve">Aldo BOZZI, z Adwokatury w Mediolanie, Giuseppe BOZZI, z Adwokatury w Rzymie, oraz </w:t>
            </w:r>
            <w:proofErr w:type="spellStart"/>
            <w:r>
              <w:t>Natalino</w:t>
            </w:r>
            <w:proofErr w:type="spellEnd"/>
            <w:r>
              <w:t xml:space="preserve"> IRTI, z Adwokatury w Mediolanie</w:t>
            </w:r>
          </w:p>
        </w:tc>
      </w:tr>
      <w:tr w:rsidR="000D5DD6" w:rsidRPr="00110749" w14:paraId="30A09D03" w14:textId="77777777" w:rsidTr="00B80466">
        <w:tc>
          <w:tcPr>
            <w:tcW w:w="496" w:type="dxa"/>
            <w:shd w:val="clear" w:color="auto" w:fill="auto"/>
          </w:tcPr>
          <w:p w14:paraId="28F0B331" w14:textId="77777777" w:rsidR="000D5DD6" w:rsidRPr="00110749" w:rsidRDefault="000D5DD6" w:rsidP="00EC291C">
            <w:pPr>
              <w:numPr>
                <w:ilvl w:val="0"/>
                <w:numId w:val="15"/>
              </w:numPr>
              <w:tabs>
                <w:tab w:val="num" w:pos="283"/>
              </w:tabs>
              <w:suppressAutoHyphens/>
              <w:ind w:left="0" w:firstLine="0"/>
              <w:jc w:val="left"/>
              <w:rPr>
                <w:b/>
              </w:rPr>
            </w:pPr>
          </w:p>
        </w:tc>
        <w:tc>
          <w:tcPr>
            <w:tcW w:w="1339" w:type="dxa"/>
            <w:shd w:val="clear" w:color="auto" w:fill="auto"/>
          </w:tcPr>
          <w:p w14:paraId="351731AC" w14:textId="77777777" w:rsidR="000D5DD6" w:rsidRPr="00110749" w:rsidRDefault="000D5DD6" w:rsidP="00A507AB">
            <w:r>
              <w:t>18647/10</w:t>
            </w:r>
          </w:p>
        </w:tc>
        <w:tc>
          <w:tcPr>
            <w:tcW w:w="1398" w:type="dxa"/>
            <w:shd w:val="clear" w:color="auto" w:fill="auto"/>
          </w:tcPr>
          <w:p w14:paraId="55D96947" w14:textId="77777777" w:rsidR="000D5DD6" w:rsidRPr="00110749" w:rsidRDefault="000D5DD6" w:rsidP="00A507AB">
            <w:r>
              <w:t>2010-03-27 roku</w:t>
            </w:r>
          </w:p>
        </w:tc>
        <w:tc>
          <w:tcPr>
            <w:tcW w:w="2190" w:type="dxa"/>
            <w:shd w:val="clear" w:color="auto" w:fill="auto"/>
          </w:tcPr>
          <w:p w14:paraId="10A8A1D0" w14:textId="77777777" w:rsidR="000D5DD6" w:rsidRPr="00110749" w:rsidRDefault="000D5DD6" w:rsidP="00A507AB">
            <w:pPr>
              <w:rPr>
                <w:b/>
              </w:rPr>
            </w:pPr>
            <w:proofErr w:type="spellStart"/>
            <w:r>
              <w:rPr>
                <w:b/>
              </w:rPr>
              <w:t>Gianluigi</w:t>
            </w:r>
            <w:proofErr w:type="spellEnd"/>
            <w:r>
              <w:rPr>
                <w:b/>
              </w:rPr>
              <w:t xml:space="preserve"> GABETTI</w:t>
            </w:r>
          </w:p>
          <w:p w14:paraId="305453F3" w14:textId="77777777" w:rsidR="000D5DD6" w:rsidRPr="00110749" w:rsidRDefault="000D5DD6" w:rsidP="00A507AB">
            <w:r>
              <w:t>29 sierpnia 1924 roku</w:t>
            </w:r>
          </w:p>
          <w:p w14:paraId="2E254B46" w14:textId="77777777" w:rsidR="000D5DD6" w:rsidRPr="00110749" w:rsidRDefault="000D5DD6" w:rsidP="00A507AB">
            <w:r>
              <w:t>Turyn</w:t>
            </w:r>
          </w:p>
          <w:p w14:paraId="67C58688" w14:textId="77777777" w:rsidR="000D5DD6" w:rsidRPr="00110749" w:rsidRDefault="000D5DD6" w:rsidP="00A507AB"/>
        </w:tc>
        <w:tc>
          <w:tcPr>
            <w:tcW w:w="2151" w:type="dxa"/>
            <w:shd w:val="clear" w:color="auto" w:fill="auto"/>
          </w:tcPr>
          <w:p w14:paraId="1FC701E6" w14:textId="77777777" w:rsidR="000D5DD6" w:rsidRPr="00110749" w:rsidRDefault="000D5DD6" w:rsidP="00B80466">
            <w:pPr>
              <w:jc w:val="left"/>
            </w:pPr>
            <w:r>
              <w:t>Aldo BOZZI, z Adwokatury w Mediolanie, i Giuseppe BOZZI, z Adwokatury w Rzymie</w:t>
            </w:r>
          </w:p>
        </w:tc>
      </w:tr>
      <w:tr w:rsidR="000D5DD6" w:rsidRPr="00110749" w14:paraId="10E42FFF" w14:textId="77777777" w:rsidTr="00B80466">
        <w:tc>
          <w:tcPr>
            <w:tcW w:w="496" w:type="dxa"/>
            <w:shd w:val="clear" w:color="auto" w:fill="auto"/>
          </w:tcPr>
          <w:p w14:paraId="1CB4485F" w14:textId="77777777" w:rsidR="000D5DD6" w:rsidRPr="00110749" w:rsidRDefault="000D5DD6" w:rsidP="00EC291C">
            <w:pPr>
              <w:numPr>
                <w:ilvl w:val="0"/>
                <w:numId w:val="15"/>
              </w:numPr>
              <w:tabs>
                <w:tab w:val="num" w:pos="283"/>
              </w:tabs>
              <w:suppressAutoHyphens/>
              <w:ind w:left="0" w:firstLine="0"/>
              <w:jc w:val="left"/>
              <w:rPr>
                <w:b/>
              </w:rPr>
            </w:pPr>
          </w:p>
        </w:tc>
        <w:tc>
          <w:tcPr>
            <w:tcW w:w="1339" w:type="dxa"/>
            <w:shd w:val="clear" w:color="auto" w:fill="auto"/>
          </w:tcPr>
          <w:p w14:paraId="4B49148A" w14:textId="77777777" w:rsidR="000D5DD6" w:rsidRPr="00110749" w:rsidRDefault="000D5DD6" w:rsidP="00A507AB">
            <w:r>
              <w:t>18663/10</w:t>
            </w:r>
          </w:p>
        </w:tc>
        <w:tc>
          <w:tcPr>
            <w:tcW w:w="1398" w:type="dxa"/>
            <w:shd w:val="clear" w:color="auto" w:fill="auto"/>
          </w:tcPr>
          <w:p w14:paraId="4DA5DC88" w14:textId="77777777" w:rsidR="000D5DD6" w:rsidRPr="00110749" w:rsidRDefault="000D5DD6" w:rsidP="00A507AB">
            <w:r>
              <w:t>27 marca 2010 roku</w:t>
            </w:r>
          </w:p>
        </w:tc>
        <w:tc>
          <w:tcPr>
            <w:tcW w:w="2190" w:type="dxa"/>
            <w:shd w:val="clear" w:color="auto" w:fill="auto"/>
          </w:tcPr>
          <w:p w14:paraId="6F0A248C" w14:textId="77777777" w:rsidR="000D5DD6" w:rsidRPr="00110749" w:rsidRDefault="000D5DD6" w:rsidP="00A507AB">
            <w:pPr>
              <w:rPr>
                <w:b/>
              </w:rPr>
            </w:pPr>
            <w:proofErr w:type="spellStart"/>
            <w:r>
              <w:rPr>
                <w:b/>
              </w:rPr>
              <w:t>Virgilio</w:t>
            </w:r>
            <w:proofErr w:type="spellEnd"/>
            <w:r>
              <w:rPr>
                <w:b/>
              </w:rPr>
              <w:t xml:space="preserve"> MARRONE</w:t>
            </w:r>
          </w:p>
          <w:p w14:paraId="7328F236" w14:textId="77777777" w:rsidR="000D5DD6" w:rsidRPr="00110749" w:rsidRDefault="000D5DD6" w:rsidP="00A507AB">
            <w:r>
              <w:t>2 sierpnia 1946 roku</w:t>
            </w:r>
          </w:p>
          <w:p w14:paraId="04E0FC6E" w14:textId="77777777" w:rsidR="000D5DD6" w:rsidRPr="00110749" w:rsidRDefault="000D5DD6" w:rsidP="00A507AB">
            <w:r>
              <w:t>Turyn</w:t>
            </w:r>
          </w:p>
          <w:p w14:paraId="4640B059" w14:textId="77777777" w:rsidR="000D5DD6" w:rsidRPr="00110749" w:rsidRDefault="000D5DD6" w:rsidP="00A507AB"/>
        </w:tc>
        <w:tc>
          <w:tcPr>
            <w:tcW w:w="2151" w:type="dxa"/>
            <w:shd w:val="clear" w:color="auto" w:fill="auto"/>
          </w:tcPr>
          <w:p w14:paraId="3ABA1C80" w14:textId="77777777" w:rsidR="000D5DD6" w:rsidRPr="00110749" w:rsidRDefault="000D5DD6" w:rsidP="00B80466">
            <w:pPr>
              <w:jc w:val="left"/>
            </w:pPr>
            <w:r>
              <w:t>Aldo BOZZI, z Adwokatury w Mediolanie, i Giuseppe BOZZI, z Adwokatury w Rzymie</w:t>
            </w:r>
          </w:p>
        </w:tc>
      </w:tr>
      <w:tr w:rsidR="000D5DD6" w:rsidRPr="00110749" w14:paraId="53385711" w14:textId="77777777" w:rsidTr="00B80466">
        <w:tc>
          <w:tcPr>
            <w:tcW w:w="496" w:type="dxa"/>
            <w:shd w:val="clear" w:color="auto" w:fill="auto"/>
          </w:tcPr>
          <w:p w14:paraId="1D1206C8" w14:textId="77777777" w:rsidR="000D5DD6" w:rsidRPr="00110749" w:rsidRDefault="000D5DD6" w:rsidP="00EC291C">
            <w:pPr>
              <w:numPr>
                <w:ilvl w:val="0"/>
                <w:numId w:val="15"/>
              </w:numPr>
              <w:tabs>
                <w:tab w:val="num" w:pos="283"/>
              </w:tabs>
              <w:suppressAutoHyphens/>
              <w:ind w:left="0" w:firstLine="0"/>
              <w:jc w:val="left"/>
              <w:rPr>
                <w:b/>
              </w:rPr>
            </w:pPr>
          </w:p>
        </w:tc>
        <w:tc>
          <w:tcPr>
            <w:tcW w:w="1339" w:type="dxa"/>
            <w:shd w:val="clear" w:color="auto" w:fill="auto"/>
          </w:tcPr>
          <w:p w14:paraId="579AE286" w14:textId="77777777" w:rsidR="000D5DD6" w:rsidRPr="00110749" w:rsidRDefault="000D5DD6" w:rsidP="00A507AB">
            <w:r>
              <w:t>18668/10</w:t>
            </w:r>
          </w:p>
        </w:tc>
        <w:tc>
          <w:tcPr>
            <w:tcW w:w="1398" w:type="dxa"/>
            <w:shd w:val="clear" w:color="auto" w:fill="auto"/>
          </w:tcPr>
          <w:p w14:paraId="6BF10D89" w14:textId="77777777" w:rsidR="000D5DD6" w:rsidRPr="00110749" w:rsidRDefault="000D5DD6" w:rsidP="00A507AB">
            <w:r>
              <w:t>27 marca 2010 roku</w:t>
            </w:r>
          </w:p>
        </w:tc>
        <w:tc>
          <w:tcPr>
            <w:tcW w:w="2190" w:type="dxa"/>
            <w:shd w:val="clear" w:color="auto" w:fill="auto"/>
          </w:tcPr>
          <w:p w14:paraId="19A13F53" w14:textId="77777777" w:rsidR="000D5DD6" w:rsidRPr="00110749" w:rsidRDefault="000D5DD6" w:rsidP="00A507AB">
            <w:pPr>
              <w:rPr>
                <w:b/>
              </w:rPr>
            </w:pPr>
            <w:r>
              <w:rPr>
                <w:b/>
              </w:rPr>
              <w:t>EXOR S.P.A.</w:t>
            </w:r>
          </w:p>
          <w:p w14:paraId="5A07250C" w14:textId="77777777" w:rsidR="000D5DD6" w:rsidRPr="00110749" w:rsidRDefault="000D5DD6" w:rsidP="00A507AB">
            <w:r>
              <w:t>Spółka publiczna z siedzibą w Turynie</w:t>
            </w:r>
          </w:p>
          <w:p w14:paraId="5F252BA7" w14:textId="77777777" w:rsidR="000D5DD6" w:rsidRPr="00110749" w:rsidRDefault="000D5DD6" w:rsidP="00A507AB"/>
        </w:tc>
        <w:tc>
          <w:tcPr>
            <w:tcW w:w="2151" w:type="dxa"/>
            <w:shd w:val="clear" w:color="auto" w:fill="auto"/>
          </w:tcPr>
          <w:p w14:paraId="30088DE5" w14:textId="77777777" w:rsidR="000D5DD6" w:rsidRPr="00110749" w:rsidRDefault="000D5DD6" w:rsidP="00B80466">
            <w:pPr>
              <w:jc w:val="left"/>
            </w:pPr>
            <w:r>
              <w:t>Aldo BOZZI, z Adwokatury w Mediolanie, i Giuseppe BOZZI, z Adwokatury w Rzymie</w:t>
            </w:r>
          </w:p>
        </w:tc>
      </w:tr>
      <w:tr w:rsidR="000D5DD6" w:rsidRPr="00110749" w14:paraId="26D6FE5E" w14:textId="77777777" w:rsidTr="00B80466">
        <w:tc>
          <w:tcPr>
            <w:tcW w:w="496" w:type="dxa"/>
            <w:shd w:val="clear" w:color="auto" w:fill="auto"/>
          </w:tcPr>
          <w:p w14:paraId="33710EF4" w14:textId="77777777" w:rsidR="000D5DD6" w:rsidRPr="00110749" w:rsidRDefault="000D5DD6" w:rsidP="00EC291C">
            <w:pPr>
              <w:numPr>
                <w:ilvl w:val="0"/>
                <w:numId w:val="15"/>
              </w:numPr>
              <w:tabs>
                <w:tab w:val="num" w:pos="283"/>
              </w:tabs>
              <w:suppressAutoHyphens/>
              <w:ind w:left="0" w:firstLine="0"/>
              <w:jc w:val="left"/>
              <w:rPr>
                <w:b/>
              </w:rPr>
            </w:pPr>
          </w:p>
        </w:tc>
        <w:tc>
          <w:tcPr>
            <w:tcW w:w="1339" w:type="dxa"/>
            <w:shd w:val="clear" w:color="auto" w:fill="auto"/>
          </w:tcPr>
          <w:p w14:paraId="13577013" w14:textId="77777777" w:rsidR="000D5DD6" w:rsidRPr="00110749" w:rsidRDefault="000D5DD6" w:rsidP="00A507AB">
            <w:r>
              <w:t>18698/10</w:t>
            </w:r>
          </w:p>
        </w:tc>
        <w:tc>
          <w:tcPr>
            <w:tcW w:w="1398" w:type="dxa"/>
            <w:shd w:val="clear" w:color="auto" w:fill="auto"/>
          </w:tcPr>
          <w:p w14:paraId="1C733CAE" w14:textId="77777777" w:rsidR="000D5DD6" w:rsidRPr="00110749" w:rsidRDefault="000D5DD6" w:rsidP="00A507AB">
            <w:r>
              <w:t>27 marca 2010 roku</w:t>
            </w:r>
          </w:p>
        </w:tc>
        <w:tc>
          <w:tcPr>
            <w:tcW w:w="2190" w:type="dxa"/>
            <w:shd w:val="clear" w:color="auto" w:fill="auto"/>
          </w:tcPr>
          <w:p w14:paraId="0BEBA665" w14:textId="77777777" w:rsidR="000D5DD6" w:rsidRPr="0013422D" w:rsidRDefault="000D5DD6" w:rsidP="00A507AB">
            <w:pPr>
              <w:rPr>
                <w:b/>
                <w:lang w:val="it-IT"/>
              </w:rPr>
            </w:pPr>
            <w:r w:rsidRPr="0013422D">
              <w:rPr>
                <w:b/>
                <w:lang w:val="it-IT"/>
              </w:rPr>
              <w:t>GIOVANNI AGNELLI &amp; C. s.a.a.</w:t>
            </w:r>
          </w:p>
          <w:p w14:paraId="6A5B3998" w14:textId="77777777" w:rsidR="000D5DD6" w:rsidRPr="00110749" w:rsidRDefault="000D5DD6" w:rsidP="00A507AB">
            <w:r>
              <w:t>Spółka z ograniczoną odpowiedzialnością w Turynie</w:t>
            </w:r>
          </w:p>
        </w:tc>
        <w:tc>
          <w:tcPr>
            <w:tcW w:w="2151" w:type="dxa"/>
            <w:shd w:val="clear" w:color="auto" w:fill="auto"/>
          </w:tcPr>
          <w:p w14:paraId="48BD724E" w14:textId="77777777" w:rsidR="000D5DD6" w:rsidRPr="00110749" w:rsidRDefault="000D5DD6" w:rsidP="00B80466">
            <w:pPr>
              <w:jc w:val="left"/>
            </w:pPr>
            <w:r>
              <w:t>Aldo BOZZI, z Adwokatury w Mediolanie, i Giuseppe BOZZI, z Adwokatury w Rzymie</w:t>
            </w:r>
          </w:p>
        </w:tc>
      </w:tr>
    </w:tbl>
    <w:p w14:paraId="20E9226F" w14:textId="77777777" w:rsidR="000D5DD6" w:rsidRPr="00110749" w:rsidRDefault="000D5DD6" w:rsidP="000D5DD6"/>
    <w:sectPr w:rsidR="000D5DD6" w:rsidRPr="00110749" w:rsidSect="00AB4482">
      <w:headerReference w:type="even" r:id="rId23"/>
      <w:headerReference w:type="default" r:id="rId24"/>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9E1D" w14:textId="77777777" w:rsidR="00FA7983" w:rsidRDefault="00FA7983" w:rsidP="0098410D">
      <w:r>
        <w:separator/>
      </w:r>
    </w:p>
  </w:endnote>
  <w:endnote w:type="continuationSeparator" w:id="0">
    <w:p w14:paraId="73EF70BD" w14:textId="77777777" w:rsidR="00FA7983" w:rsidRDefault="00FA7983" w:rsidP="0098410D">
      <w:r>
        <w:continuationSeparator/>
      </w:r>
    </w:p>
  </w:endnote>
  <w:endnote w:type="continuationNotice" w:id="1">
    <w:p w14:paraId="776D9111" w14:textId="77777777" w:rsidR="00FA7983" w:rsidRDefault="00FA7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17C1" w14:textId="77777777" w:rsidR="002D78FF" w:rsidRDefault="002D78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D863" w14:textId="77777777" w:rsidR="002D78FF" w:rsidRPr="00150BFA" w:rsidRDefault="002D78FF" w:rsidP="00A507AB">
    <w:pPr>
      <w:jc w:val="center"/>
    </w:pPr>
    <w:r>
      <w:rPr>
        <w:noProof/>
        <w:lang w:bidi="ar-SA"/>
      </w:rPr>
      <w:drawing>
        <wp:inline distT="0" distB="0" distL="0" distR="0" wp14:anchorId="2A65E712" wp14:editId="225E5CEE">
          <wp:extent cx="771525" cy="619125"/>
          <wp:effectExtent l="0" t="0" r="9525" b="9525"/>
          <wp:docPr id="16" name="Picture 1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8B8EE8E" w14:textId="77777777" w:rsidR="002D78FF" w:rsidRPr="00881CDE" w:rsidRDefault="002D78FF" w:rsidP="00A507AB">
    <w:pPr>
      <w:pStyle w:val="Stopka"/>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1921" w14:textId="77777777" w:rsidR="002D78FF" w:rsidRDefault="002D78F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F61A7" w14:textId="77777777" w:rsidR="002D78FF" w:rsidRPr="00EC291C" w:rsidRDefault="002D78FF" w:rsidP="00EC291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FC60B" w14:textId="77777777" w:rsidR="002D78FF" w:rsidRDefault="002D78FF">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570D" w14:textId="77777777" w:rsidR="002D78FF" w:rsidRPr="000B7195" w:rsidRDefault="002D78FF" w:rsidP="00A507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66858" w14:textId="77777777" w:rsidR="00FA7983" w:rsidRDefault="00FA7983" w:rsidP="0098410D">
      <w:r>
        <w:separator/>
      </w:r>
    </w:p>
  </w:footnote>
  <w:footnote w:type="continuationSeparator" w:id="0">
    <w:p w14:paraId="295B33D6" w14:textId="77777777" w:rsidR="00FA7983" w:rsidRDefault="00FA7983" w:rsidP="0098410D">
      <w:r>
        <w:continuationSeparator/>
      </w:r>
    </w:p>
  </w:footnote>
  <w:footnote w:type="continuationNotice" w:id="1">
    <w:p w14:paraId="7DAFE5C8" w14:textId="77777777" w:rsidR="00FA7983" w:rsidRDefault="00FA7983"/>
  </w:footnote>
  <w:footnote w:id="2">
    <w:p w14:paraId="079699F2" w14:textId="77777777" w:rsidR="002D78FF" w:rsidRDefault="002D78FF">
      <w:pPr>
        <w:pStyle w:val="Tekstprzypisudolnego"/>
      </w:pPr>
      <w:r>
        <w:rPr>
          <w:rStyle w:val="Odwoanieprzypisudolnego"/>
        </w:rPr>
        <w:t>*</w:t>
      </w:r>
      <w:r>
        <w:t xml:space="preserve"> Niniejsze tłumaczenie zostało przygotowane w oparciu o wyciąg z wyroku udostępniony w języku angielskim w bazie orzeczeń HUDOC Europejskiego Trybunału Praw Człowieka [przyp. tłum.]. </w:t>
      </w:r>
    </w:p>
  </w:footnote>
  <w:footnote w:id="3">
    <w:p w14:paraId="379C85A6" w14:textId="5759E2C9" w:rsidR="002D78FF" w:rsidRDefault="002D78FF">
      <w:pPr>
        <w:pStyle w:val="Tekstprzypisudolnego"/>
      </w:pPr>
      <w:r>
        <w:rPr>
          <w:rStyle w:val="Odwoanieprzypisudolnego"/>
        </w:rPr>
        <w:footnoteRef/>
      </w:r>
      <w:r>
        <w:t xml:space="preserve"> Kwota tej kary została powiększona pięciokrotnie zgodnie z ustępem </w:t>
      </w:r>
      <w:r>
        <w:rPr>
          <w:color w:val="000000"/>
        </w:rPr>
        <w:t>39 § 3 ustawy nr 262 z dnia 28 grudnia 2005 roku, która weszła w życie po wydaniu kwestionowanych komunikatów prasowych.</w:t>
      </w:r>
    </w:p>
  </w:footnote>
  <w:footnote w:id="4">
    <w:p w14:paraId="0ABFF5A5" w14:textId="69D855A9" w:rsidR="002D78FF" w:rsidRPr="0013422D" w:rsidRDefault="002D78FF" w:rsidP="000D5DD6">
      <w:pPr>
        <w:pStyle w:val="Tekstprzypisudolnego"/>
        <w:rPr>
          <w:rFonts w:ascii="Times New Roman" w:hAnsi="Times New Roman" w:cs="Times New Roman"/>
        </w:rPr>
      </w:pPr>
      <w:r w:rsidRPr="0041557E">
        <w:rPr>
          <w:rStyle w:val="Odwoanieprzypisudolnego"/>
        </w:rPr>
        <w:footnoteRef/>
      </w:r>
      <w:r w:rsidRPr="0041557E">
        <w:rPr>
          <w:rFonts w:ascii="Times New Roman" w:hAnsi="Times New Roman"/>
          <w:vertAlign w:val="superscript"/>
        </w:rPr>
        <w:t> </w:t>
      </w:r>
      <w:r>
        <w:rPr>
          <w:rFonts w:ascii="Times New Roman" w:hAnsi="Times New Roman"/>
        </w:rPr>
        <w:t xml:space="preserve"> Zobacz </w:t>
      </w:r>
      <w:proofErr w:type="spellStart"/>
      <w:r>
        <w:rPr>
          <w:rFonts w:ascii="Times New Roman" w:hAnsi="Times New Roman"/>
          <w:i/>
        </w:rPr>
        <w:t>Menarini</w:t>
      </w:r>
      <w:proofErr w:type="spellEnd"/>
      <w:r>
        <w:rPr>
          <w:rFonts w:ascii="Times New Roman" w:hAnsi="Times New Roman"/>
          <w:i/>
        </w:rPr>
        <w:t xml:space="preserve"> Diagnostics SRL przeciwko Włochom</w:t>
      </w:r>
      <w:r>
        <w:rPr>
          <w:rFonts w:ascii="Times New Roman" w:hAnsi="Times New Roman"/>
        </w:rPr>
        <w:t xml:space="preserve">, nr 43509/08, 27 września 2011 roku, w sprawie kar zastosowanych przez </w:t>
      </w:r>
      <w:proofErr w:type="spellStart"/>
      <w:r>
        <w:rPr>
          <w:rFonts w:ascii="Times New Roman" w:hAnsi="Times New Roman"/>
          <w:i/>
        </w:rPr>
        <w:t>Autorità</w:t>
      </w:r>
      <w:proofErr w:type="spellEnd"/>
      <w:r>
        <w:rPr>
          <w:rFonts w:ascii="Times New Roman" w:hAnsi="Times New Roman"/>
          <w:i/>
        </w:rPr>
        <w:t xml:space="preserve"> </w:t>
      </w:r>
      <w:proofErr w:type="spellStart"/>
      <w:r>
        <w:rPr>
          <w:rFonts w:ascii="Times New Roman" w:hAnsi="Times New Roman"/>
          <w:i/>
        </w:rPr>
        <w:t>Garante</w:t>
      </w:r>
      <w:proofErr w:type="spellEnd"/>
      <w:r>
        <w:rPr>
          <w:rFonts w:ascii="Times New Roman" w:hAnsi="Times New Roman"/>
          <w:i/>
        </w:rPr>
        <w:t xml:space="preserve"> </w:t>
      </w:r>
      <w:proofErr w:type="spellStart"/>
      <w:r>
        <w:rPr>
          <w:rFonts w:ascii="Times New Roman" w:hAnsi="Times New Roman"/>
          <w:i/>
        </w:rPr>
        <w:t>della</w:t>
      </w:r>
      <w:proofErr w:type="spellEnd"/>
      <w:r>
        <w:rPr>
          <w:rFonts w:ascii="Times New Roman" w:hAnsi="Times New Roman"/>
          <w:i/>
        </w:rPr>
        <w:t xml:space="preserve"> </w:t>
      </w:r>
      <w:proofErr w:type="spellStart"/>
      <w:r>
        <w:rPr>
          <w:rFonts w:ascii="Times New Roman" w:hAnsi="Times New Roman"/>
          <w:i/>
        </w:rPr>
        <w:t>Concorrenza</w:t>
      </w:r>
      <w:proofErr w:type="spellEnd"/>
      <w:r>
        <w:rPr>
          <w:rFonts w:ascii="Times New Roman" w:hAnsi="Times New Roman"/>
          <w:i/>
        </w:rPr>
        <w:t xml:space="preserve"> e del </w:t>
      </w:r>
      <w:proofErr w:type="spellStart"/>
      <w:r>
        <w:rPr>
          <w:rFonts w:ascii="Times New Roman" w:hAnsi="Times New Roman"/>
          <w:i/>
        </w:rPr>
        <w:t>Mercato</w:t>
      </w:r>
      <w:proofErr w:type="spellEnd"/>
      <w:r>
        <w:rPr>
          <w:rFonts w:ascii="Times New Roman" w:hAnsi="Times New Roman"/>
        </w:rPr>
        <w:t xml:space="preserve">. </w:t>
      </w:r>
    </w:p>
  </w:footnote>
  <w:footnote w:id="5">
    <w:p w14:paraId="013F613C" w14:textId="2B5B295C"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Możliwość zastosowania artykułu 6 do postępowania administracyjnego przed </w:t>
      </w:r>
      <w:proofErr w:type="spellStart"/>
      <w:r>
        <w:rPr>
          <w:rFonts w:ascii="Times New Roman" w:hAnsi="Times New Roman"/>
        </w:rPr>
        <w:t>Consob</w:t>
      </w:r>
      <w:proofErr w:type="spellEnd"/>
      <w:r>
        <w:rPr>
          <w:rFonts w:ascii="Times New Roman" w:hAnsi="Times New Roman"/>
        </w:rPr>
        <w:t xml:space="preserve"> oraz wynikające z niego kary są w sposób przekonujące potwierdzone przez większość. </w:t>
      </w:r>
    </w:p>
  </w:footnote>
  <w:footnote w:id="6">
    <w:p w14:paraId="7781E74D" w14:textId="0770CC2D"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Ustęp 1, par. 6 i 18 ustawy nr 216 z 7 czerwca 1974 roku, oraz artykuł 5 (1) lit. b) i e) Uchwały CONSOB nr 8674 z 17 listopada 1994 roku</w:t>
      </w:r>
    </w:p>
  </w:footnote>
  <w:footnote w:id="7">
    <w:p w14:paraId="4D937121" w14:textId="287ECEAF"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Uchwała nr 15087 z 21 czerwca 2005 roku</w:t>
      </w:r>
    </w:p>
  </w:footnote>
  <w:footnote w:id="8">
    <w:p w14:paraId="2C67E39E" w14:textId="59BAF1AB" w:rsidR="002D78FF" w:rsidRPr="0013422D" w:rsidRDefault="002D78FF" w:rsidP="000D5DD6">
      <w:pPr>
        <w:pStyle w:val="Tekstprzypisudolnego"/>
        <w:rPr>
          <w:rFonts w:ascii="Times New Roman" w:hAnsi="Times New Roman" w:cs="Times New Roman"/>
        </w:rPr>
      </w:pPr>
      <w:r w:rsidRPr="0041557E">
        <w:rPr>
          <w:rStyle w:val="Odwoanieprzypisudolnego"/>
        </w:rPr>
        <w:footnoteRef/>
      </w:r>
      <w:r>
        <w:rPr>
          <w:vertAlign w:val="superscript"/>
        </w:rPr>
        <w:t xml:space="preserve"> </w:t>
      </w:r>
      <w:r w:rsidRPr="0041557E">
        <w:rPr>
          <w:vertAlign w:val="superscript"/>
        </w:rPr>
        <w:t> </w:t>
      </w:r>
      <w:r>
        <w:t xml:space="preserve">Uchwały </w:t>
      </w:r>
      <w:r>
        <w:rPr>
          <w:rFonts w:ascii="Times New Roman" w:hAnsi="Times New Roman"/>
        </w:rPr>
        <w:t xml:space="preserve">CONSOB nr 15086 z 21 czerwca 2005 roku, nr 15131 z 5 sierpnia 2005 roku i nr 16483 z 20 maja 2008 roku Rząd, w swoich pismach z 7 czerwca 2013 roku potwierdził to, jednak argumentował, że „żadne z powyższych uprawnień nie zostały wykorzystane” w tej konkretnej sprawie przez przewodniczącego CONSOB na etapie dochodzeniowym. Argument ten nie jest trafny. Sam fakt, że przewodniczący organu orzekającego ma prawo ingerować w etap przygotowawczy zagraża obiektywnej bezstronności i niezawisłości organu.   </w:t>
      </w:r>
    </w:p>
  </w:footnote>
  <w:footnote w:id="9">
    <w:p w14:paraId="2893FC11" w14:textId="494966B6"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vertAlign w:val="superscript"/>
        </w:rPr>
        <w:t xml:space="preserve"> </w:t>
      </w:r>
      <w:r w:rsidRPr="0041557E">
        <w:rPr>
          <w:rFonts w:ascii="Times New Roman" w:hAnsi="Times New Roman"/>
          <w:vertAlign w:val="superscript"/>
        </w:rPr>
        <w:t> </w:t>
      </w:r>
      <w:r>
        <w:rPr>
          <w:rFonts w:ascii="Times New Roman" w:hAnsi="Times New Roman"/>
        </w:rPr>
        <w:t>Wyroki Sądu Kasacyjnego nr 10757 z 24 kwietnia 2008 roku, oraz nr 389 z 11 stycznia 2006 roku</w:t>
      </w:r>
    </w:p>
  </w:footnote>
  <w:footnote w:id="10">
    <w:p w14:paraId="5039DF95" w14:textId="44CC04F7"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Artykuł 18 Uchwały CONSOB nr 8674/1994 z 17 listopada 1994 roku</w:t>
      </w:r>
    </w:p>
  </w:footnote>
  <w:footnote w:id="11">
    <w:p w14:paraId="574334F0" w14:textId="03001667"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Ten brak powiadomienia został uznany za sprzeczny z zasadą postępowania kontradyktoryjnego, w szczególności w odniesieniu do wysokości kary, która zwykle opiera się na faktach niepodanych do wiadomości osoby podejrzanej (wyrok nr 51 Sądu Apelacyjnego w Genui z dnia 24 stycznia - 21 lutego 2008 roku).</w:t>
      </w:r>
    </w:p>
  </w:footnote>
  <w:footnote w:id="12">
    <w:p w14:paraId="4852C4E9" w14:textId="7838720D"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Fakt ten został już uznany za niedopuszczalny w świetle zasady bezstronności (zobacz wyrok Regionalnego Sądu Administracyjnego w </w:t>
      </w:r>
      <w:proofErr w:type="spellStart"/>
      <w:r>
        <w:rPr>
          <w:rFonts w:ascii="Times New Roman" w:hAnsi="Times New Roman"/>
        </w:rPr>
        <w:t>Lazio</w:t>
      </w:r>
      <w:proofErr w:type="spellEnd"/>
      <w:r>
        <w:rPr>
          <w:rFonts w:ascii="Times New Roman" w:hAnsi="Times New Roman"/>
        </w:rPr>
        <w:t xml:space="preserve"> nr 3070 z dnia 10 kwietnia 2002 roku).</w:t>
      </w:r>
    </w:p>
  </w:footnote>
  <w:footnote w:id="13">
    <w:p w14:paraId="2A5903CD" w14:textId="42D766CD"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Zobacz, na przykład, wyrok Sądu Kasacyjnego z 23 czerwca 2009 roku, strona 38. Orzecznictwo to nie pozostało niekwestionowane (na przykład, </w:t>
      </w:r>
      <w:proofErr w:type="spellStart"/>
      <w:r>
        <w:rPr>
          <w:rFonts w:ascii="Times New Roman" w:hAnsi="Times New Roman"/>
          <w:i/>
        </w:rPr>
        <w:t>Consiglio</w:t>
      </w:r>
      <w:proofErr w:type="spellEnd"/>
      <w:r>
        <w:rPr>
          <w:rFonts w:ascii="Times New Roman" w:hAnsi="Times New Roman"/>
          <w:i/>
        </w:rPr>
        <w:t xml:space="preserve"> di </w:t>
      </w:r>
      <w:proofErr w:type="spellStart"/>
      <w:r>
        <w:rPr>
          <w:rFonts w:ascii="Times New Roman" w:hAnsi="Times New Roman"/>
          <w:i/>
        </w:rPr>
        <w:t>Stato</w:t>
      </w:r>
      <w:proofErr w:type="spellEnd"/>
      <w:r>
        <w:rPr>
          <w:rFonts w:ascii="Times New Roman" w:hAnsi="Times New Roman"/>
        </w:rPr>
        <w:t xml:space="preserve">, w swojej opinii nr 485 z 13 kwietnia 1999 roku, podtrzymał przeciwny pogląd).  </w:t>
      </w:r>
    </w:p>
  </w:footnote>
  <w:footnote w:id="14">
    <w:p w14:paraId="33F38B31" w14:textId="0AB5C961"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W tym sensie, zobacz, na przykład, wyrok nr 6211 Regionalnego Sądu Administracyjnego w </w:t>
      </w:r>
      <w:proofErr w:type="spellStart"/>
      <w:r>
        <w:rPr>
          <w:rFonts w:ascii="Times New Roman" w:hAnsi="Times New Roman"/>
        </w:rPr>
        <w:t>Lazio</w:t>
      </w:r>
      <w:proofErr w:type="spellEnd"/>
      <w:r>
        <w:rPr>
          <w:rFonts w:ascii="Times New Roman" w:hAnsi="Times New Roman"/>
        </w:rPr>
        <w:t xml:space="preserve"> (Sekcja I) z dnia 20 czerwca 2013 roku A zatem, niniejsza sprawa jest tym bardziej interesująca, zważywszy, że postanowienia mające do niej zastosowanie nadal pozostają w mocy.  </w:t>
      </w:r>
    </w:p>
  </w:footnote>
  <w:footnote w:id="15">
    <w:p w14:paraId="212FA7BA" w14:textId="7AFB4635" w:rsidR="002D78FF" w:rsidRPr="0013422D" w:rsidRDefault="002D78FF" w:rsidP="000D5DD6">
      <w:pPr>
        <w:pStyle w:val="Tekstprzypisudolnego"/>
      </w:pPr>
      <w:r w:rsidRPr="0041557E">
        <w:rPr>
          <w:rStyle w:val="Odwoanieprzypisudolnego"/>
        </w:rPr>
        <w:footnoteRef/>
      </w:r>
      <w:r>
        <w:t>  </w:t>
      </w:r>
      <w:r>
        <w:rPr>
          <w:rFonts w:ascii="Times New Roman" w:hAnsi="Times New Roman"/>
        </w:rPr>
        <w:t>A zatem, tego rodzaju kontrola sądu różni się od „słabej” kontroli (</w:t>
      </w:r>
      <w:proofErr w:type="spellStart"/>
      <w:r>
        <w:rPr>
          <w:rFonts w:ascii="Times New Roman" w:hAnsi="Times New Roman"/>
          <w:i/>
        </w:rPr>
        <w:t>sindacato</w:t>
      </w:r>
      <w:proofErr w:type="spellEnd"/>
      <w:r>
        <w:rPr>
          <w:rFonts w:ascii="Times New Roman" w:hAnsi="Times New Roman"/>
          <w:i/>
        </w:rPr>
        <w:t xml:space="preserve"> </w:t>
      </w:r>
      <w:proofErr w:type="spellStart"/>
      <w:r>
        <w:rPr>
          <w:rFonts w:ascii="Times New Roman" w:hAnsi="Times New Roman"/>
          <w:i/>
        </w:rPr>
        <w:t>giurisdizionale</w:t>
      </w:r>
      <w:proofErr w:type="spellEnd"/>
      <w:r>
        <w:rPr>
          <w:rFonts w:ascii="Times New Roman" w:hAnsi="Times New Roman"/>
          <w:i/>
        </w:rPr>
        <w:t xml:space="preserve"> ‘</w:t>
      </w:r>
      <w:proofErr w:type="spellStart"/>
      <w:r>
        <w:rPr>
          <w:rFonts w:ascii="Times New Roman" w:hAnsi="Times New Roman"/>
          <w:i/>
        </w:rPr>
        <w:t>debole</w:t>
      </w:r>
      <w:proofErr w:type="spellEnd"/>
      <w:r>
        <w:rPr>
          <w:rFonts w:ascii="Times New Roman" w:hAnsi="Times New Roman"/>
          <w:i/>
        </w:rPr>
        <w:t>’</w:t>
      </w:r>
      <w:r>
        <w:rPr>
          <w:rFonts w:ascii="Times New Roman" w:hAnsi="Times New Roman"/>
        </w:rPr>
        <w:t xml:space="preserve">) sankcji administracyjnych stosowanych przez </w:t>
      </w:r>
      <w:proofErr w:type="spellStart"/>
      <w:r>
        <w:rPr>
          <w:rFonts w:ascii="Times New Roman" w:hAnsi="Times New Roman"/>
          <w:i/>
        </w:rPr>
        <w:t>Autorità</w:t>
      </w:r>
      <w:proofErr w:type="spellEnd"/>
      <w:r>
        <w:rPr>
          <w:rFonts w:ascii="Times New Roman" w:hAnsi="Times New Roman"/>
          <w:i/>
        </w:rPr>
        <w:t xml:space="preserve"> </w:t>
      </w:r>
      <w:proofErr w:type="spellStart"/>
      <w:r>
        <w:rPr>
          <w:rFonts w:ascii="Times New Roman" w:hAnsi="Times New Roman"/>
          <w:i/>
        </w:rPr>
        <w:t>Garante</w:t>
      </w:r>
      <w:proofErr w:type="spellEnd"/>
      <w:r>
        <w:rPr>
          <w:rFonts w:ascii="Times New Roman" w:hAnsi="Times New Roman"/>
          <w:i/>
        </w:rPr>
        <w:t xml:space="preserve"> </w:t>
      </w:r>
      <w:proofErr w:type="spellStart"/>
      <w:r>
        <w:rPr>
          <w:rFonts w:ascii="Times New Roman" w:hAnsi="Times New Roman"/>
          <w:i/>
        </w:rPr>
        <w:t>della</w:t>
      </w:r>
      <w:proofErr w:type="spellEnd"/>
      <w:r>
        <w:rPr>
          <w:rFonts w:ascii="Times New Roman" w:hAnsi="Times New Roman"/>
          <w:i/>
        </w:rPr>
        <w:t xml:space="preserve"> </w:t>
      </w:r>
      <w:proofErr w:type="spellStart"/>
      <w:r>
        <w:rPr>
          <w:rFonts w:ascii="Times New Roman" w:hAnsi="Times New Roman"/>
          <w:i/>
        </w:rPr>
        <w:t>Concorrenza</w:t>
      </w:r>
      <w:proofErr w:type="spellEnd"/>
      <w:r>
        <w:rPr>
          <w:rFonts w:ascii="Times New Roman" w:hAnsi="Times New Roman"/>
          <w:i/>
        </w:rPr>
        <w:t xml:space="preserve"> e del </w:t>
      </w:r>
      <w:proofErr w:type="spellStart"/>
      <w:r>
        <w:rPr>
          <w:rFonts w:ascii="Times New Roman" w:hAnsi="Times New Roman"/>
          <w:i/>
        </w:rPr>
        <w:t>Mercato</w:t>
      </w:r>
      <w:proofErr w:type="spellEnd"/>
      <w:r>
        <w:rPr>
          <w:rFonts w:ascii="Times New Roman" w:hAnsi="Times New Roman"/>
        </w:rPr>
        <w:t xml:space="preserve">, przysługującej sędziemu administracyjnemu przed wejściem w życie nowego k.p.a. (zobacz opinię Sędziego </w:t>
      </w:r>
      <w:proofErr w:type="spellStart"/>
      <w:r>
        <w:rPr>
          <w:rFonts w:ascii="Times New Roman" w:hAnsi="Times New Roman"/>
        </w:rPr>
        <w:t>Pinto</w:t>
      </w:r>
      <w:proofErr w:type="spellEnd"/>
      <w:r>
        <w:rPr>
          <w:rFonts w:ascii="Times New Roman" w:hAnsi="Times New Roman"/>
        </w:rPr>
        <w:t xml:space="preserve"> de Albuquerque dołączoną do sprawy </w:t>
      </w:r>
      <w:proofErr w:type="spellStart"/>
      <w:r>
        <w:rPr>
          <w:rFonts w:ascii="Times New Roman" w:hAnsi="Times New Roman"/>
          <w:i/>
        </w:rPr>
        <w:t>Menarini</w:t>
      </w:r>
      <w:proofErr w:type="spellEnd"/>
      <w:r>
        <w:rPr>
          <w:rFonts w:ascii="Times New Roman" w:hAnsi="Times New Roman"/>
          <w:i/>
        </w:rPr>
        <w:t xml:space="preserve"> Diagnostics</w:t>
      </w:r>
      <w:r>
        <w:rPr>
          <w:rFonts w:ascii="Times New Roman" w:hAnsi="Times New Roman"/>
        </w:rPr>
        <w:t>).</w:t>
      </w:r>
    </w:p>
  </w:footnote>
  <w:footnote w:id="16">
    <w:p w14:paraId="3C4244A4" w14:textId="0C2A0816"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Zobacz wyroki Sądu Kasacyjnego nr 23930 z 9 listopada 2006 roku, oraz nr 1761 z 27 stycznia 2006 roku </w:t>
      </w:r>
    </w:p>
  </w:footnote>
  <w:footnote w:id="17">
    <w:p w14:paraId="555018A6" w14:textId="4CCD179E" w:rsidR="002D78FF" w:rsidRPr="0013422D" w:rsidRDefault="002D78FF" w:rsidP="000D5DD6">
      <w:pPr>
        <w:pStyle w:val="Tekstprzypisudolnego"/>
      </w:pPr>
      <w:r w:rsidRPr="0041557E">
        <w:rPr>
          <w:rStyle w:val="Odwoanieprzypisudolnego"/>
          <w:rFonts w:ascii="Times New Roman" w:hAnsi="Times New Roman"/>
        </w:rPr>
        <w:footnoteRef/>
      </w:r>
      <w:r>
        <w:rPr>
          <w:rFonts w:ascii="Times New Roman" w:hAnsi="Times New Roman"/>
          <w:vertAlign w:val="superscript"/>
        </w:rPr>
        <w:t xml:space="preserve"> </w:t>
      </w:r>
      <w:r>
        <w:rPr>
          <w:rFonts w:ascii="Times New Roman" w:hAnsi="Times New Roman"/>
        </w:rPr>
        <w:t xml:space="preserve"> Wyroki Sądu Kasacyjnego nr 13703 z 22 lipca 2004 roku, nr 1992 z 11 lutego 2003 roku oraz nr 9383 z 11 lipca 2001 roku </w:t>
      </w:r>
    </w:p>
  </w:footnote>
  <w:footnote w:id="18">
    <w:p w14:paraId="7CCE86AC" w14:textId="037C9BDD"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vertAlign w:val="superscript"/>
        </w:rPr>
        <w:t xml:space="preserve"> </w:t>
      </w:r>
      <w:r w:rsidRPr="0041557E">
        <w:rPr>
          <w:rFonts w:ascii="Times New Roman" w:hAnsi="Times New Roman"/>
          <w:vertAlign w:val="superscript"/>
        </w:rPr>
        <w:t> </w:t>
      </w:r>
      <w:r>
        <w:rPr>
          <w:rFonts w:ascii="Times New Roman" w:hAnsi="Times New Roman"/>
        </w:rPr>
        <w:t xml:space="preserve">Zobacz strony 27, 32, 33, 38 i 39 wyroku sądu apelacyjnego w sprawie apelacji Pana Grande Stevensa z dnia 5 grudnia 2007 roku, wniesionej w dniu 23 stycznia 2008 roku Znajduje się tam osiem odniesień do zeznań tych dwóch świadków, w niektórych przypadkach obejmujących długie cytaty. To samo ma miejsce na stronach 28, 29, 38, 39, 40, 41 wyroku sądu apelacyjnego w sprawie apelacji Pana </w:t>
      </w:r>
      <w:proofErr w:type="spellStart"/>
      <w:r>
        <w:rPr>
          <w:rFonts w:ascii="Times New Roman" w:hAnsi="Times New Roman"/>
        </w:rPr>
        <w:t>Gabettiego</w:t>
      </w:r>
      <w:proofErr w:type="spellEnd"/>
      <w:r>
        <w:rPr>
          <w:rFonts w:ascii="Times New Roman" w:hAnsi="Times New Roman"/>
        </w:rPr>
        <w:t xml:space="preserve"> i na stronach 38, 47, 48 i wyroku sądu apelacyjnego w sprawie apelacji IFIL </w:t>
      </w:r>
      <w:proofErr w:type="spellStart"/>
      <w:r>
        <w:rPr>
          <w:rFonts w:ascii="Times New Roman" w:hAnsi="Times New Roman"/>
        </w:rPr>
        <w:t>Investments</w:t>
      </w:r>
      <w:proofErr w:type="spellEnd"/>
      <w:r>
        <w:rPr>
          <w:rFonts w:ascii="Times New Roman" w:hAnsi="Times New Roman"/>
        </w:rPr>
        <w:t xml:space="preserve"> </w:t>
      </w:r>
      <w:proofErr w:type="spellStart"/>
      <w:r>
        <w:rPr>
          <w:rFonts w:ascii="Times New Roman" w:hAnsi="Times New Roman"/>
        </w:rPr>
        <w:t>s.p.a</w:t>
      </w:r>
      <w:proofErr w:type="spellEnd"/>
      <w:r>
        <w:rPr>
          <w:rFonts w:ascii="Times New Roman" w:hAnsi="Times New Roman"/>
        </w:rPr>
        <w:t xml:space="preserve">. (następnie </w:t>
      </w:r>
      <w:proofErr w:type="spellStart"/>
      <w:r>
        <w:rPr>
          <w:rFonts w:ascii="Times New Roman" w:hAnsi="Times New Roman"/>
        </w:rPr>
        <w:t>Exor</w:t>
      </w:r>
      <w:proofErr w:type="spellEnd"/>
      <w:r>
        <w:rPr>
          <w:rFonts w:ascii="Times New Roman" w:hAnsi="Times New Roman"/>
        </w:rPr>
        <w:t xml:space="preserve"> </w:t>
      </w:r>
      <w:proofErr w:type="spellStart"/>
      <w:r>
        <w:rPr>
          <w:rFonts w:ascii="Times New Roman" w:hAnsi="Times New Roman"/>
        </w:rPr>
        <w:t>s.p.a</w:t>
      </w:r>
      <w:proofErr w:type="spellEnd"/>
      <w:r>
        <w:rPr>
          <w:rFonts w:ascii="Times New Roman" w:hAnsi="Times New Roman"/>
        </w:rPr>
        <w:t xml:space="preserve">.). Dwa inne wyroki zasadniczo powtarzają te same argumenty. W istocie, dwóch z trzech sędziów sądu apelacyjnego było takich samych w przypadku wszystkich pięciu wyroków. </w:t>
      </w:r>
    </w:p>
  </w:footnote>
  <w:footnote w:id="19">
    <w:p w14:paraId="1A1163AE" w14:textId="5E741FC9"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sidRPr="0041557E">
        <w:rPr>
          <w:rFonts w:ascii="Times New Roman" w:hAnsi="Times New Roman"/>
          <w:vertAlign w:val="superscript"/>
        </w:rPr>
        <w:t> </w:t>
      </w:r>
      <w:r>
        <w:rPr>
          <w:rFonts w:ascii="Times New Roman" w:hAnsi="Times New Roman"/>
        </w:rPr>
        <w:t xml:space="preserve"> Strony 81 i 82 oświadczeń Pana Grande Stevensa z dnia 25 września 2007 roku do sądu apelacyjnego oraz strony 64 i 65 oświadczeń Pana </w:t>
      </w:r>
      <w:proofErr w:type="spellStart"/>
      <w:r>
        <w:rPr>
          <w:rFonts w:ascii="Times New Roman" w:hAnsi="Times New Roman"/>
        </w:rPr>
        <w:t>Marrone</w:t>
      </w:r>
      <w:proofErr w:type="spellEnd"/>
      <w:r>
        <w:rPr>
          <w:rFonts w:ascii="Times New Roman" w:hAnsi="Times New Roman"/>
        </w:rPr>
        <w:t xml:space="preserve"> z dnia 25 września 2007 roku do sądu apelacyjnego. Skarżący Grande Stevens wystąpił o przesłuchanie świadków przez sąd apelacyjny “na okoliczność faktów, o których mowa w powyższych dokumentach” (</w:t>
      </w:r>
      <w:proofErr w:type="spellStart"/>
      <w:r>
        <w:rPr>
          <w:rFonts w:ascii="Times New Roman" w:hAnsi="Times New Roman"/>
          <w:i/>
        </w:rPr>
        <w:t>sui</w:t>
      </w:r>
      <w:proofErr w:type="spellEnd"/>
      <w:r>
        <w:rPr>
          <w:rFonts w:ascii="Times New Roman" w:hAnsi="Times New Roman"/>
          <w:i/>
        </w:rPr>
        <w:t xml:space="preserve"> </w:t>
      </w:r>
      <w:proofErr w:type="spellStart"/>
      <w:r>
        <w:rPr>
          <w:rFonts w:ascii="Times New Roman" w:hAnsi="Times New Roman"/>
          <w:i/>
        </w:rPr>
        <w:t>fatti</w:t>
      </w:r>
      <w:proofErr w:type="spellEnd"/>
      <w:r>
        <w:rPr>
          <w:rFonts w:ascii="Times New Roman" w:hAnsi="Times New Roman"/>
          <w:i/>
        </w:rPr>
        <w:t xml:space="preserve"> </w:t>
      </w:r>
      <w:proofErr w:type="spellStart"/>
      <w:r>
        <w:rPr>
          <w:rFonts w:ascii="Times New Roman" w:hAnsi="Times New Roman"/>
          <w:i/>
        </w:rPr>
        <w:t>riferiti</w:t>
      </w:r>
      <w:proofErr w:type="spellEnd"/>
      <w:r>
        <w:rPr>
          <w:rFonts w:ascii="Times New Roman" w:hAnsi="Times New Roman"/>
          <w:i/>
        </w:rPr>
        <w:t xml:space="preserve"> </w:t>
      </w:r>
      <w:proofErr w:type="spellStart"/>
      <w:r>
        <w:rPr>
          <w:rFonts w:ascii="Times New Roman" w:hAnsi="Times New Roman"/>
          <w:i/>
        </w:rPr>
        <w:t>dai</w:t>
      </w:r>
      <w:proofErr w:type="spellEnd"/>
      <w:r>
        <w:rPr>
          <w:rFonts w:ascii="Times New Roman" w:hAnsi="Times New Roman"/>
          <w:i/>
        </w:rPr>
        <w:t xml:space="preserve"> </w:t>
      </w:r>
      <w:proofErr w:type="spellStart"/>
      <w:r>
        <w:rPr>
          <w:rFonts w:ascii="Times New Roman" w:hAnsi="Times New Roman"/>
          <w:i/>
        </w:rPr>
        <w:t>documenti</w:t>
      </w:r>
      <w:proofErr w:type="spellEnd"/>
      <w:r>
        <w:rPr>
          <w:rFonts w:ascii="Times New Roman" w:hAnsi="Times New Roman"/>
          <w:i/>
        </w:rPr>
        <w:t xml:space="preserve"> </w:t>
      </w:r>
      <w:proofErr w:type="spellStart"/>
      <w:r>
        <w:rPr>
          <w:rFonts w:ascii="Times New Roman" w:hAnsi="Times New Roman"/>
          <w:i/>
        </w:rPr>
        <w:t>medesimi</w:t>
      </w:r>
      <w:proofErr w:type="spellEnd"/>
      <w:r>
        <w:rPr>
          <w:rFonts w:ascii="Times New Roman" w:hAnsi="Times New Roman"/>
        </w:rPr>
        <w:t xml:space="preserve">). Przedstawił on następującą listę świadków: Enrico </w:t>
      </w:r>
      <w:proofErr w:type="spellStart"/>
      <w:r>
        <w:rPr>
          <w:rFonts w:ascii="Times New Roman" w:hAnsi="Times New Roman"/>
        </w:rPr>
        <w:t>Chiapparoli</w:t>
      </w:r>
      <w:proofErr w:type="spellEnd"/>
      <w:r>
        <w:rPr>
          <w:rFonts w:ascii="Times New Roman" w:hAnsi="Times New Roman"/>
        </w:rPr>
        <w:t xml:space="preserve">, Maurizio </w:t>
      </w:r>
      <w:proofErr w:type="spellStart"/>
      <w:r>
        <w:rPr>
          <w:rFonts w:ascii="Times New Roman" w:hAnsi="Times New Roman"/>
        </w:rPr>
        <w:t>Tamagnini</w:t>
      </w:r>
      <w:proofErr w:type="spellEnd"/>
      <w:r>
        <w:rPr>
          <w:rFonts w:ascii="Times New Roman" w:hAnsi="Times New Roman"/>
        </w:rPr>
        <w:t xml:space="preserve">, John </w:t>
      </w:r>
      <w:proofErr w:type="spellStart"/>
      <w:r>
        <w:rPr>
          <w:rFonts w:ascii="Times New Roman" w:hAnsi="Times New Roman"/>
        </w:rPr>
        <w:t>Winteler</w:t>
      </w:r>
      <w:proofErr w:type="spellEnd"/>
      <w:r>
        <w:rPr>
          <w:rFonts w:ascii="Times New Roman" w:hAnsi="Times New Roman"/>
        </w:rPr>
        <w:t xml:space="preserve">, </w:t>
      </w:r>
      <w:proofErr w:type="spellStart"/>
      <w:r>
        <w:rPr>
          <w:rFonts w:ascii="Times New Roman" w:hAnsi="Times New Roman"/>
        </w:rPr>
        <w:t>Virgilio</w:t>
      </w:r>
      <w:proofErr w:type="spellEnd"/>
      <w:r>
        <w:rPr>
          <w:rFonts w:ascii="Times New Roman" w:hAnsi="Times New Roman"/>
        </w:rPr>
        <w:t xml:space="preserve"> </w:t>
      </w:r>
      <w:proofErr w:type="spellStart"/>
      <w:r>
        <w:rPr>
          <w:rFonts w:ascii="Times New Roman" w:hAnsi="Times New Roman"/>
        </w:rPr>
        <w:t>Marrone</w:t>
      </w:r>
      <w:proofErr w:type="spellEnd"/>
      <w:r>
        <w:rPr>
          <w:rFonts w:ascii="Times New Roman" w:hAnsi="Times New Roman"/>
        </w:rPr>
        <w:t xml:space="preserve">, Alistair </w:t>
      </w:r>
      <w:proofErr w:type="spellStart"/>
      <w:r>
        <w:rPr>
          <w:rFonts w:ascii="Times New Roman" w:hAnsi="Times New Roman"/>
        </w:rPr>
        <w:t>Featherstone</w:t>
      </w:r>
      <w:proofErr w:type="spellEnd"/>
      <w:r>
        <w:rPr>
          <w:rFonts w:ascii="Times New Roman" w:hAnsi="Times New Roman"/>
        </w:rPr>
        <w:t xml:space="preserve">, Stephen </w:t>
      </w:r>
      <w:proofErr w:type="spellStart"/>
      <w:r>
        <w:rPr>
          <w:rFonts w:ascii="Times New Roman" w:hAnsi="Times New Roman"/>
        </w:rPr>
        <w:t>Woodhead</w:t>
      </w:r>
      <w:proofErr w:type="spellEnd"/>
      <w:r>
        <w:rPr>
          <w:rFonts w:ascii="Times New Roman" w:hAnsi="Times New Roman"/>
        </w:rPr>
        <w:t xml:space="preserve">, Michael </w:t>
      </w:r>
      <w:proofErr w:type="spellStart"/>
      <w:r>
        <w:rPr>
          <w:rFonts w:ascii="Times New Roman" w:hAnsi="Times New Roman"/>
        </w:rPr>
        <w:t>O’Donnell</w:t>
      </w:r>
      <w:proofErr w:type="spellEnd"/>
      <w:r>
        <w:rPr>
          <w:rFonts w:ascii="Times New Roman" w:hAnsi="Times New Roman"/>
        </w:rPr>
        <w:t xml:space="preserve">, Sergio </w:t>
      </w:r>
      <w:proofErr w:type="spellStart"/>
      <w:r>
        <w:rPr>
          <w:rFonts w:ascii="Times New Roman" w:hAnsi="Times New Roman"/>
        </w:rPr>
        <w:t>Marchionne</w:t>
      </w:r>
      <w:proofErr w:type="spellEnd"/>
      <w:r>
        <w:rPr>
          <w:rFonts w:ascii="Times New Roman" w:hAnsi="Times New Roman"/>
        </w:rPr>
        <w:t xml:space="preserve">, Lupo </w:t>
      </w:r>
      <w:proofErr w:type="spellStart"/>
      <w:r>
        <w:rPr>
          <w:rFonts w:ascii="Times New Roman" w:hAnsi="Times New Roman"/>
        </w:rPr>
        <w:t>Rattazi</w:t>
      </w:r>
      <w:proofErr w:type="spellEnd"/>
      <w:r>
        <w:rPr>
          <w:rFonts w:ascii="Times New Roman" w:hAnsi="Times New Roman"/>
        </w:rPr>
        <w:t xml:space="preserve">, </w:t>
      </w:r>
      <w:proofErr w:type="spellStart"/>
      <w:r>
        <w:rPr>
          <w:rFonts w:ascii="Times New Roman" w:hAnsi="Times New Roman"/>
        </w:rPr>
        <w:t>Teodorani</w:t>
      </w:r>
      <w:proofErr w:type="spellEnd"/>
      <w:r>
        <w:rPr>
          <w:rFonts w:ascii="Times New Roman" w:hAnsi="Times New Roman"/>
        </w:rPr>
        <w:t xml:space="preserve"> </w:t>
      </w:r>
      <w:proofErr w:type="spellStart"/>
      <w:r>
        <w:rPr>
          <w:rFonts w:ascii="Times New Roman" w:hAnsi="Times New Roman"/>
        </w:rPr>
        <w:t>Fabbri</w:t>
      </w:r>
      <w:proofErr w:type="spellEnd"/>
      <w:r>
        <w:rPr>
          <w:rFonts w:ascii="Times New Roman" w:hAnsi="Times New Roman"/>
        </w:rPr>
        <w:t xml:space="preserve">, Antonio </w:t>
      </w:r>
      <w:proofErr w:type="spellStart"/>
      <w:r>
        <w:rPr>
          <w:rFonts w:ascii="Times New Roman" w:hAnsi="Times New Roman"/>
        </w:rPr>
        <w:t>Marroco</w:t>
      </w:r>
      <w:proofErr w:type="spellEnd"/>
      <w:r>
        <w:rPr>
          <w:rFonts w:ascii="Times New Roman" w:hAnsi="Times New Roman"/>
        </w:rPr>
        <w:t xml:space="preserve">, Claudio </w:t>
      </w:r>
      <w:proofErr w:type="spellStart"/>
      <w:r>
        <w:rPr>
          <w:rFonts w:ascii="Times New Roman" w:hAnsi="Times New Roman"/>
        </w:rPr>
        <w:t>Salini</w:t>
      </w:r>
      <w:proofErr w:type="spellEnd"/>
      <w:r>
        <w:rPr>
          <w:rFonts w:ascii="Times New Roman" w:hAnsi="Times New Roman"/>
        </w:rPr>
        <w:t xml:space="preserve"> i Antonio Rosati. Skarżący </w:t>
      </w:r>
      <w:proofErr w:type="spellStart"/>
      <w:r>
        <w:rPr>
          <w:rFonts w:ascii="Times New Roman" w:hAnsi="Times New Roman"/>
        </w:rPr>
        <w:t>Marrone</w:t>
      </w:r>
      <w:proofErr w:type="spellEnd"/>
      <w:r>
        <w:rPr>
          <w:rFonts w:ascii="Times New Roman" w:hAnsi="Times New Roman"/>
        </w:rPr>
        <w:t xml:space="preserve"> wypowiedział się równie wyraźnie, występując o przesłuchanie świadków: Andrea </w:t>
      </w:r>
      <w:proofErr w:type="spellStart"/>
      <w:r>
        <w:rPr>
          <w:rFonts w:ascii="Times New Roman" w:hAnsi="Times New Roman"/>
        </w:rPr>
        <w:t>Griva</w:t>
      </w:r>
      <w:proofErr w:type="spellEnd"/>
      <w:r>
        <w:rPr>
          <w:rFonts w:ascii="Times New Roman" w:hAnsi="Times New Roman"/>
        </w:rPr>
        <w:t xml:space="preserve"> i John </w:t>
      </w:r>
      <w:proofErr w:type="spellStart"/>
      <w:r>
        <w:rPr>
          <w:rFonts w:ascii="Times New Roman" w:hAnsi="Times New Roman"/>
        </w:rPr>
        <w:t>Winteler</w:t>
      </w:r>
      <w:proofErr w:type="spellEnd"/>
      <w:r>
        <w:rPr>
          <w:rFonts w:ascii="Times New Roman" w:hAnsi="Times New Roman"/>
        </w:rPr>
        <w:t xml:space="preserve"> na okoliczność faktów, jakie zostały przez nich opisane w ich uprzednich pisemnych zeznaniach oraz zastrzegając prawo do wystąpienia z dalszymi wnioskami dowodowymi w świetle przyszłych oświadczeń CONSOB (</w:t>
      </w:r>
      <w:proofErr w:type="spellStart"/>
      <w:r>
        <w:rPr>
          <w:rFonts w:ascii="Times New Roman" w:hAnsi="Times New Roman"/>
          <w:i/>
        </w:rPr>
        <w:t>riserva</w:t>
      </w:r>
      <w:proofErr w:type="spellEnd"/>
      <w:r>
        <w:rPr>
          <w:rFonts w:ascii="Times New Roman" w:hAnsi="Times New Roman"/>
          <w:i/>
        </w:rPr>
        <w:t xml:space="preserve"> di </w:t>
      </w:r>
      <w:proofErr w:type="spellStart"/>
      <w:r>
        <w:rPr>
          <w:rFonts w:ascii="Times New Roman" w:hAnsi="Times New Roman"/>
          <w:i/>
        </w:rPr>
        <w:t>ulteriore</w:t>
      </w:r>
      <w:proofErr w:type="spellEnd"/>
      <w:r>
        <w:rPr>
          <w:rFonts w:ascii="Times New Roman" w:hAnsi="Times New Roman"/>
          <w:i/>
        </w:rPr>
        <w:t xml:space="preserve"> </w:t>
      </w:r>
      <w:proofErr w:type="spellStart"/>
      <w:r>
        <w:rPr>
          <w:rFonts w:ascii="Times New Roman" w:hAnsi="Times New Roman"/>
          <w:i/>
        </w:rPr>
        <w:t>istanze</w:t>
      </w:r>
      <w:proofErr w:type="spellEnd"/>
      <w:r>
        <w:rPr>
          <w:rFonts w:ascii="Times New Roman" w:hAnsi="Times New Roman"/>
          <w:i/>
        </w:rPr>
        <w:t xml:space="preserve"> </w:t>
      </w:r>
      <w:proofErr w:type="spellStart"/>
      <w:r>
        <w:rPr>
          <w:rFonts w:ascii="Times New Roman" w:hAnsi="Times New Roman"/>
          <w:i/>
        </w:rPr>
        <w:t>istruttorie</w:t>
      </w:r>
      <w:proofErr w:type="spellEnd"/>
      <w:r>
        <w:rPr>
          <w:rFonts w:ascii="Times New Roman" w:hAnsi="Times New Roman"/>
        </w:rPr>
        <w:t xml:space="preserve">).  </w:t>
      </w:r>
    </w:p>
  </w:footnote>
  <w:footnote w:id="20">
    <w:p w14:paraId="2829D2F8" w14:textId="27F44C32" w:rsidR="002D78FF" w:rsidRPr="0013422D" w:rsidRDefault="002D78FF" w:rsidP="000D5DD6">
      <w:pPr>
        <w:pStyle w:val="Tekstprzypisudolnego"/>
      </w:pPr>
      <w:r w:rsidRPr="0041557E">
        <w:rPr>
          <w:rStyle w:val="Odwoanieprzypisudolnego"/>
        </w:rPr>
        <w:footnoteRef/>
      </w:r>
      <w:r>
        <w:t xml:space="preserve">  Punkt </w:t>
      </w:r>
      <w:r>
        <w:rPr>
          <w:rFonts w:ascii="Times New Roman" w:hAnsi="Times New Roman"/>
        </w:rPr>
        <w:t>6 ustępu 23 ustawy nr 689/1981.</w:t>
      </w:r>
    </w:p>
  </w:footnote>
  <w:footnote w:id="21">
    <w:p w14:paraId="678F35E1" w14:textId="621BDC66"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sidRPr="0041557E">
        <w:rPr>
          <w:rFonts w:ascii="Times New Roman" w:hAnsi="Times New Roman"/>
          <w:vertAlign w:val="superscript"/>
        </w:rPr>
        <w:t>  </w:t>
      </w:r>
      <w:r>
        <w:rPr>
          <w:rFonts w:ascii="Times New Roman" w:hAnsi="Times New Roman"/>
        </w:rPr>
        <w:t xml:space="preserve">Niezrozumiałe jest, że sąd apelacyjny podjął decyzję w ogólnej sprawie </w:t>
      </w:r>
      <w:r>
        <w:rPr>
          <w:rFonts w:ascii="Times New Roman" w:hAnsi="Times New Roman"/>
          <w:i/>
        </w:rPr>
        <w:t xml:space="preserve">dolus </w:t>
      </w:r>
      <w:proofErr w:type="spellStart"/>
      <w:r>
        <w:rPr>
          <w:rFonts w:ascii="Times New Roman" w:hAnsi="Times New Roman"/>
          <w:i/>
        </w:rPr>
        <w:t>malus</w:t>
      </w:r>
      <w:proofErr w:type="spellEnd"/>
      <w:r>
        <w:rPr>
          <w:rFonts w:ascii="Times New Roman" w:hAnsi="Times New Roman"/>
        </w:rPr>
        <w:t xml:space="preserve"> Pana Grande Stevensa, a w szczególności w sprawie stwierdzenia, czy jego rzekomy błąd prawny był spowodowany przez CONSOB, nawet bez jego przesłuchania i wyłącznie na podstawie zeznań złożonych przez świadków oskarżenia, Pana </w:t>
      </w:r>
      <w:proofErr w:type="spellStart"/>
      <w:r>
        <w:rPr>
          <w:rFonts w:ascii="Times New Roman" w:hAnsi="Times New Roman"/>
        </w:rPr>
        <w:t>Salini</w:t>
      </w:r>
      <w:proofErr w:type="spellEnd"/>
      <w:r>
        <w:rPr>
          <w:rFonts w:ascii="Times New Roman" w:hAnsi="Times New Roman"/>
        </w:rPr>
        <w:t xml:space="preserve"> i Pana Rosati (strony 38 i 39 wyroku sądu apelacyjnego). Niezwykle istotne było skonfrontowanie tych świadków z Panem Grande Stevensem, w celu oceny aspektu podmiotowego jego rzekomego przestępstwa, a także przedstawicielami Merrill Lynch, a mianowicie Panem Enrico </w:t>
      </w:r>
      <w:proofErr w:type="spellStart"/>
      <w:r>
        <w:rPr>
          <w:rFonts w:ascii="Times New Roman" w:hAnsi="Times New Roman"/>
        </w:rPr>
        <w:t>Chiapparoli</w:t>
      </w:r>
      <w:proofErr w:type="spellEnd"/>
      <w:r>
        <w:rPr>
          <w:rFonts w:ascii="Times New Roman" w:hAnsi="Times New Roman"/>
        </w:rPr>
        <w:t xml:space="preserve"> i Panem Maurizio </w:t>
      </w:r>
      <w:proofErr w:type="spellStart"/>
      <w:r>
        <w:rPr>
          <w:rFonts w:ascii="Times New Roman" w:hAnsi="Times New Roman"/>
        </w:rPr>
        <w:t>Tamagnini</w:t>
      </w:r>
      <w:proofErr w:type="spellEnd"/>
      <w:r>
        <w:rPr>
          <w:rFonts w:ascii="Times New Roman" w:hAnsi="Times New Roman"/>
        </w:rPr>
        <w:t xml:space="preserve">, w celu oceny, czy zostały przekazane fałszywe informacje (zobacz również zeznania świadków Lupo </w:t>
      </w:r>
      <w:proofErr w:type="spellStart"/>
      <w:r>
        <w:rPr>
          <w:rFonts w:ascii="Times New Roman" w:hAnsi="Times New Roman"/>
        </w:rPr>
        <w:t>Ratazziego</w:t>
      </w:r>
      <w:proofErr w:type="spellEnd"/>
      <w:r>
        <w:rPr>
          <w:rFonts w:ascii="Times New Roman" w:hAnsi="Times New Roman"/>
        </w:rPr>
        <w:t xml:space="preserve">, Pio </w:t>
      </w:r>
      <w:proofErr w:type="spellStart"/>
      <w:r>
        <w:rPr>
          <w:rFonts w:ascii="Times New Roman" w:hAnsi="Times New Roman"/>
        </w:rPr>
        <w:t>Fabbriego</w:t>
      </w:r>
      <w:proofErr w:type="spellEnd"/>
      <w:r>
        <w:rPr>
          <w:rFonts w:ascii="Times New Roman" w:hAnsi="Times New Roman"/>
        </w:rPr>
        <w:t xml:space="preserve"> i Antonio </w:t>
      </w:r>
      <w:proofErr w:type="spellStart"/>
      <w:r>
        <w:rPr>
          <w:rFonts w:ascii="Times New Roman" w:hAnsi="Times New Roman"/>
        </w:rPr>
        <w:t>Marocco</w:t>
      </w:r>
      <w:proofErr w:type="spellEnd"/>
      <w:r>
        <w:rPr>
          <w:rFonts w:ascii="Times New Roman" w:hAnsi="Times New Roman"/>
        </w:rPr>
        <w:t>, które zaprzeczają teorii CONSOB). Z tego tytułu niedopuszczalne są argumenty, jakie zostały przedstawione przez Rząd w oświadczeniu z 7 czerwca 2013 roku, strony 58 i 59, że „szczególny charakter i poziom zaawansowania przestępstw przeciwko rynkowi nie podlega procedurze „ustnej”, czyniąc konieczną … procedurę zasadniczo ustną.”</w:t>
      </w:r>
    </w:p>
  </w:footnote>
  <w:footnote w:id="22">
    <w:p w14:paraId="7C12E502" w14:textId="61E324C5" w:rsidR="002D78FF" w:rsidRPr="0013422D" w:rsidRDefault="002D78FF" w:rsidP="000D5DD6">
      <w:pPr>
        <w:pStyle w:val="Tekstprzypisudolnego"/>
      </w:pPr>
      <w:r w:rsidRPr="0041557E">
        <w:rPr>
          <w:rStyle w:val="Odwoanieprzypisudolnego"/>
          <w:rFonts w:ascii="Times New Roman" w:hAnsi="Times New Roman"/>
        </w:rPr>
        <w:footnoteRef/>
      </w:r>
      <w:r>
        <w:rPr>
          <w:rFonts w:ascii="Times New Roman" w:hAnsi="Times New Roman"/>
        </w:rPr>
        <w:t xml:space="preserve">  Skarżący wielokrotnie przedstawiali dokładnie tę skargę do Trybunału w swoich sprzeciwach i w późniejszych oświadczeniach. A zatem, ostatnie zdanie punktu 150 wyroku jest po prostu niepoprawne, a w istocie sprzeczne z oświadczeniami zawartymi w punktach 110 i 117, ostatnie zdanie, wyroku. </w:t>
      </w:r>
    </w:p>
  </w:footnote>
  <w:footnote w:id="23">
    <w:p w14:paraId="7BE8699F" w14:textId="6909E947"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Wiodącą sprawą jest sprawa </w:t>
      </w:r>
      <w:proofErr w:type="spellStart"/>
      <w:r>
        <w:rPr>
          <w:rFonts w:ascii="Times New Roman" w:hAnsi="Times New Roman"/>
          <w:i/>
        </w:rPr>
        <w:t>Ekbatani</w:t>
      </w:r>
      <w:proofErr w:type="spellEnd"/>
      <w:r>
        <w:rPr>
          <w:rFonts w:ascii="Times New Roman" w:hAnsi="Times New Roman"/>
          <w:i/>
        </w:rPr>
        <w:t xml:space="preserve"> przeciwko Szwecji (Plenarna)</w:t>
      </w:r>
      <w:r>
        <w:rPr>
          <w:rFonts w:ascii="Times New Roman" w:hAnsi="Times New Roman"/>
        </w:rPr>
        <w:t xml:space="preserve">, nr 10563/83, 26 maja 1988 roku. W punktach 32 i 33 tego wyroku stwierdza się naruszenie artykułu 6, w szczególności z tytułu braku przeprowadzenia rozprawy dla wnioskodawcy i skarżącego w sytuacji, gdzie pożądane było ponowne rozpatrzenie podstaw prawnych i okoliczności sprawy przez sąd drugiej instancji. Należy podkreślić, że naruszenie stwierdza się pomimo faktu, że sąd pierwszej instancji ustalił zarzuty karne przedstawione wnioskodawcy po tym, jak przeprowadził jawną rozprawę, na której wnioskodawca się stawił, przedstawił dowody i złożył swoje wyjaśnienia w sprawie. W niniejszej sprawie, Sąd Apelacyjny w Turynie występował jako sąd pierwszej instancji, co oznaczało, że przesłuchanie świadków i skarżących podczas jawnej rozprawy przed sądem było tym bardziej konieczne. </w:t>
      </w:r>
    </w:p>
  </w:footnote>
  <w:footnote w:id="24">
    <w:p w14:paraId="1E28E82F" w14:textId="53BDB9B6"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W sprawie </w:t>
      </w:r>
      <w:proofErr w:type="spellStart"/>
      <w:r>
        <w:rPr>
          <w:rFonts w:ascii="Times New Roman" w:hAnsi="Times New Roman"/>
          <w:i/>
        </w:rPr>
        <w:t>Tierce</w:t>
      </w:r>
      <w:proofErr w:type="spellEnd"/>
      <w:r>
        <w:rPr>
          <w:rFonts w:ascii="Times New Roman" w:hAnsi="Times New Roman"/>
          <w:i/>
        </w:rPr>
        <w:t xml:space="preserve"> i inni przeciwko San Marino</w:t>
      </w:r>
      <w:r>
        <w:rPr>
          <w:rFonts w:ascii="Times New Roman" w:hAnsi="Times New Roman"/>
        </w:rPr>
        <w:t xml:space="preserve">, nr  24954/94, 24971/94 i 24972/94, 25 lipca 2000 roku, skarżącym odmówiono jawnej rozprawy w ramach postępowania apelacyjnego, podczas której mogliby być obecni i osobiście przedstawić dowody. Podobnie jak Pan Grande Stevens, Pan </w:t>
      </w:r>
      <w:proofErr w:type="spellStart"/>
      <w:r>
        <w:rPr>
          <w:rFonts w:ascii="Times New Roman" w:hAnsi="Times New Roman"/>
        </w:rPr>
        <w:t>Tierce</w:t>
      </w:r>
      <w:proofErr w:type="spellEnd"/>
      <w:r>
        <w:rPr>
          <w:rFonts w:ascii="Times New Roman" w:hAnsi="Times New Roman"/>
        </w:rPr>
        <w:t xml:space="preserve"> argumentował dokładnie tak, że element podmiotowy (czyli intencja popełnienia oszustwa) przestępstwa nie został wykazany. W innej sprawie, Trybunał posunął się nawet dalej i orzekł, że nawet obecność informacji poufnych w aktach sprawy nie oznacza konieczności utajnienia rozprawy, bez zrównoważenia otwartości procesu ze względami krajowego bezpieczeństwa (</w:t>
      </w:r>
      <w:proofErr w:type="spellStart"/>
      <w:r>
        <w:rPr>
          <w:rFonts w:ascii="Times New Roman" w:hAnsi="Times New Roman"/>
          <w:i/>
        </w:rPr>
        <w:t>Belashev</w:t>
      </w:r>
      <w:proofErr w:type="spellEnd"/>
      <w:r>
        <w:rPr>
          <w:rFonts w:ascii="Times New Roman" w:hAnsi="Times New Roman"/>
          <w:i/>
        </w:rPr>
        <w:t xml:space="preserve"> przeciwko Rosji</w:t>
      </w:r>
      <w:r>
        <w:rPr>
          <w:rFonts w:ascii="Times New Roman" w:hAnsi="Times New Roman"/>
        </w:rPr>
        <w:t>, nr 28617/03, 4 grudnia 2008 roku).</w:t>
      </w:r>
    </w:p>
  </w:footnote>
  <w:footnote w:id="25">
    <w:p w14:paraId="22600A73" w14:textId="308A4EBD" w:rsidR="002D78FF" w:rsidRPr="0013422D" w:rsidRDefault="002D78FF" w:rsidP="000D5DD6">
      <w:pPr>
        <w:pStyle w:val="Tekstprzypisudolnego"/>
      </w:pPr>
      <w:r w:rsidRPr="0041557E">
        <w:rPr>
          <w:rStyle w:val="Odwoanieprzypisudolnego"/>
        </w:rPr>
        <w:footnoteRef/>
      </w:r>
      <w:r>
        <w:t xml:space="preserve"> Sędzia </w:t>
      </w:r>
      <w:proofErr w:type="spellStart"/>
      <w:r>
        <w:t>Karakaş</w:t>
      </w:r>
      <w:proofErr w:type="spellEnd"/>
      <w:r>
        <w:t xml:space="preserve"> nie sprzeciwia się większości, jeżeli chodzi o prawomocność zmiany oskarżenia przez sąd apelacyjny. </w:t>
      </w:r>
    </w:p>
  </w:footnote>
  <w:footnote w:id="26">
    <w:p w14:paraId="597D9A2B" w14:textId="44FB7769" w:rsidR="002D78FF" w:rsidRPr="0013422D" w:rsidRDefault="002D78FF" w:rsidP="000D5DD6">
      <w:pPr>
        <w:pStyle w:val="Tekstprzypisudolnego"/>
      </w:pPr>
      <w:r w:rsidRPr="00DA2068">
        <w:rPr>
          <w:rStyle w:val="Odwoanieprzypisudolnego"/>
        </w:rPr>
        <w:footnoteRef/>
      </w:r>
      <w:r w:rsidRPr="0041557E">
        <w:t>  </w:t>
      </w:r>
      <w:r>
        <w:rPr>
          <w:rFonts w:ascii="Times New Roman" w:hAnsi="Times New Roman"/>
        </w:rPr>
        <w:t>Zgodnie z ustępem 14 ustawy nr 689/1981, podejrzany nie może być skazany w związku z okolicznościami, jakie nie zostały mu zarzucone w akcie oskarżenia (wyroki Sądu Kasacyjnego nr 10145 z 2 maja 2006 roku i nr 9528 z 8 września 1999 roku).</w:t>
      </w:r>
    </w:p>
  </w:footnote>
  <w:footnote w:id="27">
    <w:p w14:paraId="42904CE5" w14:textId="7E20CD4F" w:rsidR="002D78FF" w:rsidRPr="0013422D" w:rsidRDefault="002D78FF" w:rsidP="000D5DD6">
      <w:pPr>
        <w:pStyle w:val="Tekstprzypisudolnego"/>
      </w:pPr>
      <w:r w:rsidRPr="0041557E">
        <w:rPr>
          <w:rStyle w:val="Odwoanieprzypisudolnego"/>
        </w:rPr>
        <w:footnoteRef/>
      </w:r>
      <w:r w:rsidRPr="0041557E">
        <w:rPr>
          <w:vertAlign w:val="superscript"/>
        </w:rPr>
        <w:t>  </w:t>
      </w:r>
      <w:r>
        <w:t xml:space="preserve">Artykuł </w:t>
      </w:r>
      <w:r>
        <w:rPr>
          <w:rFonts w:ascii="Times New Roman" w:hAnsi="Times New Roman"/>
        </w:rPr>
        <w:t xml:space="preserve">187 </w:t>
      </w:r>
      <w:proofErr w:type="spellStart"/>
      <w:r>
        <w:rPr>
          <w:rFonts w:ascii="Times New Roman" w:hAnsi="Times New Roman"/>
          <w:i/>
        </w:rPr>
        <w:t>septies</w:t>
      </w:r>
      <w:proofErr w:type="spellEnd"/>
      <w:r>
        <w:rPr>
          <w:rFonts w:ascii="Times New Roman" w:hAnsi="Times New Roman"/>
        </w:rPr>
        <w:t xml:space="preserve"> nr 2 TUF.</w:t>
      </w:r>
    </w:p>
  </w:footnote>
  <w:footnote w:id="28">
    <w:p w14:paraId="34E2CEE6" w14:textId="4B714B8E"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vertAlign w:val="superscript"/>
        </w:rPr>
        <w:t xml:space="preserve"> </w:t>
      </w:r>
      <w:r>
        <w:rPr>
          <w:rFonts w:ascii="Times New Roman" w:hAnsi="Times New Roman"/>
        </w:rPr>
        <w:t> Zobacz strona 137 decyzji CONSOB z 9 lutego 2007 roku.</w:t>
      </w:r>
    </w:p>
  </w:footnote>
  <w:footnote w:id="29">
    <w:p w14:paraId="7C2821FF" w14:textId="546C6A2A"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sidRPr="0041557E">
        <w:rPr>
          <w:rFonts w:ascii="Times New Roman" w:hAnsi="Times New Roman"/>
          <w:vertAlign w:val="superscript"/>
        </w:rPr>
        <w:t> </w:t>
      </w:r>
      <w:r>
        <w:rPr>
          <w:rFonts w:ascii="Times New Roman" w:hAnsi="Times New Roman"/>
        </w:rPr>
        <w:t xml:space="preserve"> Ma to zastosowanie nawet w odniesieniu do przestępstw, które nie są </w:t>
      </w:r>
      <w:proofErr w:type="spellStart"/>
      <w:r>
        <w:rPr>
          <w:rFonts w:ascii="Times New Roman" w:hAnsi="Times New Roman"/>
          <w:i/>
        </w:rPr>
        <w:t>illecito</w:t>
      </w:r>
      <w:proofErr w:type="spellEnd"/>
      <w:r>
        <w:rPr>
          <w:rFonts w:ascii="Times New Roman" w:hAnsi="Times New Roman"/>
          <w:i/>
        </w:rPr>
        <w:t xml:space="preserve"> </w:t>
      </w:r>
      <w:proofErr w:type="spellStart"/>
      <w:r>
        <w:rPr>
          <w:rFonts w:ascii="Times New Roman" w:hAnsi="Times New Roman"/>
          <w:i/>
        </w:rPr>
        <w:t>proprio</w:t>
      </w:r>
      <w:proofErr w:type="spellEnd"/>
      <w:r>
        <w:rPr>
          <w:rFonts w:ascii="Times New Roman" w:hAnsi="Times New Roman"/>
        </w:rPr>
        <w:t xml:space="preserve">, tzn. przestępstw, które mogą być jedynie popełnione przez pewne kategorie osób. Nawet jeżeli zarzucane przestępstwo administracyjne manipulacji rynkowej określone w artykule 187 </w:t>
      </w:r>
      <w:r>
        <w:rPr>
          <w:rFonts w:ascii="Times New Roman" w:hAnsi="Times New Roman"/>
          <w:i/>
        </w:rPr>
        <w:t>ter</w:t>
      </w:r>
      <w:r>
        <w:rPr>
          <w:rFonts w:ascii="Times New Roman" w:hAnsi="Times New Roman"/>
        </w:rPr>
        <w:t xml:space="preserve"> TUF nie stanowi </w:t>
      </w:r>
      <w:proofErr w:type="spellStart"/>
      <w:r>
        <w:rPr>
          <w:rFonts w:ascii="Times New Roman" w:hAnsi="Times New Roman"/>
          <w:i/>
        </w:rPr>
        <w:t>illecito</w:t>
      </w:r>
      <w:proofErr w:type="spellEnd"/>
      <w:r>
        <w:rPr>
          <w:rFonts w:ascii="Times New Roman" w:hAnsi="Times New Roman"/>
          <w:i/>
        </w:rPr>
        <w:t xml:space="preserve"> </w:t>
      </w:r>
      <w:proofErr w:type="spellStart"/>
      <w:r>
        <w:rPr>
          <w:rFonts w:ascii="Times New Roman" w:hAnsi="Times New Roman"/>
          <w:i/>
        </w:rPr>
        <w:t>proprio</w:t>
      </w:r>
      <w:proofErr w:type="spellEnd"/>
      <w:r>
        <w:rPr>
          <w:rFonts w:ascii="Times New Roman" w:hAnsi="Times New Roman"/>
        </w:rPr>
        <w:t xml:space="preserve">, nie uwalnia to prokuratora od obowiązku opisania w oskarżeniu głównych cech postępowania sprawcy, które są istotne dla celów postawienia zarzutów, a fakt dotyczący charakteru uczestnictwa pozwanego w przestępstwie bez wątpienia stanowi główną cechę, jaka musi być określona w oskarżeniu.  </w:t>
      </w:r>
    </w:p>
  </w:footnote>
  <w:footnote w:id="30">
    <w:p w14:paraId="2AAD28AD" w14:textId="5E31B675"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sidRPr="0041557E">
        <w:rPr>
          <w:rFonts w:ascii="Times New Roman" w:hAnsi="Times New Roman"/>
          <w:vertAlign w:val="superscript"/>
        </w:rPr>
        <w:t> </w:t>
      </w:r>
      <w:r>
        <w:rPr>
          <w:rFonts w:ascii="Times New Roman" w:hAnsi="Times New Roman"/>
        </w:rPr>
        <w:t> Ustęp 39 (3) prawa nr 262 z 28 grudnia 2005 roku podnosi górną granicę do 25 milionów Euro.</w:t>
      </w:r>
    </w:p>
  </w:footnote>
  <w:footnote w:id="31">
    <w:p w14:paraId="4FFE4432" w14:textId="3431813E"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Zasada ta idzie dużo dalej niż zasada określona w ustępie 17 (4) niemieckiej </w:t>
      </w:r>
      <w:proofErr w:type="spellStart"/>
      <w:r>
        <w:rPr>
          <w:rFonts w:ascii="Times New Roman" w:hAnsi="Times New Roman"/>
          <w:i/>
        </w:rPr>
        <w:t>Ordnungswidrigkeitengesetz</w:t>
      </w:r>
      <w:proofErr w:type="spellEnd"/>
      <w:r>
        <w:rPr>
          <w:rFonts w:ascii="Times New Roman" w:hAnsi="Times New Roman"/>
          <w:i/>
        </w:rPr>
        <w:t xml:space="preserve"> </w:t>
      </w:r>
      <w:r>
        <w:rPr>
          <w:rFonts w:ascii="Times New Roman" w:hAnsi="Times New Roman"/>
        </w:rPr>
        <w:t xml:space="preserve">(ustawa o wykroczeniach przeciwko prawu, </w:t>
      </w:r>
      <w:proofErr w:type="spellStart"/>
      <w:r>
        <w:rPr>
          <w:rFonts w:ascii="Times New Roman" w:hAnsi="Times New Roman"/>
        </w:rPr>
        <w:t>OWiG</w:t>
      </w:r>
      <w:proofErr w:type="spellEnd"/>
      <w:r>
        <w:rPr>
          <w:rFonts w:ascii="Times New Roman" w:hAnsi="Times New Roman"/>
        </w:rPr>
        <w:t xml:space="preserve">), która pozwala na zastosowanie kary pieniężnej będącej równowartością kwoty zysków z przestępstwa, nawet wówczas, gdy są one wyższe niż ustawowy górny limit kary, a nawet dalej niż artykuł 18 (2) portugalskiego </w:t>
      </w:r>
      <w:r>
        <w:rPr>
          <w:rFonts w:ascii="Times New Roman" w:hAnsi="Times New Roman"/>
          <w:i/>
        </w:rPr>
        <w:t xml:space="preserve">Regime </w:t>
      </w:r>
      <w:proofErr w:type="spellStart"/>
      <w:r>
        <w:rPr>
          <w:rFonts w:ascii="Times New Roman" w:hAnsi="Times New Roman"/>
          <w:i/>
        </w:rPr>
        <w:t>Geral</w:t>
      </w:r>
      <w:proofErr w:type="spellEnd"/>
      <w:r>
        <w:rPr>
          <w:rFonts w:ascii="Times New Roman" w:hAnsi="Times New Roman"/>
          <w:i/>
        </w:rPr>
        <w:t xml:space="preserve"> </w:t>
      </w:r>
      <w:proofErr w:type="spellStart"/>
      <w:r>
        <w:rPr>
          <w:rFonts w:ascii="Times New Roman" w:hAnsi="Times New Roman"/>
          <w:i/>
        </w:rPr>
        <w:t>das</w:t>
      </w:r>
      <w:proofErr w:type="spellEnd"/>
      <w:r>
        <w:rPr>
          <w:rFonts w:ascii="Times New Roman" w:hAnsi="Times New Roman"/>
          <w:i/>
        </w:rPr>
        <w:t xml:space="preserve"> Contra-</w:t>
      </w:r>
      <w:proofErr w:type="spellStart"/>
      <w:r>
        <w:rPr>
          <w:rFonts w:ascii="Times New Roman" w:hAnsi="Times New Roman"/>
          <w:i/>
        </w:rPr>
        <w:t>Ordenações</w:t>
      </w:r>
      <w:proofErr w:type="spellEnd"/>
      <w:r>
        <w:rPr>
          <w:rFonts w:ascii="Times New Roman" w:hAnsi="Times New Roman"/>
        </w:rPr>
        <w:t xml:space="preserve"> (Generalnego reżimu dotyczącego wykroczeń przeciwko przepisom, RGCO), który określa tę samą zasadę, jednak z takim ograniczeniem, że podwyższenie kary stanowiącej równowartość zysków osiąganych z popełnienia przestępstwa nie może przewyższyć jednej trzeciej ustawowej górnej granicy kary.    </w:t>
      </w:r>
    </w:p>
  </w:footnote>
  <w:footnote w:id="32">
    <w:p w14:paraId="688B19B6" w14:textId="6A380016" w:rsidR="002D78FF" w:rsidRPr="0013422D" w:rsidRDefault="002D78FF" w:rsidP="000D5DD6">
      <w:pPr>
        <w:pStyle w:val="Tekstprzypisudolnego"/>
      </w:pPr>
      <w:r w:rsidRPr="0041557E">
        <w:rPr>
          <w:rStyle w:val="Odwoanieprzypisudolnego"/>
        </w:rPr>
        <w:footnoteRef/>
      </w:r>
      <w:r w:rsidRPr="0041557E">
        <w:rPr>
          <w:vertAlign w:val="superscript"/>
        </w:rPr>
        <w:t> </w:t>
      </w:r>
      <w:r>
        <w:t> </w:t>
      </w:r>
      <w:r>
        <w:rPr>
          <w:rFonts w:ascii="Times New Roman" w:hAnsi="Times New Roman"/>
        </w:rPr>
        <w:t xml:space="preserve">Podobnie jak ustęp 14 niemieckiej </w:t>
      </w:r>
      <w:proofErr w:type="spellStart"/>
      <w:r>
        <w:rPr>
          <w:rFonts w:ascii="Times New Roman" w:hAnsi="Times New Roman"/>
        </w:rPr>
        <w:t>OWiG</w:t>
      </w:r>
      <w:proofErr w:type="spellEnd"/>
      <w:r>
        <w:rPr>
          <w:rFonts w:ascii="Times New Roman" w:hAnsi="Times New Roman"/>
        </w:rPr>
        <w:t xml:space="preserve"> i artykuł 16 portugalskiego RGCO, które określają tzw. „jednolitą koncepcję sprawcy” (</w:t>
      </w:r>
      <w:proofErr w:type="spellStart"/>
      <w:r>
        <w:rPr>
          <w:rFonts w:ascii="Times New Roman" w:hAnsi="Times New Roman"/>
          <w:i/>
        </w:rPr>
        <w:t>Einheitstäter</w:t>
      </w:r>
      <w:proofErr w:type="spellEnd"/>
      <w:r>
        <w:rPr>
          <w:rFonts w:ascii="Times New Roman" w:hAnsi="Times New Roman"/>
          <w:i/>
        </w:rPr>
        <w:t xml:space="preserve"> </w:t>
      </w:r>
      <w:proofErr w:type="spellStart"/>
      <w:r>
        <w:rPr>
          <w:rFonts w:ascii="Times New Roman" w:hAnsi="Times New Roman"/>
          <w:i/>
        </w:rPr>
        <w:t>begriff</w:t>
      </w:r>
      <w:proofErr w:type="spellEnd"/>
      <w:r>
        <w:rPr>
          <w:rFonts w:ascii="Times New Roman" w:hAnsi="Times New Roman"/>
        </w:rPr>
        <w:t xml:space="preserve">), ustęp 5 włoskiej ustawy nr 689/1981 nie rozróżnia formalnie pomiędzy głównym sprawcą a współsprawcami i nie określa znaczących górnych limitów dla sankcji karnych w celu ukarania głównych sprawców i współsprawców w przypadku przestępstw popełnianych przez różne osoby. Niemniej jednak, ukaranie każdego sprawcy zaangażowanego w popełnienie jednego i tego samego przestępstwa musi być adekwatne do obiektywnej powagi jego indywidualnego postępowania oraz jego osobistej subiektywnej winy (zobacz, na przykład, artykuł 187 </w:t>
      </w:r>
      <w:r>
        <w:rPr>
          <w:rFonts w:ascii="Times New Roman" w:hAnsi="Times New Roman"/>
          <w:i/>
        </w:rPr>
        <w:t xml:space="preserve">ter </w:t>
      </w:r>
      <w:r>
        <w:rPr>
          <w:rFonts w:ascii="Times New Roman" w:hAnsi="Times New Roman"/>
        </w:rPr>
        <w:t xml:space="preserve">nr 5 TUF, odnoszący się do „osobistej sytuacji winnego”, a także artykuł 187 </w:t>
      </w:r>
      <w:proofErr w:type="spellStart"/>
      <w:r>
        <w:rPr>
          <w:rFonts w:ascii="Times New Roman" w:hAnsi="Times New Roman"/>
          <w:i/>
        </w:rPr>
        <w:t>quarter</w:t>
      </w:r>
      <w:proofErr w:type="spellEnd"/>
      <w:r>
        <w:rPr>
          <w:rFonts w:ascii="Times New Roman" w:hAnsi="Times New Roman"/>
        </w:rPr>
        <w:t xml:space="preserve"> nr 3 tej samej TUF, odnoszący się do „powagi naruszenia” oraz „stopnia winy”). Zgodnie z tym, co przedstawiono w odniesieniu 14 powyżej, orzecznictwo Sądu Kasacyjnego jest wrażliwe na konieczność dokładnego zważenia tych okoliczności podczas określania sankcji administracyjnych. A to jest dokładnie to, co nie nastąpiło w niniejszej sprawie. </w:t>
      </w:r>
    </w:p>
  </w:footnote>
  <w:footnote w:id="33">
    <w:p w14:paraId="3B665C5E" w14:textId="17853FC1"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sidRPr="0041557E">
        <w:rPr>
          <w:rFonts w:ascii="Times New Roman" w:hAnsi="Times New Roman"/>
          <w:vertAlign w:val="superscript"/>
        </w:rPr>
        <w:t>  </w:t>
      </w:r>
      <w:r>
        <w:rPr>
          <w:rFonts w:ascii="Times New Roman" w:hAnsi="Times New Roman"/>
        </w:rPr>
        <w:t xml:space="preserve">Takie rozumienie zostało potwierdzone w punkcie 77 wyroku </w:t>
      </w:r>
      <w:r>
        <w:t>TSUE</w:t>
      </w:r>
      <w:r>
        <w:rPr>
          <w:rFonts w:ascii="Times New Roman" w:hAnsi="Times New Roman"/>
        </w:rPr>
        <w:t xml:space="preserve"> w sprawie </w:t>
      </w:r>
      <w:proofErr w:type="spellStart"/>
      <w:r>
        <w:rPr>
          <w:rFonts w:ascii="Times New Roman" w:hAnsi="Times New Roman"/>
          <w:i/>
        </w:rPr>
        <w:t>Spector</w:t>
      </w:r>
      <w:proofErr w:type="spellEnd"/>
      <w:r>
        <w:rPr>
          <w:rFonts w:ascii="Times New Roman" w:hAnsi="Times New Roman"/>
          <w:i/>
        </w:rPr>
        <w:t xml:space="preserve"> Photo </w:t>
      </w:r>
      <w:proofErr w:type="spellStart"/>
      <w:r>
        <w:rPr>
          <w:rFonts w:ascii="Times New Roman" w:hAnsi="Times New Roman"/>
          <w:i/>
        </w:rPr>
        <w:t>Group</w:t>
      </w:r>
      <w:proofErr w:type="spellEnd"/>
      <w:r>
        <w:rPr>
          <w:rFonts w:ascii="Times New Roman" w:hAnsi="Times New Roman"/>
          <w:i/>
        </w:rPr>
        <w:t xml:space="preserve"> NV</w:t>
      </w:r>
      <w:r>
        <w:rPr>
          <w:rFonts w:ascii="Times New Roman" w:hAnsi="Times New Roman"/>
        </w:rPr>
        <w:t xml:space="preserve"> z 23 grudnia 2009 roku, nr C-45/08. Ponieważ poziom sankcji administracyjnych różnił się bardzo pomiędzy poszczególnymi państwami członkowskimi, istniejąca rozbieżność sankcjonująca reżimy administracyjne przyczyniała się do arbitralności regulacyjnej. Ponadto, cztery państwa członkowskie nie karały manipulacji rynkowych, a definicja przestępstwa karnego i obowiązujących kar różniła się znacznie między tymi, które je karały. Niedawne zatwierdzenie przez Parlament Europejski nowej dyrektywy dotyczącej sankcji karnych przeciwko nadużyciom rynkowym, a także polityczne poparcie Parlamentu Europejskiego dla politycznego porozumienia w sprawie przyszłego rozporządzenia dotyczącego środków administracyjnych przeciwko takim nadużyciom zmieni scenariusz w Unii Europejskiej. Państwa członkowskie będą musiały zapewnić, by nałożenie sankcji karnych w związku z przestępstwami przewidzianymi w nowej dyrektywie oraz sankcji administracyjnych zgodnie z przyszłym rozporządzeniem nie prowadziło do naruszenia zasady </w:t>
      </w:r>
      <w:proofErr w:type="spellStart"/>
      <w:r>
        <w:rPr>
          <w:rFonts w:ascii="Times New Roman" w:hAnsi="Times New Roman"/>
          <w:i/>
        </w:rPr>
        <w:t>ne</w:t>
      </w:r>
      <w:proofErr w:type="spellEnd"/>
      <w:r>
        <w:rPr>
          <w:rFonts w:ascii="Times New Roman" w:hAnsi="Times New Roman"/>
          <w:i/>
        </w:rPr>
        <w:t xml:space="preserve"> bis in </w:t>
      </w:r>
      <w:proofErr w:type="spellStart"/>
      <w:r>
        <w:rPr>
          <w:rFonts w:ascii="Times New Roman" w:hAnsi="Times New Roman"/>
          <w:i/>
        </w:rPr>
        <w:t>idem</w:t>
      </w:r>
      <w:proofErr w:type="spellEnd"/>
      <w:r>
        <w:rPr>
          <w:rFonts w:ascii="Times New Roman" w:hAnsi="Times New Roman"/>
        </w:rPr>
        <w:t xml:space="preserve">.   </w:t>
      </w:r>
    </w:p>
  </w:footnote>
  <w:footnote w:id="34">
    <w:p w14:paraId="60F268A6" w14:textId="6DEB96F8"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Zgodnie z tym, co potwierdzono wyraźnie w wyrokach Sądu Kasacyjnego z 30 września 2009 roku, przedstawionych w niniejszej sprawie. Rząd w swoich oświadczeniach z 7 czerwca 2013 roku, strona 23, uznaje, że odpowiedzialność z artykułu 25-</w:t>
      </w:r>
      <w:r>
        <w:rPr>
          <w:rFonts w:ascii="Times New Roman" w:hAnsi="Times New Roman"/>
          <w:i/>
        </w:rPr>
        <w:t>sexies</w:t>
      </w:r>
      <w:r>
        <w:rPr>
          <w:rFonts w:ascii="Times New Roman" w:hAnsi="Times New Roman"/>
        </w:rPr>
        <w:t xml:space="preserve"> Dekretu nr 231/2001 „[posiada] wszystkie cechy odpowiedzialności „karnej”.</w:t>
      </w:r>
    </w:p>
  </w:footnote>
  <w:footnote w:id="35">
    <w:p w14:paraId="4EA594BA" w14:textId="020B94DB"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rPr>
        <w:t xml:space="preserve">  Nie można kwestionować faktu, że zastrzeżenie złożone przez Włochy do artykułu 4 Protokołu nr 7 nie jest zgodne z surowymi normami orzecznictwa Trybunału, ponieważ jest zbyt szerokie w swoim zakresie. Ponieważ zastrzeżenie nie ma zastosowania, postanowienie to jest w pełni wiążące dla Państwa Pozwanego.   </w:t>
      </w:r>
    </w:p>
  </w:footnote>
  <w:footnote w:id="36">
    <w:p w14:paraId="4147770A" w14:textId="115A4EE2"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vertAlign w:val="superscript"/>
        </w:rPr>
        <w:t xml:space="preserve"> </w:t>
      </w:r>
      <w:r w:rsidRPr="0041557E">
        <w:rPr>
          <w:rFonts w:ascii="Times New Roman" w:hAnsi="Times New Roman"/>
          <w:vertAlign w:val="superscript"/>
        </w:rPr>
        <w:t> </w:t>
      </w:r>
      <w:r>
        <w:rPr>
          <w:rFonts w:ascii="Times New Roman" w:hAnsi="Times New Roman"/>
        </w:rPr>
        <w:t>Wyrok Sądu Kasacyjnego nr 40393 z 15 października 2012 roku.</w:t>
      </w:r>
    </w:p>
  </w:footnote>
  <w:footnote w:id="37">
    <w:p w14:paraId="6DAEA1CE" w14:textId="5090E5DB" w:rsidR="002D78FF" w:rsidRPr="0013422D" w:rsidRDefault="002D78FF" w:rsidP="000D5DD6">
      <w:pPr>
        <w:pStyle w:val="Tekstprzypisudolnego"/>
        <w:rPr>
          <w:rFonts w:ascii="Times New Roman" w:hAnsi="Times New Roman" w:cs="Times New Roman"/>
        </w:rPr>
      </w:pPr>
      <w:r w:rsidRPr="0041557E">
        <w:rPr>
          <w:rStyle w:val="Odwoanieprzypisudolnego"/>
          <w:rFonts w:ascii="Times New Roman" w:hAnsi="Times New Roman"/>
        </w:rPr>
        <w:footnoteRef/>
      </w:r>
      <w:r>
        <w:rPr>
          <w:rFonts w:ascii="Times New Roman" w:hAnsi="Times New Roman"/>
          <w:vertAlign w:val="superscript"/>
        </w:rPr>
        <w:t xml:space="preserve"> </w:t>
      </w:r>
      <w:r>
        <w:rPr>
          <w:rFonts w:ascii="Times New Roman" w:hAnsi="Times New Roman"/>
        </w:rPr>
        <w:t xml:space="preserve"> Zgodnie z oświadczeniami Rządu z 7 czerwca 2013 roku, strona 8, zasada specjalności ma zastosowanie, gdy dwa przestępstwa mają te same wspólne elementy składowe, jednak jedno z nich ma bardziej określony zakres, ze względu na specyfikację lub uzupełnienie faktów przestępstwa. W niniejszej sprawie, specjalne przestępstwo dominuje.   </w:t>
      </w:r>
    </w:p>
  </w:footnote>
  <w:footnote w:id="38">
    <w:p w14:paraId="5F82609B" w14:textId="61CEE46A" w:rsidR="002D78FF" w:rsidRPr="0013422D" w:rsidRDefault="002D78FF" w:rsidP="000D5DD6">
      <w:pPr>
        <w:pStyle w:val="Tekstprzypisudolnego"/>
      </w:pPr>
      <w:r w:rsidRPr="0041557E">
        <w:rPr>
          <w:rStyle w:val="Odwoanieprzypisudolnego"/>
        </w:rPr>
        <w:footnoteRef/>
      </w:r>
      <w:r>
        <w:t>  </w:t>
      </w:r>
      <w:r>
        <w:rPr>
          <w:rFonts w:ascii="Times New Roman" w:hAnsi="Times New Roman"/>
        </w:rPr>
        <w:t xml:space="preserve">System włoski nie zawiera przepisu podobnego do ustępu 84 niemieckiej </w:t>
      </w:r>
      <w:proofErr w:type="spellStart"/>
      <w:r>
        <w:rPr>
          <w:rFonts w:ascii="Times New Roman" w:hAnsi="Times New Roman"/>
          <w:i/>
        </w:rPr>
        <w:t>OWiG</w:t>
      </w:r>
      <w:proofErr w:type="spellEnd"/>
      <w:r>
        <w:rPr>
          <w:rFonts w:ascii="Times New Roman" w:hAnsi="Times New Roman"/>
        </w:rPr>
        <w:t xml:space="preserve"> lub artykułu 79 portugalskiego RGCO</w:t>
      </w:r>
      <w:r>
        <w:rPr>
          <w:rFonts w:ascii="Times New Roman" w:hAnsi="Times New Roman"/>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156B" w14:textId="77777777" w:rsidR="002D78FF" w:rsidRDefault="002D78FF" w:rsidP="00A507AB">
    <w:pPr>
      <w:pStyle w:val="ECHRHeader"/>
    </w:pPr>
    <w:r>
      <w:rPr>
        <w:rStyle w:val="Numerstrony"/>
      </w:rPr>
      <w:fldChar w:fldCharType="begin"/>
    </w:r>
    <w:r w:rsidRPr="001100A5">
      <w:rPr>
        <w:rStyle w:val="Numerstrony"/>
      </w:rPr>
      <w:instrText xml:space="preserve"> PAGE </w:instrText>
    </w:r>
    <w:r>
      <w:rPr>
        <w:rStyle w:val="Numerstrony"/>
      </w:rPr>
      <w:fldChar w:fldCharType="separate"/>
    </w:r>
    <w:r w:rsidR="00876EFE">
      <w:rPr>
        <w:rStyle w:val="Numerstrony"/>
        <w:noProof/>
      </w:rPr>
      <w:t>22</w:t>
    </w:r>
    <w:r>
      <w:rPr>
        <w:rStyle w:val="Numerstrony"/>
      </w:rPr>
      <w:fldChar w:fldCharType="end"/>
    </w:r>
    <w:r>
      <w:tab/>
      <w:t>WYROK W SPRAWIE GRANDE STEVENS I INNI przeciwko WŁOCHOM</w:t>
    </w:r>
  </w:p>
  <w:p w14:paraId="355F6E0F" w14:textId="77777777" w:rsidR="002D78FF" w:rsidRDefault="002D78FF" w:rsidP="00A507AB">
    <w:pPr>
      <w:pStyle w:val="ECHRHeader"/>
    </w:pPr>
  </w:p>
  <w:p w14:paraId="290DF42A" w14:textId="77777777" w:rsidR="002D78FF" w:rsidRPr="001100A5" w:rsidRDefault="002D78FF" w:rsidP="00A507AB">
    <w:pPr>
      <w:pStyle w:val="ECH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738E" w14:textId="77777777" w:rsidR="002D78FF" w:rsidRPr="00A45145" w:rsidRDefault="002D78FF" w:rsidP="00A507AB">
    <w:pPr>
      <w:jc w:val="center"/>
    </w:pPr>
    <w:r>
      <w:rPr>
        <w:noProof/>
        <w:lang w:bidi="ar-SA"/>
      </w:rPr>
      <w:drawing>
        <wp:inline distT="0" distB="0" distL="0" distR="0" wp14:anchorId="21EE5030" wp14:editId="4E86F4B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779EEA6" w14:textId="77777777" w:rsidR="002D78FF" w:rsidRPr="00881CDE" w:rsidRDefault="002D78FF" w:rsidP="00A507AB">
    <w:pPr>
      <w:jc w:val="cent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D88" w14:textId="77777777" w:rsidR="002D78FF" w:rsidRPr="00A45145" w:rsidRDefault="002D78FF" w:rsidP="00A507AB">
    <w:pPr>
      <w:jc w:val="center"/>
    </w:pPr>
    <w:r>
      <w:rPr>
        <w:noProof/>
        <w:lang w:bidi="ar-SA"/>
      </w:rPr>
      <w:drawing>
        <wp:inline distT="0" distB="0" distL="0" distR="0" wp14:anchorId="191FE391" wp14:editId="7769E1A0">
          <wp:extent cx="2962275" cy="1219200"/>
          <wp:effectExtent l="0" t="0" r="9525" b="0"/>
          <wp:docPr id="14" name="Picture 1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7A167EE0" w14:textId="77777777" w:rsidR="002D78FF" w:rsidRDefault="002D78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9133" w14:textId="77777777" w:rsidR="002D78FF" w:rsidRDefault="002D78FF">
    <w:pPr>
      <w:pStyle w:val="ECHRHeader"/>
      <w:rPr>
        <w:rStyle w:val="Numerstrony"/>
      </w:rPr>
    </w:pPr>
    <w:r>
      <w:tab/>
      <w:t>WYROK W SPRAWIE GRANDE STEVENS I INNI przeciwko WŁOCHOM</w:t>
    </w:r>
    <w:r>
      <w:tab/>
    </w:r>
    <w:r>
      <w:rPr>
        <w:rStyle w:val="Numerstrony"/>
      </w:rPr>
      <w:fldChar w:fldCharType="begin"/>
    </w:r>
    <w:r w:rsidRPr="001100A5">
      <w:rPr>
        <w:rStyle w:val="Numerstrony"/>
      </w:rPr>
      <w:instrText xml:space="preserve"> PAGE </w:instrText>
    </w:r>
    <w:r>
      <w:rPr>
        <w:rStyle w:val="Numerstrony"/>
      </w:rPr>
      <w:fldChar w:fldCharType="separate"/>
    </w:r>
    <w:r w:rsidR="00876EFE">
      <w:rPr>
        <w:rStyle w:val="Numerstrony"/>
        <w:noProof/>
      </w:rPr>
      <w:t>21</w:t>
    </w:r>
    <w:r>
      <w:rPr>
        <w:rStyle w:val="Numerstrony"/>
      </w:rPr>
      <w:fldChar w:fldCharType="end"/>
    </w:r>
  </w:p>
  <w:p w14:paraId="62FC3C13" w14:textId="77777777" w:rsidR="002D78FF" w:rsidRDefault="002D78FF">
    <w:pPr>
      <w:pStyle w:val="ECHRHeader"/>
      <w:rPr>
        <w:rStyle w:val="Numerstrony"/>
      </w:rPr>
    </w:pPr>
  </w:p>
  <w:p w14:paraId="019989FC" w14:textId="77777777" w:rsidR="002D78FF" w:rsidRPr="001100A5" w:rsidRDefault="002D78FF">
    <w:pPr>
      <w:pStyle w:val="ECH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F71F" w14:textId="708503D0" w:rsidR="002D78FF" w:rsidRDefault="002D78FF" w:rsidP="004D0EC7">
    <w:pPr>
      <w:pStyle w:val="ECHRHeader"/>
    </w:pPr>
    <w:r>
      <w:rPr>
        <w:rStyle w:val="Numerstrony"/>
      </w:rPr>
      <w:fldChar w:fldCharType="begin"/>
    </w:r>
    <w:r>
      <w:rPr>
        <w:rStyle w:val="Numerstrony"/>
      </w:rPr>
      <w:instrText xml:space="preserve"> PAGE </w:instrText>
    </w:r>
    <w:r>
      <w:rPr>
        <w:rStyle w:val="Numerstrony"/>
      </w:rPr>
      <w:fldChar w:fldCharType="separate"/>
    </w:r>
    <w:r w:rsidR="00876EFE">
      <w:rPr>
        <w:rStyle w:val="Numerstrony"/>
        <w:noProof/>
      </w:rPr>
      <w:t>58</w:t>
    </w:r>
    <w:r>
      <w:rPr>
        <w:rStyle w:val="Numerstrony"/>
      </w:rPr>
      <w:fldChar w:fldCharType="end"/>
    </w:r>
    <w:r>
      <w:rPr>
        <w:rStyle w:val="Numerstrony"/>
      </w:rPr>
      <w:t xml:space="preserve">      </w:t>
    </w:r>
    <w:r>
      <w:tab/>
      <w:t>WYROK W SPRAWIE GRANDE STEVENS przeciwko WŁOCHOM – OPINIA ODRĘBNA</w:t>
    </w:r>
  </w:p>
  <w:p w14:paraId="253B23ED" w14:textId="77777777" w:rsidR="002D78FF" w:rsidRDefault="002D78FF" w:rsidP="004D0EC7">
    <w:pPr>
      <w:pStyle w:val="ECHRHeader"/>
    </w:pPr>
  </w:p>
  <w:p w14:paraId="68DDEF65" w14:textId="77777777" w:rsidR="002D78FF" w:rsidRPr="004D0EC7" w:rsidRDefault="002D78FF" w:rsidP="004D0EC7">
    <w:pPr>
      <w:pStyle w:val="ECH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F217" w14:textId="39F03654" w:rsidR="002D78FF" w:rsidRDefault="002D78FF" w:rsidP="00882CD5">
    <w:pPr>
      <w:pStyle w:val="ECHRHeader"/>
      <w:rPr>
        <w:rStyle w:val="Numerstrony"/>
      </w:rPr>
    </w:pPr>
    <w:r>
      <w:tab/>
      <w:t xml:space="preserve">WYROK W SPRAWIE GRANDE STEVENS przeciwko WŁOCHOM – OPINIA ODRĘBNA      </w:t>
    </w:r>
    <w:r>
      <w:rPr>
        <w:rStyle w:val="Numerstrony"/>
      </w:rPr>
      <w:fldChar w:fldCharType="begin"/>
    </w:r>
    <w:r>
      <w:rPr>
        <w:rStyle w:val="Numerstrony"/>
      </w:rPr>
      <w:instrText xml:space="preserve"> PAGE </w:instrText>
    </w:r>
    <w:r>
      <w:rPr>
        <w:rStyle w:val="Numerstrony"/>
      </w:rPr>
      <w:fldChar w:fldCharType="separate"/>
    </w:r>
    <w:r w:rsidR="00876EFE">
      <w:rPr>
        <w:rStyle w:val="Numerstrony"/>
        <w:noProof/>
      </w:rPr>
      <w:t>57</w:t>
    </w:r>
    <w:r>
      <w:rPr>
        <w:rStyle w:val="Numerstrony"/>
      </w:rPr>
      <w:fldChar w:fldCharType="end"/>
    </w:r>
  </w:p>
  <w:p w14:paraId="70562EB3" w14:textId="77777777" w:rsidR="002D78FF" w:rsidRDefault="002D78FF" w:rsidP="00882CD5">
    <w:pPr>
      <w:pStyle w:val="ECHRHeader"/>
      <w:rPr>
        <w:rStyle w:val="Numerstrony"/>
      </w:rPr>
    </w:pPr>
  </w:p>
  <w:p w14:paraId="354A7AC5" w14:textId="77777777" w:rsidR="002D78FF" w:rsidRPr="00882CD5" w:rsidRDefault="002D78FF" w:rsidP="00882CD5">
    <w:pPr>
      <w:pStyle w:val="ECH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0717" w14:textId="77777777" w:rsidR="002D78FF" w:rsidRDefault="002D78FF" w:rsidP="004D0EC7">
    <w:pPr>
      <w:pStyle w:val="ECHRHeader"/>
    </w:pPr>
    <w:r>
      <w:rPr>
        <w:rStyle w:val="Numerstrony"/>
      </w:rPr>
      <w:fldChar w:fldCharType="begin"/>
    </w:r>
    <w:r>
      <w:rPr>
        <w:rStyle w:val="Numerstrony"/>
      </w:rPr>
      <w:instrText xml:space="preserve"> PAGE </w:instrText>
    </w:r>
    <w:r>
      <w:rPr>
        <w:rStyle w:val="Numerstrony"/>
      </w:rPr>
      <w:fldChar w:fldCharType="separate"/>
    </w:r>
    <w:r w:rsidR="00265AF0">
      <w:rPr>
        <w:rStyle w:val="Numerstrony"/>
        <w:noProof/>
      </w:rPr>
      <w:t>60</w:t>
    </w:r>
    <w:r>
      <w:rPr>
        <w:rStyle w:val="Numerstrony"/>
      </w:rPr>
      <w:fldChar w:fldCharType="end"/>
    </w:r>
    <w:r>
      <w:rPr>
        <w:rStyle w:val="Numerstrony"/>
      </w:rPr>
      <w:t xml:space="preserve">      </w:t>
    </w:r>
    <w:r>
      <w:tab/>
      <w:t>WYROK W SPRAWIE GRANDE STEVENS przeciwko WŁOCHOM</w:t>
    </w:r>
  </w:p>
  <w:p w14:paraId="2941A645" w14:textId="77777777" w:rsidR="002D78FF" w:rsidRDefault="002D78FF" w:rsidP="004D0EC7">
    <w:pPr>
      <w:pStyle w:val="ECHRHeader"/>
    </w:pPr>
  </w:p>
  <w:p w14:paraId="56945F49" w14:textId="77777777" w:rsidR="002D78FF" w:rsidRPr="004D0EC7" w:rsidRDefault="002D78FF" w:rsidP="004D0EC7">
    <w:pPr>
      <w:pStyle w:val="ECH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EB2B" w14:textId="77777777" w:rsidR="002D78FF" w:rsidRPr="00882CD5" w:rsidRDefault="002D78FF" w:rsidP="00882CD5">
    <w:pPr>
      <w:pStyle w:val="ECHRHeader"/>
    </w:pPr>
    <w:r>
      <w:tab/>
      <w:t xml:space="preserve">GRANDE STEVENS przeciwko WŁOCHOM WYROK (W SPRAWIE PRZEDMIOTU SKARGI) </w:t>
    </w:r>
    <w:r>
      <w:tab/>
    </w:r>
    <w:r>
      <w:rPr>
        <w:rStyle w:val="Numerstrony"/>
      </w:rPr>
      <w:fldChar w:fldCharType="begin"/>
    </w:r>
    <w:r>
      <w:rPr>
        <w:rStyle w:val="Numerstrony"/>
      </w:rPr>
      <w:instrText xml:space="preserve"> PAGE </w:instrText>
    </w:r>
    <w:r>
      <w:rPr>
        <w:rStyle w:val="Numerstrony"/>
      </w:rPr>
      <w:fldChar w:fldCharType="separate"/>
    </w:r>
    <w:r w:rsidR="00876EFE">
      <w:rPr>
        <w:rStyle w:val="Numerstrony"/>
        <w:noProof/>
      </w:rPr>
      <w:t>59</w:t>
    </w:r>
    <w:r>
      <w:rPr>
        <w:rStyle w:val="Numerstro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anumerowana"/>
      <w:lvlText w:val="%1."/>
      <w:lvlJc w:val="left"/>
      <w:pPr>
        <w:tabs>
          <w:tab w:val="num" w:pos="360"/>
        </w:tabs>
        <w:ind w:left="360" w:hanging="360"/>
      </w:pPr>
    </w:lvl>
  </w:abstractNum>
  <w:abstractNum w:abstractNumId="9" w15:restartNumberingAfterBreak="0">
    <w:nsid w:val="1AA96CEA"/>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33786"/>
    <w:multiLevelType w:val="hybridMultilevel"/>
    <w:tmpl w:val="73AC18B0"/>
    <w:lvl w:ilvl="0" w:tplc="F49237F8">
      <w:start w:val="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6EE62B0"/>
    <w:multiLevelType w:val="hybridMultilevel"/>
    <w:tmpl w:val="6A4A30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1"/>
  </w:num>
  <w:num w:numId="4">
    <w:abstractNumId w:val="10"/>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D5DD6"/>
    <w:rsid w:val="000041F8"/>
    <w:rsid w:val="000042A8"/>
    <w:rsid w:val="00004308"/>
    <w:rsid w:val="00005BF0"/>
    <w:rsid w:val="0000635E"/>
    <w:rsid w:val="00007154"/>
    <w:rsid w:val="000103AE"/>
    <w:rsid w:val="00011D69"/>
    <w:rsid w:val="00012AD3"/>
    <w:rsid w:val="00015C2D"/>
    <w:rsid w:val="00015F00"/>
    <w:rsid w:val="000164F7"/>
    <w:rsid w:val="0002060B"/>
    <w:rsid w:val="00021E83"/>
    <w:rsid w:val="00022C1D"/>
    <w:rsid w:val="00023AC7"/>
    <w:rsid w:val="00026C7B"/>
    <w:rsid w:val="00034987"/>
    <w:rsid w:val="00044B56"/>
    <w:rsid w:val="0004513A"/>
    <w:rsid w:val="00052535"/>
    <w:rsid w:val="00052F33"/>
    <w:rsid w:val="00053E6E"/>
    <w:rsid w:val="000602DF"/>
    <w:rsid w:val="00061B05"/>
    <w:rsid w:val="000632D5"/>
    <w:rsid w:val="000644EE"/>
    <w:rsid w:val="000646F8"/>
    <w:rsid w:val="0007121C"/>
    <w:rsid w:val="00074D9E"/>
    <w:rsid w:val="00080CE2"/>
    <w:rsid w:val="000925AD"/>
    <w:rsid w:val="00093927"/>
    <w:rsid w:val="000941AC"/>
    <w:rsid w:val="00094CB2"/>
    <w:rsid w:val="000A24EB"/>
    <w:rsid w:val="000B6923"/>
    <w:rsid w:val="000B7195"/>
    <w:rsid w:val="000B7495"/>
    <w:rsid w:val="000C1AD1"/>
    <w:rsid w:val="000C5F3C"/>
    <w:rsid w:val="000C6DCC"/>
    <w:rsid w:val="000D2605"/>
    <w:rsid w:val="000D47AA"/>
    <w:rsid w:val="000D5DD6"/>
    <w:rsid w:val="000D721F"/>
    <w:rsid w:val="000E069B"/>
    <w:rsid w:val="000E0E82"/>
    <w:rsid w:val="000E1DC5"/>
    <w:rsid w:val="000E223F"/>
    <w:rsid w:val="000E5769"/>
    <w:rsid w:val="000E7D45"/>
    <w:rsid w:val="000F25D9"/>
    <w:rsid w:val="000F576A"/>
    <w:rsid w:val="000F7851"/>
    <w:rsid w:val="00101505"/>
    <w:rsid w:val="00104E23"/>
    <w:rsid w:val="00110749"/>
    <w:rsid w:val="00111B0C"/>
    <w:rsid w:val="00120D6C"/>
    <w:rsid w:val="0012457E"/>
    <w:rsid w:val="00124E83"/>
    <w:rsid w:val="001250E9"/>
    <w:rsid w:val="001257EC"/>
    <w:rsid w:val="00133D33"/>
    <w:rsid w:val="0013422D"/>
    <w:rsid w:val="00134D64"/>
    <w:rsid w:val="00135A30"/>
    <w:rsid w:val="0013612C"/>
    <w:rsid w:val="00137FF6"/>
    <w:rsid w:val="00141650"/>
    <w:rsid w:val="00141C9F"/>
    <w:rsid w:val="0015306F"/>
    <w:rsid w:val="00153CA8"/>
    <w:rsid w:val="00162A12"/>
    <w:rsid w:val="001644ED"/>
    <w:rsid w:val="00166530"/>
    <w:rsid w:val="00174B94"/>
    <w:rsid w:val="00175A24"/>
    <w:rsid w:val="00176637"/>
    <w:rsid w:val="0017725B"/>
    <w:rsid w:val="001814EB"/>
    <w:rsid w:val="001832BD"/>
    <w:rsid w:val="0018756A"/>
    <w:rsid w:val="001943B5"/>
    <w:rsid w:val="00195134"/>
    <w:rsid w:val="001A0C0A"/>
    <w:rsid w:val="001A145B"/>
    <w:rsid w:val="001A25B5"/>
    <w:rsid w:val="001A5216"/>
    <w:rsid w:val="001A674C"/>
    <w:rsid w:val="001B0A2B"/>
    <w:rsid w:val="001B2BAE"/>
    <w:rsid w:val="001B3B24"/>
    <w:rsid w:val="001B6612"/>
    <w:rsid w:val="001C0F98"/>
    <w:rsid w:val="001C2A42"/>
    <w:rsid w:val="001C411D"/>
    <w:rsid w:val="001C4FB0"/>
    <w:rsid w:val="001D503F"/>
    <w:rsid w:val="001D63ED"/>
    <w:rsid w:val="001D7348"/>
    <w:rsid w:val="001D7E35"/>
    <w:rsid w:val="001E035B"/>
    <w:rsid w:val="001E043C"/>
    <w:rsid w:val="001E0961"/>
    <w:rsid w:val="001E3187"/>
    <w:rsid w:val="001E35FA"/>
    <w:rsid w:val="001E3EAE"/>
    <w:rsid w:val="001E6F32"/>
    <w:rsid w:val="001F1119"/>
    <w:rsid w:val="001F1200"/>
    <w:rsid w:val="001F2145"/>
    <w:rsid w:val="001F6262"/>
    <w:rsid w:val="001F67B0"/>
    <w:rsid w:val="001F7B3D"/>
    <w:rsid w:val="00205F9F"/>
    <w:rsid w:val="00210338"/>
    <w:rsid w:val="002115FC"/>
    <w:rsid w:val="00212374"/>
    <w:rsid w:val="0021423C"/>
    <w:rsid w:val="00223E8D"/>
    <w:rsid w:val="002273EB"/>
    <w:rsid w:val="00230D00"/>
    <w:rsid w:val="00231DF7"/>
    <w:rsid w:val="00231FD1"/>
    <w:rsid w:val="002339E0"/>
    <w:rsid w:val="00233CF8"/>
    <w:rsid w:val="0023575D"/>
    <w:rsid w:val="002358D4"/>
    <w:rsid w:val="00237148"/>
    <w:rsid w:val="0024222D"/>
    <w:rsid w:val="002430EA"/>
    <w:rsid w:val="00243D06"/>
    <w:rsid w:val="00244B0E"/>
    <w:rsid w:val="00244F6C"/>
    <w:rsid w:val="002532C5"/>
    <w:rsid w:val="002555E6"/>
    <w:rsid w:val="00256210"/>
    <w:rsid w:val="00260C03"/>
    <w:rsid w:val="0026540E"/>
    <w:rsid w:val="00265AF0"/>
    <w:rsid w:val="00272EC0"/>
    <w:rsid w:val="00273477"/>
    <w:rsid w:val="00275123"/>
    <w:rsid w:val="0028152B"/>
    <w:rsid w:val="00282240"/>
    <w:rsid w:val="002947E4"/>
    <w:rsid w:val="002948AD"/>
    <w:rsid w:val="00297C57"/>
    <w:rsid w:val="002A01CC"/>
    <w:rsid w:val="002A3593"/>
    <w:rsid w:val="002A61B1"/>
    <w:rsid w:val="002A663C"/>
    <w:rsid w:val="002B0549"/>
    <w:rsid w:val="002B0FB7"/>
    <w:rsid w:val="002B444B"/>
    <w:rsid w:val="002B5887"/>
    <w:rsid w:val="002B6B9F"/>
    <w:rsid w:val="002C0A83"/>
    <w:rsid w:val="002C0E27"/>
    <w:rsid w:val="002C1EE3"/>
    <w:rsid w:val="002C2FFF"/>
    <w:rsid w:val="002C3040"/>
    <w:rsid w:val="002C4433"/>
    <w:rsid w:val="002D022D"/>
    <w:rsid w:val="002D24BB"/>
    <w:rsid w:val="002D361F"/>
    <w:rsid w:val="002D3FF9"/>
    <w:rsid w:val="002D78FF"/>
    <w:rsid w:val="002E2AF0"/>
    <w:rsid w:val="002E5166"/>
    <w:rsid w:val="002F2AF7"/>
    <w:rsid w:val="002F6AAD"/>
    <w:rsid w:val="002F7E1C"/>
    <w:rsid w:val="003008BD"/>
    <w:rsid w:val="00301A75"/>
    <w:rsid w:val="00302F70"/>
    <w:rsid w:val="0030336F"/>
    <w:rsid w:val="0030375E"/>
    <w:rsid w:val="0030504D"/>
    <w:rsid w:val="0031267D"/>
    <w:rsid w:val="00312A30"/>
    <w:rsid w:val="003168FC"/>
    <w:rsid w:val="00316D54"/>
    <w:rsid w:val="00317BF0"/>
    <w:rsid w:val="00317F31"/>
    <w:rsid w:val="00320F72"/>
    <w:rsid w:val="0032111E"/>
    <w:rsid w:val="0032463E"/>
    <w:rsid w:val="00326224"/>
    <w:rsid w:val="00330BB9"/>
    <w:rsid w:val="003318E0"/>
    <w:rsid w:val="00333746"/>
    <w:rsid w:val="0033482E"/>
    <w:rsid w:val="003352CD"/>
    <w:rsid w:val="00337EE4"/>
    <w:rsid w:val="0034099B"/>
    <w:rsid w:val="00340FFD"/>
    <w:rsid w:val="003457A7"/>
    <w:rsid w:val="00345C41"/>
    <w:rsid w:val="00346F6F"/>
    <w:rsid w:val="00347306"/>
    <w:rsid w:val="0034790A"/>
    <w:rsid w:val="0035061B"/>
    <w:rsid w:val="003506B1"/>
    <w:rsid w:val="00350A51"/>
    <w:rsid w:val="00356AC7"/>
    <w:rsid w:val="003609FA"/>
    <w:rsid w:val="0036754B"/>
    <w:rsid w:val="003710C8"/>
    <w:rsid w:val="0037116E"/>
    <w:rsid w:val="003750BE"/>
    <w:rsid w:val="003833F8"/>
    <w:rsid w:val="0038620B"/>
    <w:rsid w:val="0038754D"/>
    <w:rsid w:val="00387B9D"/>
    <w:rsid w:val="0039364F"/>
    <w:rsid w:val="00393762"/>
    <w:rsid w:val="003946C1"/>
    <w:rsid w:val="00396686"/>
    <w:rsid w:val="00396CCF"/>
    <w:rsid w:val="0039778E"/>
    <w:rsid w:val="003B4941"/>
    <w:rsid w:val="003B5DED"/>
    <w:rsid w:val="003C5714"/>
    <w:rsid w:val="003C6451"/>
    <w:rsid w:val="003C6B9F"/>
    <w:rsid w:val="003C6E2A"/>
    <w:rsid w:val="003D0299"/>
    <w:rsid w:val="003D4760"/>
    <w:rsid w:val="003E6D80"/>
    <w:rsid w:val="003F05FA"/>
    <w:rsid w:val="003F13B0"/>
    <w:rsid w:val="003F244A"/>
    <w:rsid w:val="003F30B8"/>
    <w:rsid w:val="003F4A5A"/>
    <w:rsid w:val="003F4C45"/>
    <w:rsid w:val="003F5C98"/>
    <w:rsid w:val="003F5F7B"/>
    <w:rsid w:val="003F7D64"/>
    <w:rsid w:val="004063EE"/>
    <w:rsid w:val="004110D7"/>
    <w:rsid w:val="004115D4"/>
    <w:rsid w:val="00414300"/>
    <w:rsid w:val="0041557E"/>
    <w:rsid w:val="00425C67"/>
    <w:rsid w:val="00426751"/>
    <w:rsid w:val="00427E7A"/>
    <w:rsid w:val="00436C49"/>
    <w:rsid w:val="00442764"/>
    <w:rsid w:val="00442C51"/>
    <w:rsid w:val="00445366"/>
    <w:rsid w:val="00447F5B"/>
    <w:rsid w:val="00454E13"/>
    <w:rsid w:val="00461DB0"/>
    <w:rsid w:val="00463926"/>
    <w:rsid w:val="00464C9A"/>
    <w:rsid w:val="004668A8"/>
    <w:rsid w:val="00472744"/>
    <w:rsid w:val="00474F3D"/>
    <w:rsid w:val="00477E3A"/>
    <w:rsid w:val="00483E5F"/>
    <w:rsid w:val="00485BE2"/>
    <w:rsid w:val="00485FF9"/>
    <w:rsid w:val="00487B04"/>
    <w:rsid w:val="004907F0"/>
    <w:rsid w:val="004911FA"/>
    <w:rsid w:val="0049140B"/>
    <w:rsid w:val="00491441"/>
    <w:rsid w:val="004923A5"/>
    <w:rsid w:val="00494CD5"/>
    <w:rsid w:val="0049633A"/>
    <w:rsid w:val="00496BFB"/>
    <w:rsid w:val="004A15C7"/>
    <w:rsid w:val="004A4CEC"/>
    <w:rsid w:val="004B00A6"/>
    <w:rsid w:val="004B013B"/>
    <w:rsid w:val="004B112B"/>
    <w:rsid w:val="004B6E58"/>
    <w:rsid w:val="004C01E4"/>
    <w:rsid w:val="004C086C"/>
    <w:rsid w:val="004C1F56"/>
    <w:rsid w:val="004C27BC"/>
    <w:rsid w:val="004D0EC7"/>
    <w:rsid w:val="004D15F3"/>
    <w:rsid w:val="004D1EA7"/>
    <w:rsid w:val="004D4244"/>
    <w:rsid w:val="004D5311"/>
    <w:rsid w:val="004D5DCC"/>
    <w:rsid w:val="004D7917"/>
    <w:rsid w:val="004D7E45"/>
    <w:rsid w:val="004E25B0"/>
    <w:rsid w:val="004E4E66"/>
    <w:rsid w:val="004F10AF"/>
    <w:rsid w:val="004F11A4"/>
    <w:rsid w:val="004F2389"/>
    <w:rsid w:val="004F304D"/>
    <w:rsid w:val="004F41CC"/>
    <w:rsid w:val="004F61BE"/>
    <w:rsid w:val="004F66B1"/>
    <w:rsid w:val="004F680D"/>
    <w:rsid w:val="00505CB2"/>
    <w:rsid w:val="00511C07"/>
    <w:rsid w:val="0051435C"/>
    <w:rsid w:val="005156A9"/>
    <w:rsid w:val="005173A6"/>
    <w:rsid w:val="00520BAA"/>
    <w:rsid w:val="005217D8"/>
    <w:rsid w:val="00525208"/>
    <w:rsid w:val="005257A5"/>
    <w:rsid w:val="005264C0"/>
    <w:rsid w:val="00526A8A"/>
    <w:rsid w:val="00531DF2"/>
    <w:rsid w:val="00537E99"/>
    <w:rsid w:val="005442EE"/>
    <w:rsid w:val="00545DA6"/>
    <w:rsid w:val="0054703C"/>
    <w:rsid w:val="00547353"/>
    <w:rsid w:val="005474E7"/>
    <w:rsid w:val="005512A3"/>
    <w:rsid w:val="00551F92"/>
    <w:rsid w:val="00552425"/>
    <w:rsid w:val="00553AA5"/>
    <w:rsid w:val="005578CE"/>
    <w:rsid w:val="00562781"/>
    <w:rsid w:val="00562A38"/>
    <w:rsid w:val="00562B6C"/>
    <w:rsid w:val="00563CD5"/>
    <w:rsid w:val="00563ED6"/>
    <w:rsid w:val="00566A88"/>
    <w:rsid w:val="0057271C"/>
    <w:rsid w:val="00572845"/>
    <w:rsid w:val="0057727C"/>
    <w:rsid w:val="005835B9"/>
    <w:rsid w:val="00592772"/>
    <w:rsid w:val="0059574A"/>
    <w:rsid w:val="005965D3"/>
    <w:rsid w:val="005A1724"/>
    <w:rsid w:val="005A1B9B"/>
    <w:rsid w:val="005A5F5F"/>
    <w:rsid w:val="005A6751"/>
    <w:rsid w:val="005B092E"/>
    <w:rsid w:val="005B152C"/>
    <w:rsid w:val="005B1EE0"/>
    <w:rsid w:val="005B2B24"/>
    <w:rsid w:val="005B4425"/>
    <w:rsid w:val="005B4B94"/>
    <w:rsid w:val="005C32B9"/>
    <w:rsid w:val="005C3EE8"/>
    <w:rsid w:val="005C4338"/>
    <w:rsid w:val="005D34F9"/>
    <w:rsid w:val="005D4190"/>
    <w:rsid w:val="005D67A3"/>
    <w:rsid w:val="005E2988"/>
    <w:rsid w:val="005E3085"/>
    <w:rsid w:val="005E55D6"/>
    <w:rsid w:val="005F01D5"/>
    <w:rsid w:val="005F1489"/>
    <w:rsid w:val="005F51E1"/>
    <w:rsid w:val="0060237B"/>
    <w:rsid w:val="0060294F"/>
    <w:rsid w:val="00605ECF"/>
    <w:rsid w:val="00606C42"/>
    <w:rsid w:val="00611C80"/>
    <w:rsid w:val="00617EE6"/>
    <w:rsid w:val="00620692"/>
    <w:rsid w:val="006242CA"/>
    <w:rsid w:val="00627507"/>
    <w:rsid w:val="00631C93"/>
    <w:rsid w:val="00632A33"/>
    <w:rsid w:val="00633717"/>
    <w:rsid w:val="006344E1"/>
    <w:rsid w:val="00644AD2"/>
    <w:rsid w:val="00644C3F"/>
    <w:rsid w:val="00650A07"/>
    <w:rsid w:val="00650E2B"/>
    <w:rsid w:val="00651754"/>
    <w:rsid w:val="006545C4"/>
    <w:rsid w:val="00655041"/>
    <w:rsid w:val="0065752F"/>
    <w:rsid w:val="00660261"/>
    <w:rsid w:val="00661971"/>
    <w:rsid w:val="00661CE8"/>
    <w:rsid w:val="006623D9"/>
    <w:rsid w:val="0066550C"/>
    <w:rsid w:val="006716F2"/>
    <w:rsid w:val="00677DFE"/>
    <w:rsid w:val="00682BF2"/>
    <w:rsid w:val="0068321B"/>
    <w:rsid w:val="006859CE"/>
    <w:rsid w:val="00685B82"/>
    <w:rsid w:val="00691270"/>
    <w:rsid w:val="00692A7C"/>
    <w:rsid w:val="006942C4"/>
    <w:rsid w:val="00694BA8"/>
    <w:rsid w:val="00694ED3"/>
    <w:rsid w:val="00696C11"/>
    <w:rsid w:val="006A037C"/>
    <w:rsid w:val="006A36F4"/>
    <w:rsid w:val="006A406F"/>
    <w:rsid w:val="006A5D3A"/>
    <w:rsid w:val="006B39AC"/>
    <w:rsid w:val="006C23D4"/>
    <w:rsid w:val="006C44F8"/>
    <w:rsid w:val="006C5227"/>
    <w:rsid w:val="006C6727"/>
    <w:rsid w:val="006C7BB0"/>
    <w:rsid w:val="006D02F7"/>
    <w:rsid w:val="006D11EA"/>
    <w:rsid w:val="006D2B78"/>
    <w:rsid w:val="006D3237"/>
    <w:rsid w:val="006E2E37"/>
    <w:rsid w:val="006E3CF1"/>
    <w:rsid w:val="006E51A5"/>
    <w:rsid w:val="006E53C7"/>
    <w:rsid w:val="006E5A13"/>
    <w:rsid w:val="006E7E80"/>
    <w:rsid w:val="006F3651"/>
    <w:rsid w:val="006F4069"/>
    <w:rsid w:val="006F48CA"/>
    <w:rsid w:val="006F5056"/>
    <w:rsid w:val="006F64DD"/>
    <w:rsid w:val="007130A6"/>
    <w:rsid w:val="00715127"/>
    <w:rsid w:val="00715E8E"/>
    <w:rsid w:val="00722D59"/>
    <w:rsid w:val="00723580"/>
    <w:rsid w:val="0072366F"/>
    <w:rsid w:val="00723755"/>
    <w:rsid w:val="00724226"/>
    <w:rsid w:val="0073136C"/>
    <w:rsid w:val="00731F0F"/>
    <w:rsid w:val="00733250"/>
    <w:rsid w:val="0074072F"/>
    <w:rsid w:val="00741404"/>
    <w:rsid w:val="007449E5"/>
    <w:rsid w:val="0074750E"/>
    <w:rsid w:val="00747FF0"/>
    <w:rsid w:val="007504BD"/>
    <w:rsid w:val="007504FC"/>
    <w:rsid w:val="00753F48"/>
    <w:rsid w:val="00764D4E"/>
    <w:rsid w:val="00765170"/>
    <w:rsid w:val="00765A1F"/>
    <w:rsid w:val="00770297"/>
    <w:rsid w:val="00775B6D"/>
    <w:rsid w:val="00776D68"/>
    <w:rsid w:val="007850EE"/>
    <w:rsid w:val="00785B95"/>
    <w:rsid w:val="00790E96"/>
    <w:rsid w:val="00793366"/>
    <w:rsid w:val="00794249"/>
    <w:rsid w:val="00797013"/>
    <w:rsid w:val="007A3E68"/>
    <w:rsid w:val="007A67EE"/>
    <w:rsid w:val="007A716F"/>
    <w:rsid w:val="007A75D5"/>
    <w:rsid w:val="007B270A"/>
    <w:rsid w:val="007C0316"/>
    <w:rsid w:val="007C0695"/>
    <w:rsid w:val="007C0AEE"/>
    <w:rsid w:val="007C1901"/>
    <w:rsid w:val="007C419A"/>
    <w:rsid w:val="007C4CC8"/>
    <w:rsid w:val="007C5426"/>
    <w:rsid w:val="007C5798"/>
    <w:rsid w:val="007D1C87"/>
    <w:rsid w:val="007D2154"/>
    <w:rsid w:val="007D4832"/>
    <w:rsid w:val="007E21B2"/>
    <w:rsid w:val="007E2C4E"/>
    <w:rsid w:val="007E48CB"/>
    <w:rsid w:val="007F1905"/>
    <w:rsid w:val="007F2A25"/>
    <w:rsid w:val="007F398B"/>
    <w:rsid w:val="007F42F5"/>
    <w:rsid w:val="007F60FE"/>
    <w:rsid w:val="00802C64"/>
    <w:rsid w:val="00805E52"/>
    <w:rsid w:val="008061D0"/>
    <w:rsid w:val="00810B38"/>
    <w:rsid w:val="00815B91"/>
    <w:rsid w:val="008204C7"/>
    <w:rsid w:val="00820992"/>
    <w:rsid w:val="008216C6"/>
    <w:rsid w:val="00821EA8"/>
    <w:rsid w:val="008227A4"/>
    <w:rsid w:val="00823602"/>
    <w:rsid w:val="008255F5"/>
    <w:rsid w:val="0083014E"/>
    <w:rsid w:val="0083214A"/>
    <w:rsid w:val="00834220"/>
    <w:rsid w:val="00841735"/>
    <w:rsid w:val="00845723"/>
    <w:rsid w:val="00851EF9"/>
    <w:rsid w:val="00852296"/>
    <w:rsid w:val="008561E0"/>
    <w:rsid w:val="0085671D"/>
    <w:rsid w:val="00856C7B"/>
    <w:rsid w:val="00856E5C"/>
    <w:rsid w:val="008577FD"/>
    <w:rsid w:val="00860B03"/>
    <w:rsid w:val="0086497A"/>
    <w:rsid w:val="00870198"/>
    <w:rsid w:val="008713A1"/>
    <w:rsid w:val="00873C74"/>
    <w:rsid w:val="00874EA3"/>
    <w:rsid w:val="008754AB"/>
    <w:rsid w:val="00876EFE"/>
    <w:rsid w:val="0088060C"/>
    <w:rsid w:val="00882CD5"/>
    <w:rsid w:val="00893576"/>
    <w:rsid w:val="00893E73"/>
    <w:rsid w:val="008A322E"/>
    <w:rsid w:val="008A781D"/>
    <w:rsid w:val="008B02DC"/>
    <w:rsid w:val="008B17DB"/>
    <w:rsid w:val="008B32F7"/>
    <w:rsid w:val="008B57CE"/>
    <w:rsid w:val="008C26DE"/>
    <w:rsid w:val="008C53D5"/>
    <w:rsid w:val="008C67FB"/>
    <w:rsid w:val="008C7DEB"/>
    <w:rsid w:val="008D1A9E"/>
    <w:rsid w:val="008D2225"/>
    <w:rsid w:val="008D3324"/>
    <w:rsid w:val="008D4752"/>
    <w:rsid w:val="008D620C"/>
    <w:rsid w:val="008D6CEC"/>
    <w:rsid w:val="008E271C"/>
    <w:rsid w:val="008E3A08"/>
    <w:rsid w:val="008E418E"/>
    <w:rsid w:val="008E4B4F"/>
    <w:rsid w:val="008E5970"/>
    <w:rsid w:val="008E5BC6"/>
    <w:rsid w:val="008E6A25"/>
    <w:rsid w:val="008F5193"/>
    <w:rsid w:val="009013A7"/>
    <w:rsid w:val="009017FB"/>
    <w:rsid w:val="009017FC"/>
    <w:rsid w:val="00902AD8"/>
    <w:rsid w:val="0090506B"/>
    <w:rsid w:val="009050C9"/>
    <w:rsid w:val="009066FC"/>
    <w:rsid w:val="0091171C"/>
    <w:rsid w:val="009140A3"/>
    <w:rsid w:val="009144A2"/>
    <w:rsid w:val="009150F0"/>
    <w:rsid w:val="0091510C"/>
    <w:rsid w:val="009158D7"/>
    <w:rsid w:val="009259AC"/>
    <w:rsid w:val="00926129"/>
    <w:rsid w:val="009267C1"/>
    <w:rsid w:val="00926F38"/>
    <w:rsid w:val="00927BEB"/>
    <w:rsid w:val="00934301"/>
    <w:rsid w:val="00936CD1"/>
    <w:rsid w:val="00937E06"/>
    <w:rsid w:val="00940C74"/>
    <w:rsid w:val="00941747"/>
    <w:rsid w:val="00941EFB"/>
    <w:rsid w:val="0094661E"/>
    <w:rsid w:val="00947AFB"/>
    <w:rsid w:val="00951D7D"/>
    <w:rsid w:val="00955532"/>
    <w:rsid w:val="009630C7"/>
    <w:rsid w:val="00964511"/>
    <w:rsid w:val="00967E30"/>
    <w:rsid w:val="00970AAE"/>
    <w:rsid w:val="00972B55"/>
    <w:rsid w:val="009743B7"/>
    <w:rsid w:val="0098228B"/>
    <w:rsid w:val="009828DA"/>
    <w:rsid w:val="00983537"/>
    <w:rsid w:val="0098410D"/>
    <w:rsid w:val="00985BAB"/>
    <w:rsid w:val="00992768"/>
    <w:rsid w:val="009A4CC9"/>
    <w:rsid w:val="009B1B5F"/>
    <w:rsid w:val="009B45B4"/>
    <w:rsid w:val="009B6673"/>
    <w:rsid w:val="009C16E4"/>
    <w:rsid w:val="009C191B"/>
    <w:rsid w:val="009C1967"/>
    <w:rsid w:val="009C23D6"/>
    <w:rsid w:val="009C2BD6"/>
    <w:rsid w:val="009D3C7D"/>
    <w:rsid w:val="009E1F32"/>
    <w:rsid w:val="009E439F"/>
    <w:rsid w:val="009E53FE"/>
    <w:rsid w:val="009E6786"/>
    <w:rsid w:val="009E776C"/>
    <w:rsid w:val="00A06BCF"/>
    <w:rsid w:val="00A15009"/>
    <w:rsid w:val="00A1726E"/>
    <w:rsid w:val="00A204CF"/>
    <w:rsid w:val="00A209B7"/>
    <w:rsid w:val="00A23D49"/>
    <w:rsid w:val="00A2684F"/>
    <w:rsid w:val="00A27004"/>
    <w:rsid w:val="00A30C29"/>
    <w:rsid w:val="00A34DD6"/>
    <w:rsid w:val="00A360AE"/>
    <w:rsid w:val="00A36819"/>
    <w:rsid w:val="00A36989"/>
    <w:rsid w:val="00A36FDB"/>
    <w:rsid w:val="00A371E0"/>
    <w:rsid w:val="00A42BB9"/>
    <w:rsid w:val="00A43628"/>
    <w:rsid w:val="00A455B3"/>
    <w:rsid w:val="00A507AB"/>
    <w:rsid w:val="00A531B8"/>
    <w:rsid w:val="00A54192"/>
    <w:rsid w:val="00A57461"/>
    <w:rsid w:val="00A6035E"/>
    <w:rsid w:val="00A6087A"/>
    <w:rsid w:val="00A6144C"/>
    <w:rsid w:val="00A62B40"/>
    <w:rsid w:val="00A630EE"/>
    <w:rsid w:val="00A63E4A"/>
    <w:rsid w:val="00A66617"/>
    <w:rsid w:val="00A671F8"/>
    <w:rsid w:val="00A673A4"/>
    <w:rsid w:val="00A71026"/>
    <w:rsid w:val="00A71D81"/>
    <w:rsid w:val="00A724AE"/>
    <w:rsid w:val="00A73329"/>
    <w:rsid w:val="00A77092"/>
    <w:rsid w:val="00A82359"/>
    <w:rsid w:val="00A82ADF"/>
    <w:rsid w:val="00A865D2"/>
    <w:rsid w:val="00A8717F"/>
    <w:rsid w:val="00A90BCD"/>
    <w:rsid w:val="00A94C20"/>
    <w:rsid w:val="00AA227F"/>
    <w:rsid w:val="00AA2421"/>
    <w:rsid w:val="00AA3BC7"/>
    <w:rsid w:val="00AA7232"/>
    <w:rsid w:val="00AA754A"/>
    <w:rsid w:val="00AA7AC0"/>
    <w:rsid w:val="00AB0405"/>
    <w:rsid w:val="00AB099E"/>
    <w:rsid w:val="00AB4328"/>
    <w:rsid w:val="00AB4482"/>
    <w:rsid w:val="00AD6212"/>
    <w:rsid w:val="00AE0A2E"/>
    <w:rsid w:val="00AE354C"/>
    <w:rsid w:val="00AE3D90"/>
    <w:rsid w:val="00AE512A"/>
    <w:rsid w:val="00AF0EC1"/>
    <w:rsid w:val="00AF1F2A"/>
    <w:rsid w:val="00AF4B07"/>
    <w:rsid w:val="00AF6186"/>
    <w:rsid w:val="00AF7A3A"/>
    <w:rsid w:val="00B03EF1"/>
    <w:rsid w:val="00B06DEE"/>
    <w:rsid w:val="00B1549E"/>
    <w:rsid w:val="00B160DB"/>
    <w:rsid w:val="00B20836"/>
    <w:rsid w:val="00B235BB"/>
    <w:rsid w:val="00B2656E"/>
    <w:rsid w:val="00B27A44"/>
    <w:rsid w:val="00B30BBF"/>
    <w:rsid w:val="00B3119A"/>
    <w:rsid w:val="00B32F8F"/>
    <w:rsid w:val="00B33C03"/>
    <w:rsid w:val="00B37330"/>
    <w:rsid w:val="00B3752E"/>
    <w:rsid w:val="00B407F9"/>
    <w:rsid w:val="00B42E29"/>
    <w:rsid w:val="00B44E56"/>
    <w:rsid w:val="00B46543"/>
    <w:rsid w:val="00B47D33"/>
    <w:rsid w:val="00B52BE0"/>
    <w:rsid w:val="00B54133"/>
    <w:rsid w:val="00B67A17"/>
    <w:rsid w:val="00B701ED"/>
    <w:rsid w:val="00B71A79"/>
    <w:rsid w:val="00B77F85"/>
    <w:rsid w:val="00B80466"/>
    <w:rsid w:val="00B8086C"/>
    <w:rsid w:val="00B841DA"/>
    <w:rsid w:val="00B861B4"/>
    <w:rsid w:val="00B86DFE"/>
    <w:rsid w:val="00B90990"/>
    <w:rsid w:val="00B922FF"/>
    <w:rsid w:val="00B9281E"/>
    <w:rsid w:val="00B93925"/>
    <w:rsid w:val="00B95187"/>
    <w:rsid w:val="00BA2D55"/>
    <w:rsid w:val="00BA71B1"/>
    <w:rsid w:val="00BB03BA"/>
    <w:rsid w:val="00BB0637"/>
    <w:rsid w:val="00BB345F"/>
    <w:rsid w:val="00BB4D87"/>
    <w:rsid w:val="00BB68EA"/>
    <w:rsid w:val="00BC1C27"/>
    <w:rsid w:val="00BC5908"/>
    <w:rsid w:val="00BC6BBF"/>
    <w:rsid w:val="00BD1572"/>
    <w:rsid w:val="00BD15E0"/>
    <w:rsid w:val="00BD4BA9"/>
    <w:rsid w:val="00BE0C9C"/>
    <w:rsid w:val="00BE14E3"/>
    <w:rsid w:val="00BE3774"/>
    <w:rsid w:val="00BE41E5"/>
    <w:rsid w:val="00BF2B05"/>
    <w:rsid w:val="00BF4109"/>
    <w:rsid w:val="00BF4CC3"/>
    <w:rsid w:val="00BF6147"/>
    <w:rsid w:val="00BF7791"/>
    <w:rsid w:val="00C006CE"/>
    <w:rsid w:val="00C054C7"/>
    <w:rsid w:val="00C057B5"/>
    <w:rsid w:val="00C059EF"/>
    <w:rsid w:val="00C14B97"/>
    <w:rsid w:val="00C21B6A"/>
    <w:rsid w:val="00C22687"/>
    <w:rsid w:val="00C232DB"/>
    <w:rsid w:val="00C30237"/>
    <w:rsid w:val="00C3158A"/>
    <w:rsid w:val="00C32E4D"/>
    <w:rsid w:val="00C333A0"/>
    <w:rsid w:val="00C34BDE"/>
    <w:rsid w:val="00C36A81"/>
    <w:rsid w:val="00C40581"/>
    <w:rsid w:val="00C4105B"/>
    <w:rsid w:val="00C41974"/>
    <w:rsid w:val="00C47B04"/>
    <w:rsid w:val="00C51BB0"/>
    <w:rsid w:val="00C520BD"/>
    <w:rsid w:val="00C53F4A"/>
    <w:rsid w:val="00C54125"/>
    <w:rsid w:val="00C5454E"/>
    <w:rsid w:val="00C55B54"/>
    <w:rsid w:val="00C6098E"/>
    <w:rsid w:val="00C6152C"/>
    <w:rsid w:val="00C655D3"/>
    <w:rsid w:val="00C74810"/>
    <w:rsid w:val="00C82802"/>
    <w:rsid w:val="00C87115"/>
    <w:rsid w:val="00C90D68"/>
    <w:rsid w:val="00C939FE"/>
    <w:rsid w:val="00CA4BDA"/>
    <w:rsid w:val="00CA56D9"/>
    <w:rsid w:val="00CB0E85"/>
    <w:rsid w:val="00CB1611"/>
    <w:rsid w:val="00CB1F66"/>
    <w:rsid w:val="00CB2951"/>
    <w:rsid w:val="00CB5B17"/>
    <w:rsid w:val="00CB5B30"/>
    <w:rsid w:val="00CC258D"/>
    <w:rsid w:val="00CC4859"/>
    <w:rsid w:val="00CC5D27"/>
    <w:rsid w:val="00CC724B"/>
    <w:rsid w:val="00CD02A2"/>
    <w:rsid w:val="00CD282B"/>
    <w:rsid w:val="00CD4C35"/>
    <w:rsid w:val="00CD7369"/>
    <w:rsid w:val="00CE0B0E"/>
    <w:rsid w:val="00CE3831"/>
    <w:rsid w:val="00CF2397"/>
    <w:rsid w:val="00CF5B83"/>
    <w:rsid w:val="00D00ABB"/>
    <w:rsid w:val="00D013BE"/>
    <w:rsid w:val="00D02BDD"/>
    <w:rsid w:val="00D02EEC"/>
    <w:rsid w:val="00D03551"/>
    <w:rsid w:val="00D06A63"/>
    <w:rsid w:val="00D06A71"/>
    <w:rsid w:val="00D0776C"/>
    <w:rsid w:val="00D07E0E"/>
    <w:rsid w:val="00D11478"/>
    <w:rsid w:val="00D12C9C"/>
    <w:rsid w:val="00D14AA3"/>
    <w:rsid w:val="00D15ED0"/>
    <w:rsid w:val="00D21B3E"/>
    <w:rsid w:val="00D21FED"/>
    <w:rsid w:val="00D24251"/>
    <w:rsid w:val="00D25135"/>
    <w:rsid w:val="00D343E2"/>
    <w:rsid w:val="00D35714"/>
    <w:rsid w:val="00D361A2"/>
    <w:rsid w:val="00D37997"/>
    <w:rsid w:val="00D44C2E"/>
    <w:rsid w:val="00D45414"/>
    <w:rsid w:val="00D4677F"/>
    <w:rsid w:val="00D50092"/>
    <w:rsid w:val="00D54164"/>
    <w:rsid w:val="00D566BD"/>
    <w:rsid w:val="00D56DA9"/>
    <w:rsid w:val="00D57A4D"/>
    <w:rsid w:val="00D60AA7"/>
    <w:rsid w:val="00D6435F"/>
    <w:rsid w:val="00D65734"/>
    <w:rsid w:val="00D75E28"/>
    <w:rsid w:val="00D76F42"/>
    <w:rsid w:val="00D772C2"/>
    <w:rsid w:val="00D8008E"/>
    <w:rsid w:val="00D82641"/>
    <w:rsid w:val="00D828F5"/>
    <w:rsid w:val="00D82C45"/>
    <w:rsid w:val="00D908A8"/>
    <w:rsid w:val="00D94285"/>
    <w:rsid w:val="00D97072"/>
    <w:rsid w:val="00D977B6"/>
    <w:rsid w:val="00D97A48"/>
    <w:rsid w:val="00DA2068"/>
    <w:rsid w:val="00DA38F5"/>
    <w:rsid w:val="00DA4A31"/>
    <w:rsid w:val="00DA7B04"/>
    <w:rsid w:val="00DB25B4"/>
    <w:rsid w:val="00DB36C2"/>
    <w:rsid w:val="00DB5FF3"/>
    <w:rsid w:val="00DC169B"/>
    <w:rsid w:val="00DC2AB9"/>
    <w:rsid w:val="00DC63F0"/>
    <w:rsid w:val="00DD6EE5"/>
    <w:rsid w:val="00DD7567"/>
    <w:rsid w:val="00DE0886"/>
    <w:rsid w:val="00DE386C"/>
    <w:rsid w:val="00DE4D35"/>
    <w:rsid w:val="00DE707C"/>
    <w:rsid w:val="00DF098B"/>
    <w:rsid w:val="00DF11C4"/>
    <w:rsid w:val="00DF210C"/>
    <w:rsid w:val="00DF3287"/>
    <w:rsid w:val="00DF4B6A"/>
    <w:rsid w:val="00DF5D9C"/>
    <w:rsid w:val="00E02C09"/>
    <w:rsid w:val="00E04D59"/>
    <w:rsid w:val="00E07DA1"/>
    <w:rsid w:val="00E10116"/>
    <w:rsid w:val="00E1168C"/>
    <w:rsid w:val="00E123CB"/>
    <w:rsid w:val="00E17062"/>
    <w:rsid w:val="00E20E13"/>
    <w:rsid w:val="00E21DBC"/>
    <w:rsid w:val="00E275D7"/>
    <w:rsid w:val="00E27DBE"/>
    <w:rsid w:val="00E31EF3"/>
    <w:rsid w:val="00E32AB1"/>
    <w:rsid w:val="00E351BB"/>
    <w:rsid w:val="00E36C71"/>
    <w:rsid w:val="00E40404"/>
    <w:rsid w:val="00E459C6"/>
    <w:rsid w:val="00E47589"/>
    <w:rsid w:val="00E47870"/>
    <w:rsid w:val="00E52421"/>
    <w:rsid w:val="00E52B05"/>
    <w:rsid w:val="00E622DF"/>
    <w:rsid w:val="00E64915"/>
    <w:rsid w:val="00E661D4"/>
    <w:rsid w:val="00E70091"/>
    <w:rsid w:val="00E720F5"/>
    <w:rsid w:val="00E724F2"/>
    <w:rsid w:val="00E75EF0"/>
    <w:rsid w:val="00E76D47"/>
    <w:rsid w:val="00E845D7"/>
    <w:rsid w:val="00E849F7"/>
    <w:rsid w:val="00E90302"/>
    <w:rsid w:val="00E90D34"/>
    <w:rsid w:val="00E97396"/>
    <w:rsid w:val="00EA185E"/>
    <w:rsid w:val="00EA1C8A"/>
    <w:rsid w:val="00EA592A"/>
    <w:rsid w:val="00EA78FC"/>
    <w:rsid w:val="00EB04D3"/>
    <w:rsid w:val="00EB14E4"/>
    <w:rsid w:val="00EB26F0"/>
    <w:rsid w:val="00EB32A5"/>
    <w:rsid w:val="00EB34ED"/>
    <w:rsid w:val="00EB4194"/>
    <w:rsid w:val="00EB447C"/>
    <w:rsid w:val="00EB5F38"/>
    <w:rsid w:val="00EB77FB"/>
    <w:rsid w:val="00EB7BE0"/>
    <w:rsid w:val="00EC272D"/>
    <w:rsid w:val="00EC291C"/>
    <w:rsid w:val="00EC315E"/>
    <w:rsid w:val="00EC4E00"/>
    <w:rsid w:val="00ED01AE"/>
    <w:rsid w:val="00ED077C"/>
    <w:rsid w:val="00ED1190"/>
    <w:rsid w:val="00ED30C8"/>
    <w:rsid w:val="00ED461B"/>
    <w:rsid w:val="00ED6544"/>
    <w:rsid w:val="00EE0277"/>
    <w:rsid w:val="00EE3E00"/>
    <w:rsid w:val="00EE5DD2"/>
    <w:rsid w:val="00EE7FF7"/>
    <w:rsid w:val="00EF115D"/>
    <w:rsid w:val="00EF3DB4"/>
    <w:rsid w:val="00EF6E59"/>
    <w:rsid w:val="00F00687"/>
    <w:rsid w:val="00F00A79"/>
    <w:rsid w:val="00F00E86"/>
    <w:rsid w:val="00F03773"/>
    <w:rsid w:val="00F03B1F"/>
    <w:rsid w:val="00F07BAA"/>
    <w:rsid w:val="00F07C1E"/>
    <w:rsid w:val="00F105DB"/>
    <w:rsid w:val="00F11C68"/>
    <w:rsid w:val="00F125AB"/>
    <w:rsid w:val="00F132BC"/>
    <w:rsid w:val="00F13D80"/>
    <w:rsid w:val="00F14445"/>
    <w:rsid w:val="00F16AAA"/>
    <w:rsid w:val="00F1709C"/>
    <w:rsid w:val="00F21161"/>
    <w:rsid w:val="00F218EF"/>
    <w:rsid w:val="00F21BC7"/>
    <w:rsid w:val="00F2617B"/>
    <w:rsid w:val="00F266A2"/>
    <w:rsid w:val="00F27B0C"/>
    <w:rsid w:val="00F31F26"/>
    <w:rsid w:val="00F32269"/>
    <w:rsid w:val="00F33B0E"/>
    <w:rsid w:val="00F349DC"/>
    <w:rsid w:val="00F40430"/>
    <w:rsid w:val="00F46618"/>
    <w:rsid w:val="00F51C94"/>
    <w:rsid w:val="00F56A6F"/>
    <w:rsid w:val="00F5709C"/>
    <w:rsid w:val="00F60B82"/>
    <w:rsid w:val="00F64EF1"/>
    <w:rsid w:val="00F67A44"/>
    <w:rsid w:val="00F74FDB"/>
    <w:rsid w:val="00F822D9"/>
    <w:rsid w:val="00F8765F"/>
    <w:rsid w:val="00F90767"/>
    <w:rsid w:val="00F920D2"/>
    <w:rsid w:val="00F923A6"/>
    <w:rsid w:val="00F927EB"/>
    <w:rsid w:val="00F959A0"/>
    <w:rsid w:val="00F97DA0"/>
    <w:rsid w:val="00FA685B"/>
    <w:rsid w:val="00FA7858"/>
    <w:rsid w:val="00FA7983"/>
    <w:rsid w:val="00FB0C01"/>
    <w:rsid w:val="00FB0E9D"/>
    <w:rsid w:val="00FB61C4"/>
    <w:rsid w:val="00FC0878"/>
    <w:rsid w:val="00FC18F2"/>
    <w:rsid w:val="00FC39E5"/>
    <w:rsid w:val="00FC3A78"/>
    <w:rsid w:val="00FD1005"/>
    <w:rsid w:val="00FD1206"/>
    <w:rsid w:val="00FD6C75"/>
    <w:rsid w:val="00FE0DF8"/>
    <w:rsid w:val="00FE71B3"/>
    <w:rsid w:val="00FE7915"/>
    <w:rsid w:val="00FF42C5"/>
    <w:rsid w:val="00FF5C1D"/>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emiHidden/>
    <w:rsid w:val="00A507AB"/>
    <w:pPr>
      <w:jc w:val="both"/>
    </w:pPr>
    <w:rPr>
      <w:rFonts w:eastAsiaTheme="minorEastAsia"/>
      <w:sz w:val="24"/>
    </w:rPr>
  </w:style>
  <w:style w:type="paragraph" w:styleId="Nagwek1">
    <w:name w:val="heading 1"/>
    <w:basedOn w:val="Normalny"/>
    <w:next w:val="Normalny"/>
    <w:link w:val="Nagwek1Znak"/>
    <w:uiPriority w:val="99"/>
    <w:semiHidden/>
    <w:rsid w:val="00A507AB"/>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A507AB"/>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A507AB"/>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A507AB"/>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A507AB"/>
    <w:pPr>
      <w:spacing w:before="200"/>
      <w:outlineLvl w:val="4"/>
    </w:pPr>
    <w:rPr>
      <w:rFonts w:asciiTheme="majorHAnsi" w:eastAsiaTheme="majorEastAsia" w:hAnsiTheme="majorHAnsi" w:cstheme="majorBidi"/>
      <w:b/>
      <w:bCs/>
      <w:color w:val="808080"/>
      <w:sz w:val="22"/>
    </w:rPr>
  </w:style>
  <w:style w:type="paragraph" w:styleId="Nagwek6">
    <w:name w:val="heading 6"/>
    <w:basedOn w:val="Normalny"/>
    <w:next w:val="Normalny"/>
    <w:link w:val="Nagwek6Znak"/>
    <w:uiPriority w:val="99"/>
    <w:semiHidden/>
    <w:rsid w:val="00A507AB"/>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9"/>
    <w:semiHidden/>
    <w:qFormat/>
    <w:rsid w:val="00A507AB"/>
    <w:pPr>
      <w:outlineLvl w:val="6"/>
    </w:pPr>
    <w:rPr>
      <w:rFonts w:asciiTheme="majorHAnsi" w:eastAsiaTheme="majorEastAsia" w:hAnsiTheme="majorHAnsi" w:cstheme="majorBidi"/>
      <w:i/>
      <w:iCs/>
      <w:sz w:val="22"/>
    </w:rPr>
  </w:style>
  <w:style w:type="paragraph" w:styleId="Nagwek8">
    <w:name w:val="heading 8"/>
    <w:basedOn w:val="Normalny"/>
    <w:next w:val="Normalny"/>
    <w:link w:val="Nagwek8Znak"/>
    <w:uiPriority w:val="99"/>
    <w:semiHidden/>
    <w:qFormat/>
    <w:rsid w:val="00A507AB"/>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9"/>
    <w:semiHidden/>
    <w:qFormat/>
    <w:rsid w:val="00A507AB"/>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507AB"/>
    <w:rPr>
      <w:rFonts w:ascii="Tahoma" w:hAnsi="Tahoma" w:cs="Tahoma"/>
      <w:sz w:val="16"/>
      <w:szCs w:val="16"/>
    </w:rPr>
  </w:style>
  <w:style w:type="character" w:customStyle="1" w:styleId="TekstdymkaZnak">
    <w:name w:val="Tekst dymka Znak"/>
    <w:basedOn w:val="Domylnaczcionkaakapitu"/>
    <w:link w:val="Tekstdymka"/>
    <w:uiPriority w:val="99"/>
    <w:semiHidden/>
    <w:rsid w:val="00A507AB"/>
    <w:rPr>
      <w:rFonts w:ascii="Tahoma" w:eastAsiaTheme="minorEastAsia" w:hAnsi="Tahoma" w:cs="Tahoma"/>
      <w:sz w:val="16"/>
      <w:szCs w:val="16"/>
    </w:rPr>
  </w:style>
  <w:style w:type="character" w:styleId="Tytuksiki">
    <w:name w:val="Book Title"/>
    <w:uiPriority w:val="99"/>
    <w:semiHidden/>
    <w:qFormat/>
    <w:rsid w:val="00A507AB"/>
    <w:rPr>
      <w:i/>
      <w:iCs/>
      <w:smallCaps/>
      <w:spacing w:val="5"/>
    </w:rPr>
  </w:style>
  <w:style w:type="paragraph" w:customStyle="1" w:styleId="ECHRHeader">
    <w:name w:val="ECHR_Header"/>
    <w:aliases w:val="Ju_Header"/>
    <w:basedOn w:val="Nagwek"/>
    <w:uiPriority w:val="4"/>
    <w:qFormat/>
    <w:rsid w:val="00A507AB"/>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A507AB"/>
    <w:pPr>
      <w:jc w:val="left"/>
    </w:pPr>
    <w:rPr>
      <w:sz w:val="8"/>
    </w:rPr>
  </w:style>
  <w:style w:type="character" w:styleId="Pogrubienie">
    <w:name w:val="Strong"/>
    <w:uiPriority w:val="99"/>
    <w:semiHidden/>
    <w:qFormat/>
    <w:rsid w:val="00A507AB"/>
    <w:rPr>
      <w:b/>
      <w:bCs/>
    </w:rPr>
  </w:style>
  <w:style w:type="paragraph" w:styleId="Bezodstpw">
    <w:name w:val="No Spacing"/>
    <w:basedOn w:val="Normalny"/>
    <w:link w:val="BezodstpwZnak"/>
    <w:semiHidden/>
    <w:qFormat/>
    <w:rsid w:val="00A507AB"/>
    <w:rPr>
      <w:sz w:val="22"/>
    </w:rPr>
  </w:style>
  <w:style w:type="character" w:customStyle="1" w:styleId="BezodstpwZnak">
    <w:name w:val="Bez odstępów Znak"/>
    <w:basedOn w:val="Domylnaczcionkaakapitu"/>
    <w:link w:val="Bezodstpw"/>
    <w:rsid w:val="00A507AB"/>
    <w:rPr>
      <w:rFonts w:eastAsiaTheme="minorEastAsia"/>
    </w:rPr>
  </w:style>
  <w:style w:type="paragraph" w:customStyle="1" w:styleId="ECHRParaQuote">
    <w:name w:val="ECHR_Para_Quote"/>
    <w:aliases w:val="Ju_Quot"/>
    <w:basedOn w:val="Normalny"/>
    <w:link w:val="JuQuotChar"/>
    <w:uiPriority w:val="14"/>
    <w:qFormat/>
    <w:rsid w:val="00A507AB"/>
    <w:pPr>
      <w:spacing w:before="120" w:after="120"/>
      <w:ind w:left="425" w:firstLine="142"/>
    </w:pPr>
    <w:rPr>
      <w:sz w:val="20"/>
    </w:rPr>
  </w:style>
  <w:style w:type="paragraph" w:customStyle="1" w:styleId="ECHRFooterLine">
    <w:name w:val="ECHR_Footer_Line"/>
    <w:aliases w:val="Footer_Line"/>
    <w:basedOn w:val="Normalny"/>
    <w:next w:val="ECHRFooter"/>
    <w:uiPriority w:val="57"/>
    <w:semiHidden/>
    <w:rsid w:val="00A507AB"/>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rsid w:val="00A507AB"/>
    <w:pPr>
      <w:numPr>
        <w:numId w:val="16"/>
      </w:numPr>
      <w:jc w:val="left"/>
    </w:pPr>
    <w:rPr>
      <w:b/>
    </w:rPr>
  </w:style>
  <w:style w:type="paragraph" w:customStyle="1" w:styleId="OpiPara">
    <w:name w:val="Opi_Para"/>
    <w:basedOn w:val="ECHRPara"/>
    <w:uiPriority w:val="46"/>
    <w:qFormat/>
    <w:rsid w:val="00A507AB"/>
  </w:style>
  <w:style w:type="paragraph" w:customStyle="1" w:styleId="JuParaSub">
    <w:name w:val="Ju_Para_Sub"/>
    <w:basedOn w:val="ECHRPara"/>
    <w:uiPriority w:val="13"/>
    <w:qFormat/>
    <w:rsid w:val="00A507AB"/>
    <w:pPr>
      <w:ind w:left="284"/>
    </w:pPr>
  </w:style>
  <w:style w:type="paragraph" w:customStyle="1" w:styleId="ECHRTitleCentre3">
    <w:name w:val="ECHR_Title_Centre_3"/>
    <w:aliases w:val="Ju_H_Article"/>
    <w:basedOn w:val="Normalny"/>
    <w:next w:val="ECHRParaQuote"/>
    <w:uiPriority w:val="27"/>
    <w:qFormat/>
    <w:rsid w:val="00A507AB"/>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ny"/>
    <w:next w:val="OpiPara"/>
    <w:uiPriority w:val="39"/>
    <w:qFormat/>
    <w:rsid w:val="00A507AB"/>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A507AB"/>
  </w:style>
  <w:style w:type="paragraph" w:customStyle="1" w:styleId="ECHRTitle1">
    <w:name w:val="ECHR_Title_1"/>
    <w:aliases w:val="Ju_H_Head"/>
    <w:basedOn w:val="Normalny"/>
    <w:next w:val="ECHRPara"/>
    <w:uiPriority w:val="18"/>
    <w:qFormat/>
    <w:rsid w:val="00A507AB"/>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A507AB"/>
    <w:pPr>
      <w:tabs>
        <w:tab w:val="center" w:pos="6407"/>
      </w:tabs>
      <w:spacing w:before="720"/>
      <w:jc w:val="right"/>
    </w:pPr>
  </w:style>
  <w:style w:type="paragraph" w:customStyle="1" w:styleId="JuSigned">
    <w:name w:val="Ju_Signed"/>
    <w:basedOn w:val="Normalny"/>
    <w:next w:val="JuParaLast"/>
    <w:uiPriority w:val="32"/>
    <w:qFormat/>
    <w:rsid w:val="00A507AB"/>
    <w:pPr>
      <w:tabs>
        <w:tab w:val="center" w:pos="851"/>
        <w:tab w:val="center" w:pos="6407"/>
      </w:tabs>
      <w:spacing w:before="720"/>
      <w:jc w:val="left"/>
    </w:pPr>
  </w:style>
  <w:style w:type="paragraph" w:styleId="Tytu">
    <w:name w:val="Title"/>
    <w:basedOn w:val="Normalny"/>
    <w:next w:val="Normalny"/>
    <w:link w:val="TytuZnak"/>
    <w:uiPriority w:val="99"/>
    <w:semiHidden/>
    <w:qFormat/>
    <w:rsid w:val="00A507A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99"/>
    <w:rsid w:val="00A507AB"/>
    <w:rPr>
      <w:rFonts w:asciiTheme="majorHAnsi" w:eastAsiaTheme="majorEastAsia" w:hAnsiTheme="majorHAnsi" w:cstheme="majorBidi"/>
      <w:spacing w:val="5"/>
      <w:sz w:val="52"/>
      <w:szCs w:val="52"/>
      <w:lang w:bidi="pl-PL"/>
    </w:rPr>
  </w:style>
  <w:style w:type="paragraph" w:customStyle="1" w:styleId="OpiQuot">
    <w:name w:val="Opi_Quot"/>
    <w:basedOn w:val="ECHRParaQuote"/>
    <w:uiPriority w:val="48"/>
    <w:qFormat/>
    <w:rsid w:val="00A507AB"/>
  </w:style>
  <w:style w:type="paragraph" w:customStyle="1" w:styleId="OpiQuotSub">
    <w:name w:val="Opi_Quot_Sub"/>
    <w:basedOn w:val="JuQuotSub"/>
    <w:uiPriority w:val="49"/>
    <w:qFormat/>
    <w:rsid w:val="00A507AB"/>
  </w:style>
  <w:style w:type="paragraph" w:customStyle="1" w:styleId="ECHRTitleCentre2">
    <w:name w:val="ECHR_Title_Centre_2"/>
    <w:aliases w:val="Dec_H_Case"/>
    <w:basedOn w:val="Normalny"/>
    <w:next w:val="ECHRPara"/>
    <w:uiPriority w:val="8"/>
    <w:rsid w:val="00A507AB"/>
    <w:pPr>
      <w:spacing w:after="240"/>
      <w:jc w:val="center"/>
      <w:outlineLvl w:val="0"/>
    </w:pPr>
    <w:rPr>
      <w:rFonts w:asciiTheme="majorHAnsi" w:hAnsiTheme="majorHAnsi"/>
    </w:rPr>
  </w:style>
  <w:style w:type="paragraph" w:customStyle="1" w:styleId="JuQuotSub">
    <w:name w:val="Ju_Quot_Sub"/>
    <w:basedOn w:val="ECHRParaQuote"/>
    <w:uiPriority w:val="15"/>
    <w:qFormat/>
    <w:rsid w:val="00A507AB"/>
    <w:pPr>
      <w:ind w:left="567"/>
    </w:pPr>
  </w:style>
  <w:style w:type="paragraph" w:customStyle="1" w:styleId="OpiHA">
    <w:name w:val="Opi_H_A"/>
    <w:basedOn w:val="ECHRHeading1"/>
    <w:next w:val="OpiPara"/>
    <w:uiPriority w:val="41"/>
    <w:qFormat/>
    <w:rsid w:val="00A507AB"/>
    <w:pPr>
      <w:tabs>
        <w:tab w:val="clear" w:pos="357"/>
      </w:tabs>
      <w:outlineLvl w:val="1"/>
    </w:pPr>
    <w:rPr>
      <w:b/>
    </w:rPr>
  </w:style>
  <w:style w:type="paragraph" w:customStyle="1" w:styleId="ECHRHeading1">
    <w:name w:val="ECHR_Heading_1"/>
    <w:aliases w:val="Ju_H_I_Roman"/>
    <w:basedOn w:val="Nagwek1"/>
    <w:next w:val="ECHRPara"/>
    <w:link w:val="JuHIRomanChar"/>
    <w:uiPriority w:val="19"/>
    <w:qFormat/>
    <w:rsid w:val="00A507A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A507AB"/>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Nagwek3"/>
    <w:next w:val="ECHRPara"/>
    <w:link w:val="JuH1Char"/>
    <w:uiPriority w:val="21"/>
    <w:qFormat/>
    <w:rsid w:val="00A507AB"/>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semiHidden/>
    <w:rsid w:val="00A507AB"/>
    <w:pPr>
      <w:tabs>
        <w:tab w:val="center" w:pos="4536"/>
        <w:tab w:val="right" w:pos="9072"/>
      </w:tabs>
    </w:pPr>
    <w:rPr>
      <w:rFonts w:eastAsiaTheme="minorHAnsi"/>
    </w:rPr>
  </w:style>
  <w:style w:type="character" w:customStyle="1" w:styleId="NagwekZnak">
    <w:name w:val="Nagłówek Znak"/>
    <w:basedOn w:val="Domylnaczcionkaakapitu"/>
    <w:link w:val="Nagwek"/>
    <w:uiPriority w:val="57"/>
    <w:rsid w:val="00A507AB"/>
    <w:rPr>
      <w:sz w:val="24"/>
    </w:rPr>
  </w:style>
  <w:style w:type="character" w:customStyle="1" w:styleId="Nagwek1Znak">
    <w:name w:val="Nagłówek 1 Znak"/>
    <w:basedOn w:val="Domylnaczcionkaakapitu"/>
    <w:link w:val="Nagwek1"/>
    <w:uiPriority w:val="99"/>
    <w:rsid w:val="00A507AB"/>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link w:val="JuHaChar"/>
    <w:uiPriority w:val="22"/>
    <w:qFormat/>
    <w:rsid w:val="00A507A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A507AB"/>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rsid w:val="00A507AB"/>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A507AB"/>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A507AB"/>
    <w:pPr>
      <w:keepNext/>
      <w:keepLines/>
      <w:spacing w:before="240" w:after="120"/>
      <w:ind w:left="1236"/>
    </w:pPr>
    <w:rPr>
      <w:sz w:val="20"/>
    </w:rPr>
  </w:style>
  <w:style w:type="character" w:customStyle="1" w:styleId="Nagwek3Znak">
    <w:name w:val="Nagłówek 3 Znak"/>
    <w:basedOn w:val="Domylnaczcionkaakapitu"/>
    <w:link w:val="Nagwek3"/>
    <w:uiPriority w:val="99"/>
    <w:rsid w:val="00A507AB"/>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A507AB"/>
    <w:pPr>
      <w:keepNext/>
      <w:keepLines/>
      <w:spacing w:before="240"/>
      <w:ind w:firstLine="284"/>
    </w:pPr>
  </w:style>
  <w:style w:type="paragraph" w:customStyle="1" w:styleId="ECHRDecisionBody">
    <w:name w:val="ECHR_Decision_Body"/>
    <w:aliases w:val="Ju_Judges"/>
    <w:basedOn w:val="Normalny"/>
    <w:link w:val="JuJudgesChar"/>
    <w:uiPriority w:val="11"/>
    <w:qFormat/>
    <w:rsid w:val="00A507AB"/>
    <w:pPr>
      <w:tabs>
        <w:tab w:val="left" w:pos="567"/>
        <w:tab w:val="left" w:pos="1134"/>
      </w:tabs>
      <w:jc w:val="left"/>
    </w:pPr>
  </w:style>
  <w:style w:type="character" w:customStyle="1" w:styleId="Nagwek4Znak">
    <w:name w:val="Nagłówek 4 Znak"/>
    <w:basedOn w:val="Domylnaczcionkaakapitu"/>
    <w:link w:val="Nagwek4"/>
    <w:uiPriority w:val="99"/>
    <w:rsid w:val="00A507AB"/>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A507AB"/>
    <w:pPr>
      <w:ind w:left="340" w:hanging="340"/>
    </w:pPr>
  </w:style>
  <w:style w:type="character" w:customStyle="1" w:styleId="Nagwek5Znak">
    <w:name w:val="Nagłówek 5 Znak"/>
    <w:basedOn w:val="Domylnaczcionkaakapitu"/>
    <w:link w:val="Nagwek5"/>
    <w:uiPriority w:val="99"/>
    <w:rsid w:val="00A507AB"/>
    <w:rPr>
      <w:rFonts w:asciiTheme="majorHAnsi" w:eastAsiaTheme="majorEastAsia" w:hAnsiTheme="majorHAnsi" w:cstheme="majorBidi"/>
      <w:b/>
      <w:bCs/>
      <w:color w:val="808080"/>
    </w:rPr>
  </w:style>
  <w:style w:type="character" w:customStyle="1" w:styleId="JUNAMES">
    <w:name w:val="JU_NAMES"/>
    <w:uiPriority w:val="17"/>
    <w:qFormat/>
    <w:rsid w:val="00A507AB"/>
    <w:rPr>
      <w:caps w:val="0"/>
      <w:smallCaps/>
    </w:rPr>
  </w:style>
  <w:style w:type="character" w:customStyle="1" w:styleId="JuITMark">
    <w:name w:val="Ju_ITMark"/>
    <w:basedOn w:val="Domylnaczcionkaakapitu"/>
    <w:uiPriority w:val="38"/>
    <w:qFormat/>
    <w:rsid w:val="00A507AB"/>
    <w:rPr>
      <w:vanish w:val="0"/>
      <w:color w:val="auto"/>
      <w:sz w:val="14"/>
    </w:rPr>
  </w:style>
  <w:style w:type="character" w:styleId="Wyrnieniedelikatne">
    <w:name w:val="Subtle Emphasis"/>
    <w:uiPriority w:val="99"/>
    <w:semiHidden/>
    <w:qFormat/>
    <w:rsid w:val="00A507AB"/>
    <w:rPr>
      <w:i/>
      <w:iCs/>
    </w:rPr>
  </w:style>
  <w:style w:type="paragraph" w:customStyle="1" w:styleId="OpiTranslation">
    <w:name w:val="Opi_Translation"/>
    <w:basedOn w:val="Normalny"/>
    <w:next w:val="OpiPara"/>
    <w:uiPriority w:val="40"/>
    <w:qFormat/>
    <w:rsid w:val="00A507AB"/>
    <w:pPr>
      <w:jc w:val="center"/>
      <w:outlineLvl w:val="0"/>
    </w:pPr>
    <w:rPr>
      <w:i/>
    </w:rPr>
  </w:style>
  <w:style w:type="table" w:customStyle="1" w:styleId="ECHRTable">
    <w:name w:val="ECHR_Table"/>
    <w:basedOn w:val="Standardowy"/>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HTitle">
    <w:name w:val="Dec_H_Title"/>
    <w:basedOn w:val="ECHRTitleCentre1"/>
    <w:uiPriority w:val="7"/>
    <w:rsid w:val="00A507AB"/>
  </w:style>
  <w:style w:type="paragraph" w:customStyle="1" w:styleId="JuCourt">
    <w:name w:val="Ju_Court"/>
    <w:basedOn w:val="Normalny"/>
    <w:next w:val="Normalny"/>
    <w:uiPriority w:val="16"/>
    <w:qFormat/>
    <w:rsid w:val="00A507AB"/>
    <w:pPr>
      <w:tabs>
        <w:tab w:val="left" w:pos="907"/>
        <w:tab w:val="left" w:pos="1701"/>
        <w:tab w:val="right" w:pos="7371"/>
      </w:tabs>
      <w:spacing w:before="240"/>
      <w:ind w:left="397" w:hanging="397"/>
      <w:jc w:val="left"/>
    </w:pPr>
  </w:style>
  <w:style w:type="paragraph" w:customStyle="1" w:styleId="DecList">
    <w:name w:val="Dec_List"/>
    <w:basedOn w:val="Normalny"/>
    <w:uiPriority w:val="9"/>
    <w:rsid w:val="00A507AB"/>
    <w:pPr>
      <w:spacing w:before="240"/>
      <w:ind w:left="284"/>
    </w:pPr>
  </w:style>
  <w:style w:type="character" w:styleId="Uwydatnienie">
    <w:name w:val="Emphasis"/>
    <w:uiPriority w:val="99"/>
    <w:semiHidden/>
    <w:qFormat/>
    <w:rsid w:val="00A507AB"/>
    <w:rPr>
      <w:b/>
      <w:bCs/>
      <w:i/>
      <w:iCs/>
      <w:spacing w:val="10"/>
      <w:bdr w:val="none" w:sz="0" w:space="0" w:color="auto"/>
      <w:shd w:val="clear" w:color="auto" w:fill="auto"/>
    </w:rPr>
  </w:style>
  <w:style w:type="paragraph" w:styleId="Stopka">
    <w:name w:val="footer"/>
    <w:basedOn w:val="Normalny"/>
    <w:link w:val="StopkaZnak"/>
    <w:uiPriority w:val="57"/>
    <w:semiHidden/>
    <w:rsid w:val="00A507AB"/>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rsid w:val="00A507AB"/>
    <w:rPr>
      <w:sz w:val="24"/>
    </w:rPr>
  </w:style>
  <w:style w:type="character" w:styleId="Odwoanieprzypisudolnego">
    <w:name w:val="footnote reference"/>
    <w:basedOn w:val="Domylnaczcionkaakapitu"/>
    <w:uiPriority w:val="99"/>
    <w:semiHidden/>
    <w:rsid w:val="00A507AB"/>
    <w:rPr>
      <w:vertAlign w:val="superscript"/>
    </w:rPr>
  </w:style>
  <w:style w:type="paragraph" w:styleId="Tekstprzypisudolnego">
    <w:name w:val="footnote text"/>
    <w:basedOn w:val="Normalny"/>
    <w:link w:val="TekstprzypisudolnegoZnak"/>
    <w:uiPriority w:val="99"/>
    <w:semiHidden/>
    <w:rsid w:val="00A507AB"/>
    <w:rPr>
      <w:sz w:val="20"/>
      <w:szCs w:val="20"/>
    </w:rPr>
  </w:style>
  <w:style w:type="character" w:customStyle="1" w:styleId="TekstprzypisudolnegoZnak">
    <w:name w:val="Tekst przypisu dolnego Znak"/>
    <w:basedOn w:val="Domylnaczcionkaakapitu"/>
    <w:link w:val="Tekstprzypisudolnego"/>
    <w:uiPriority w:val="99"/>
    <w:semiHidden/>
    <w:rsid w:val="00A507AB"/>
    <w:rPr>
      <w:rFonts w:eastAsiaTheme="minorEastAsia"/>
      <w:sz w:val="20"/>
      <w:szCs w:val="20"/>
    </w:rPr>
  </w:style>
  <w:style w:type="character" w:customStyle="1" w:styleId="Nagwek6Znak">
    <w:name w:val="Nagłówek 6 Znak"/>
    <w:basedOn w:val="Domylnaczcionkaakapitu"/>
    <w:link w:val="Nagwek6"/>
    <w:uiPriority w:val="99"/>
    <w:rsid w:val="00A507AB"/>
    <w:rPr>
      <w:rFonts w:asciiTheme="majorHAnsi" w:eastAsiaTheme="majorEastAsia" w:hAnsiTheme="majorHAnsi" w:cstheme="majorBidi"/>
      <w:b/>
      <w:bCs/>
      <w:i/>
      <w:iCs/>
      <w:color w:val="7F7F7F" w:themeColor="text1" w:themeTint="80"/>
      <w:sz w:val="24"/>
      <w:lang w:bidi="pl-PL"/>
    </w:rPr>
  </w:style>
  <w:style w:type="character" w:customStyle="1" w:styleId="Nagwek7Znak">
    <w:name w:val="Nagłówek 7 Znak"/>
    <w:basedOn w:val="Domylnaczcionkaakapitu"/>
    <w:link w:val="Nagwek7"/>
    <w:uiPriority w:val="99"/>
    <w:rsid w:val="00A507AB"/>
    <w:rPr>
      <w:rFonts w:asciiTheme="majorHAnsi" w:eastAsiaTheme="majorEastAsia" w:hAnsiTheme="majorHAnsi" w:cstheme="majorBidi"/>
      <w:i/>
      <w:iCs/>
      <w:lang w:bidi="pl-PL"/>
    </w:rPr>
  </w:style>
  <w:style w:type="character" w:customStyle="1" w:styleId="Nagwek8Znak">
    <w:name w:val="Nagłówek 8 Znak"/>
    <w:basedOn w:val="Domylnaczcionkaakapitu"/>
    <w:link w:val="Nagwek8"/>
    <w:uiPriority w:val="99"/>
    <w:rsid w:val="00A507AB"/>
    <w:rPr>
      <w:rFonts w:asciiTheme="majorHAnsi" w:eastAsiaTheme="majorEastAsia" w:hAnsiTheme="majorHAnsi" w:cstheme="majorBidi"/>
      <w:sz w:val="20"/>
      <w:szCs w:val="20"/>
      <w:lang w:bidi="pl-PL"/>
    </w:rPr>
  </w:style>
  <w:style w:type="character" w:customStyle="1" w:styleId="Nagwek9Znak">
    <w:name w:val="Nagłówek 9 Znak"/>
    <w:basedOn w:val="Domylnaczcionkaakapitu"/>
    <w:link w:val="Nagwek9"/>
    <w:uiPriority w:val="99"/>
    <w:rsid w:val="00A507AB"/>
    <w:rPr>
      <w:rFonts w:asciiTheme="majorHAnsi" w:eastAsiaTheme="majorEastAsia" w:hAnsiTheme="majorHAnsi" w:cstheme="majorBidi"/>
      <w:i/>
      <w:iCs/>
      <w:spacing w:val="5"/>
      <w:sz w:val="20"/>
      <w:szCs w:val="20"/>
      <w:lang w:bidi="pl-PL"/>
    </w:rPr>
  </w:style>
  <w:style w:type="character" w:styleId="Hipercze">
    <w:name w:val="Hyperlink"/>
    <w:basedOn w:val="Domylnaczcionkaakapitu"/>
    <w:uiPriority w:val="99"/>
    <w:semiHidden/>
    <w:rsid w:val="00A507AB"/>
    <w:rPr>
      <w:color w:val="0072BC" w:themeColor="hyperlink"/>
      <w:u w:val="single"/>
    </w:rPr>
  </w:style>
  <w:style w:type="character" w:styleId="Wyrnienieintensywne">
    <w:name w:val="Intense Emphasis"/>
    <w:uiPriority w:val="99"/>
    <w:semiHidden/>
    <w:qFormat/>
    <w:rsid w:val="00A507AB"/>
    <w:rPr>
      <w:b/>
      <w:bCs/>
    </w:rPr>
  </w:style>
  <w:style w:type="paragraph" w:styleId="Cytatintensywny">
    <w:name w:val="Intense Quote"/>
    <w:basedOn w:val="Normalny"/>
    <w:next w:val="Normalny"/>
    <w:link w:val="CytatintensywnyZnak"/>
    <w:uiPriority w:val="99"/>
    <w:semiHidden/>
    <w:qFormat/>
    <w:rsid w:val="00A507AB"/>
    <w:pPr>
      <w:pBdr>
        <w:bottom w:val="single" w:sz="4" w:space="1" w:color="auto"/>
      </w:pBdr>
      <w:spacing w:before="200" w:after="280"/>
      <w:ind w:left="1008" w:right="1152"/>
    </w:pPr>
    <w:rPr>
      <w:b/>
      <w:bCs/>
      <w:i/>
      <w:iCs/>
      <w:sz w:val="22"/>
    </w:rPr>
  </w:style>
  <w:style w:type="character" w:customStyle="1" w:styleId="CytatintensywnyZnak">
    <w:name w:val="Cytat intensywny Znak"/>
    <w:basedOn w:val="Domylnaczcionkaakapitu"/>
    <w:link w:val="Cytatintensywny"/>
    <w:uiPriority w:val="99"/>
    <w:rsid w:val="00A507AB"/>
    <w:rPr>
      <w:rFonts w:eastAsiaTheme="minorEastAsia"/>
      <w:b/>
      <w:bCs/>
      <w:i/>
      <w:iCs/>
      <w:lang w:bidi="pl-PL"/>
    </w:rPr>
  </w:style>
  <w:style w:type="character" w:styleId="Odwoanieintensywne">
    <w:name w:val="Intense Reference"/>
    <w:uiPriority w:val="99"/>
    <w:semiHidden/>
    <w:qFormat/>
    <w:rsid w:val="00A507AB"/>
    <w:rPr>
      <w:smallCaps/>
      <w:spacing w:val="5"/>
      <w:u w:val="single"/>
    </w:rPr>
  </w:style>
  <w:style w:type="paragraph" w:styleId="Akapitzlist">
    <w:name w:val="List Paragraph"/>
    <w:basedOn w:val="Normalny"/>
    <w:uiPriority w:val="99"/>
    <w:semiHidden/>
    <w:qFormat/>
    <w:rsid w:val="00A507AB"/>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A507AB"/>
    <w:pPr>
      <w:spacing w:before="200"/>
      <w:ind w:left="360" w:right="360"/>
    </w:pPr>
    <w:rPr>
      <w:i/>
      <w:iCs/>
      <w:sz w:val="22"/>
    </w:rPr>
  </w:style>
  <w:style w:type="character" w:customStyle="1" w:styleId="CytatZnak">
    <w:name w:val="Cytat Znak"/>
    <w:basedOn w:val="Domylnaczcionkaakapitu"/>
    <w:link w:val="Cytat"/>
    <w:uiPriority w:val="99"/>
    <w:rsid w:val="00A507AB"/>
    <w:rPr>
      <w:rFonts w:eastAsiaTheme="minorEastAsia"/>
      <w:i/>
      <w:iCs/>
      <w:lang w:bidi="pl-PL"/>
    </w:rPr>
  </w:style>
  <w:style w:type="character" w:styleId="Odwoaniedelikatne">
    <w:name w:val="Subtle Reference"/>
    <w:uiPriority w:val="99"/>
    <w:semiHidden/>
    <w:qFormat/>
    <w:rsid w:val="00A507AB"/>
    <w:rPr>
      <w:smallCaps/>
    </w:rPr>
  </w:style>
  <w:style w:type="table" w:styleId="Tabela-Siatka">
    <w:name w:val="Table Grid"/>
    <w:basedOn w:val="Standardowy"/>
    <w:uiPriority w:val="59"/>
    <w:semiHidden/>
    <w:rsid w:val="00A507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A507AB"/>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A507AB"/>
    <w:pPr>
      <w:spacing w:after="60"/>
      <w:ind w:left="680" w:right="340" w:hanging="340"/>
    </w:pPr>
  </w:style>
  <w:style w:type="paragraph" w:styleId="Spistreci3">
    <w:name w:val="toc 3"/>
    <w:basedOn w:val="Normalny"/>
    <w:next w:val="Normalny"/>
    <w:autoRedefine/>
    <w:uiPriority w:val="99"/>
    <w:semiHidden/>
    <w:rsid w:val="00A507AB"/>
    <w:pPr>
      <w:spacing w:after="60"/>
      <w:ind w:left="1020" w:right="340" w:hanging="340"/>
    </w:pPr>
  </w:style>
  <w:style w:type="paragraph" w:styleId="Spistreci4">
    <w:name w:val="toc 4"/>
    <w:basedOn w:val="Normalny"/>
    <w:next w:val="Normalny"/>
    <w:autoRedefine/>
    <w:uiPriority w:val="99"/>
    <w:semiHidden/>
    <w:rsid w:val="00A507AB"/>
    <w:pPr>
      <w:tabs>
        <w:tab w:val="right" w:leader="dot" w:pos="9017"/>
      </w:tabs>
      <w:spacing w:after="60"/>
      <w:ind w:left="1361" w:right="340" w:hanging="340"/>
    </w:pPr>
  </w:style>
  <w:style w:type="paragraph" w:styleId="Spistreci5">
    <w:name w:val="toc 5"/>
    <w:basedOn w:val="Normalny"/>
    <w:next w:val="Normalny"/>
    <w:autoRedefine/>
    <w:uiPriority w:val="99"/>
    <w:semiHidden/>
    <w:rsid w:val="00A507AB"/>
    <w:pPr>
      <w:spacing w:after="60"/>
      <w:ind w:left="1701" w:right="340" w:hanging="340"/>
    </w:pPr>
  </w:style>
  <w:style w:type="paragraph" w:styleId="Nagwekspisutreci">
    <w:name w:val="TOC Heading"/>
    <w:basedOn w:val="Nagwek1"/>
    <w:next w:val="Normalny"/>
    <w:uiPriority w:val="99"/>
    <w:semiHidden/>
    <w:qFormat/>
    <w:rsid w:val="00A507AB"/>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A507AB"/>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semiHidden/>
    <w:qFormat/>
    <w:rsid w:val="00A507AB"/>
    <w:pPr>
      <w:spacing w:after="600"/>
    </w:pPr>
    <w:rPr>
      <w:rFonts w:asciiTheme="majorHAnsi" w:eastAsiaTheme="majorEastAsia" w:hAnsiTheme="majorHAnsi" w:cstheme="majorBidi"/>
      <w:i/>
      <w:iCs/>
      <w:spacing w:val="13"/>
      <w:szCs w:val="24"/>
    </w:rPr>
  </w:style>
  <w:style w:type="character" w:customStyle="1" w:styleId="PodtytuZnak">
    <w:name w:val="Podtytuł Znak"/>
    <w:basedOn w:val="Domylnaczcionkaakapitu"/>
    <w:link w:val="Podtytu"/>
    <w:uiPriority w:val="99"/>
    <w:rsid w:val="00A507AB"/>
    <w:rPr>
      <w:rFonts w:asciiTheme="majorHAnsi" w:eastAsiaTheme="majorEastAsia" w:hAnsiTheme="majorHAnsi" w:cstheme="majorBidi"/>
      <w:i/>
      <w:iCs/>
      <w:spacing w:val="13"/>
      <w:sz w:val="24"/>
      <w:szCs w:val="24"/>
      <w:lang w:bidi="pl-PL"/>
    </w:rPr>
  </w:style>
  <w:style w:type="numbering" w:styleId="111111">
    <w:name w:val="Outline List 2"/>
    <w:basedOn w:val="Bezlisty"/>
    <w:uiPriority w:val="99"/>
    <w:semiHidden/>
    <w:unhideWhenUsed/>
    <w:rsid w:val="0098410D"/>
    <w:pPr>
      <w:numPr>
        <w:numId w:val="3"/>
      </w:numPr>
    </w:pPr>
  </w:style>
  <w:style w:type="paragraph" w:customStyle="1" w:styleId="ECHRPara">
    <w:name w:val="ECHR_Para"/>
    <w:aliases w:val="Ju_Para,Left,First line:  0 cm"/>
    <w:basedOn w:val="Normalny"/>
    <w:link w:val="ECHRParaChar"/>
    <w:uiPriority w:val="12"/>
    <w:qFormat/>
    <w:rsid w:val="00A507AB"/>
    <w:pPr>
      <w:ind w:firstLine="284"/>
    </w:pPr>
  </w:style>
  <w:style w:type="numbering" w:styleId="1ai">
    <w:name w:val="Outline List 1"/>
    <w:basedOn w:val="Bezlisty"/>
    <w:uiPriority w:val="99"/>
    <w:semiHidden/>
    <w:unhideWhenUsed/>
    <w:rsid w:val="0098410D"/>
    <w:pPr>
      <w:numPr>
        <w:numId w:val="4"/>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98410D"/>
    <w:pPr>
      <w:numPr>
        <w:numId w:val="5"/>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A507A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98410D"/>
  </w:style>
  <w:style w:type="paragraph" w:styleId="Tekstblokowy">
    <w:name w:val="Block Text"/>
    <w:basedOn w:val="Normalny"/>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98410D"/>
    <w:pPr>
      <w:spacing w:after="120"/>
    </w:pPr>
  </w:style>
  <w:style w:type="character" w:customStyle="1" w:styleId="TekstpodstawowyZnak">
    <w:name w:val="Tekst podstawowy Znak"/>
    <w:basedOn w:val="Domylnaczcionkaakapitu"/>
    <w:link w:val="Tekstpodstawowy"/>
    <w:uiPriority w:val="99"/>
    <w:semiHidden/>
    <w:rsid w:val="0098410D"/>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98410D"/>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A507AB"/>
    <w:pPr>
      <w:ind w:firstLine="284"/>
    </w:pPr>
    <w:rPr>
      <w:b/>
    </w:rPr>
  </w:style>
  <w:style w:type="character" w:styleId="Numerstrony">
    <w:name w:val="page number"/>
    <w:semiHidden/>
    <w:rsid w:val="0098410D"/>
    <w:rPr>
      <w:sz w:val="18"/>
    </w:rPr>
  </w:style>
  <w:style w:type="paragraph" w:styleId="Listapunktowana">
    <w:name w:val="List Bullet"/>
    <w:basedOn w:val="Normalny"/>
    <w:semiHidden/>
    <w:rsid w:val="0098410D"/>
    <w:pPr>
      <w:numPr>
        <w:numId w:val="2"/>
      </w:numPr>
    </w:pPr>
  </w:style>
  <w:style w:type="paragraph" w:styleId="Listapunktowana3">
    <w:name w:val="List Bullet 3"/>
    <w:basedOn w:val="Normalny"/>
    <w:uiPriority w:val="99"/>
    <w:semiHidden/>
    <w:rsid w:val="0098410D"/>
    <w:pPr>
      <w:numPr>
        <w:numId w:val="1"/>
      </w:numPr>
      <w:contextualSpacing/>
    </w:pPr>
  </w:style>
  <w:style w:type="character" w:customStyle="1" w:styleId="Tekstpodstawowy2Znak">
    <w:name w:val="Tekst podstawowy 2 Znak"/>
    <w:basedOn w:val="Domylnaczcionkaakapitu"/>
    <w:link w:val="Tekstpodstawowy2"/>
    <w:uiPriority w:val="99"/>
    <w:semiHidden/>
    <w:rsid w:val="0098410D"/>
    <w:rPr>
      <w:rFonts w:eastAsiaTheme="minorEastAsia"/>
      <w:sz w:val="24"/>
    </w:rPr>
  </w:style>
  <w:style w:type="paragraph" w:styleId="Tekstpodstawowy3">
    <w:name w:val="Body Text 3"/>
    <w:basedOn w:val="Normalny"/>
    <w:link w:val="Tekstpodstawowy3Znak"/>
    <w:uiPriority w:val="99"/>
    <w:semiHidden/>
    <w:rsid w:val="0098410D"/>
    <w:pPr>
      <w:spacing w:after="120"/>
    </w:pPr>
    <w:rPr>
      <w:sz w:val="16"/>
      <w:szCs w:val="16"/>
    </w:rPr>
  </w:style>
  <w:style w:type="character" w:customStyle="1" w:styleId="Tekstpodstawowy3Znak">
    <w:name w:val="Tekst podstawowy 3 Znak"/>
    <w:basedOn w:val="Domylnaczcionkaakapitu"/>
    <w:link w:val="Tekstpodstawowy3"/>
    <w:uiPriority w:val="99"/>
    <w:semiHidden/>
    <w:rsid w:val="0098410D"/>
    <w:rPr>
      <w:rFonts w:eastAsiaTheme="minorEastAsia"/>
      <w:sz w:val="16"/>
      <w:szCs w:val="16"/>
    </w:rPr>
  </w:style>
  <w:style w:type="paragraph" w:styleId="Tekstpodstawowyzwciciem">
    <w:name w:val="Body Text First Indent"/>
    <w:basedOn w:val="Tekstpodstawowy"/>
    <w:link w:val="TekstpodstawowyzwciciemZnak"/>
    <w:uiPriority w:val="99"/>
    <w:semiHidden/>
    <w:rsid w:val="0098410D"/>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8410D"/>
    <w:rPr>
      <w:rFonts w:eastAsiaTheme="minorEastAsia"/>
      <w:sz w:val="24"/>
    </w:rPr>
  </w:style>
  <w:style w:type="paragraph" w:styleId="Tekstpodstawowywcity">
    <w:name w:val="Body Text Indent"/>
    <w:basedOn w:val="Normalny"/>
    <w:link w:val="TekstpodstawowywcityZnak"/>
    <w:uiPriority w:val="99"/>
    <w:semiHidden/>
    <w:rsid w:val="0098410D"/>
    <w:pPr>
      <w:spacing w:after="120"/>
      <w:ind w:left="283"/>
    </w:pPr>
  </w:style>
  <w:style w:type="character" w:customStyle="1" w:styleId="TekstpodstawowywcityZnak">
    <w:name w:val="Tekst podstawowy wcięty Znak"/>
    <w:basedOn w:val="Domylnaczcionkaakapitu"/>
    <w:link w:val="Tekstpodstawowywcity"/>
    <w:uiPriority w:val="99"/>
    <w:semiHidden/>
    <w:rsid w:val="0098410D"/>
    <w:rPr>
      <w:rFonts w:eastAsiaTheme="minorEastAsia"/>
      <w:sz w:val="24"/>
    </w:rPr>
  </w:style>
  <w:style w:type="paragraph" w:styleId="Tekstpodstawowyzwciciem2">
    <w:name w:val="Body Text First Indent 2"/>
    <w:basedOn w:val="Tekstpodstawowywcity"/>
    <w:link w:val="Tekstpodstawowyzwciciem2Znak"/>
    <w:uiPriority w:val="99"/>
    <w:semiHidden/>
    <w:rsid w:val="0098410D"/>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98410D"/>
    <w:rPr>
      <w:rFonts w:eastAsiaTheme="minorEastAsia"/>
      <w:sz w:val="24"/>
    </w:rPr>
  </w:style>
  <w:style w:type="paragraph" w:styleId="Tekstpodstawowywcity2">
    <w:name w:val="Body Text Indent 2"/>
    <w:basedOn w:val="Normalny"/>
    <w:link w:val="Tekstpodstawowywcity2Znak"/>
    <w:uiPriority w:val="99"/>
    <w:semiHidden/>
    <w:rsid w:val="0098410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8410D"/>
    <w:rPr>
      <w:rFonts w:eastAsiaTheme="minorEastAsia"/>
      <w:sz w:val="24"/>
    </w:rPr>
  </w:style>
  <w:style w:type="paragraph" w:styleId="Tekstpodstawowywcity3">
    <w:name w:val="Body Text Indent 3"/>
    <w:basedOn w:val="Normalny"/>
    <w:link w:val="Tekstpodstawowywcity3Znak"/>
    <w:uiPriority w:val="99"/>
    <w:semiHidden/>
    <w:rsid w:val="009841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8410D"/>
    <w:rPr>
      <w:rFonts w:eastAsiaTheme="minorEastAsia"/>
      <w:sz w:val="16"/>
      <w:szCs w:val="16"/>
    </w:rPr>
  </w:style>
  <w:style w:type="paragraph" w:styleId="Legenda">
    <w:name w:val="caption"/>
    <w:basedOn w:val="Normalny"/>
    <w:next w:val="Normalny"/>
    <w:uiPriority w:val="99"/>
    <w:semiHidden/>
    <w:qFormat/>
    <w:rsid w:val="0098410D"/>
    <w:pPr>
      <w:spacing w:after="200"/>
    </w:pPr>
    <w:rPr>
      <w:b/>
      <w:bCs/>
      <w:color w:val="0072BC" w:themeColor="accent1"/>
      <w:sz w:val="18"/>
      <w:szCs w:val="18"/>
    </w:rPr>
  </w:style>
  <w:style w:type="paragraph" w:styleId="Zwrotpoegnalny">
    <w:name w:val="Closing"/>
    <w:basedOn w:val="Normalny"/>
    <w:link w:val="ZwrotpoegnalnyZnak"/>
    <w:uiPriority w:val="99"/>
    <w:semiHidden/>
    <w:rsid w:val="0098410D"/>
    <w:pPr>
      <w:ind w:left="4252"/>
    </w:pPr>
  </w:style>
  <w:style w:type="character" w:customStyle="1" w:styleId="ZwrotpoegnalnyZnak">
    <w:name w:val="Zwrot pożegnalny Znak"/>
    <w:basedOn w:val="Domylnaczcionkaakapitu"/>
    <w:link w:val="Zwrotpoegnalny"/>
    <w:uiPriority w:val="99"/>
    <w:semiHidden/>
    <w:rsid w:val="0098410D"/>
    <w:rPr>
      <w:rFonts w:eastAsiaTheme="minorEastAsia"/>
      <w:sz w:val="24"/>
    </w:rPr>
  </w:style>
  <w:style w:type="table" w:styleId="Kolorowasiatka">
    <w:name w:val="Colorful Grid"/>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72"/>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72"/>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72"/>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72"/>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72"/>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72"/>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71"/>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71"/>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rsid w:val="0098410D"/>
    <w:rPr>
      <w:sz w:val="16"/>
      <w:szCs w:val="16"/>
    </w:rPr>
  </w:style>
  <w:style w:type="paragraph" w:styleId="Tekstkomentarza">
    <w:name w:val="annotation text"/>
    <w:basedOn w:val="Normalny"/>
    <w:link w:val="TekstkomentarzaZnak"/>
    <w:semiHidden/>
    <w:rsid w:val="0098410D"/>
    <w:rPr>
      <w:sz w:val="20"/>
      <w:szCs w:val="20"/>
    </w:rPr>
  </w:style>
  <w:style w:type="character" w:customStyle="1" w:styleId="TekstkomentarzaZnak">
    <w:name w:val="Tekst komentarza Znak"/>
    <w:basedOn w:val="Domylnaczcionkaakapitu"/>
    <w:link w:val="Tekstkomentarza"/>
    <w:uiPriority w:val="99"/>
    <w:semiHidden/>
    <w:rsid w:val="0098410D"/>
    <w:rPr>
      <w:rFonts w:eastAsiaTheme="minorEastAsia"/>
      <w:sz w:val="20"/>
      <w:szCs w:val="20"/>
    </w:rPr>
  </w:style>
  <w:style w:type="paragraph" w:styleId="Tematkomentarza">
    <w:name w:val="annotation subject"/>
    <w:basedOn w:val="Tekstkomentarza"/>
    <w:next w:val="Tekstkomentarza"/>
    <w:link w:val="TematkomentarzaZnak"/>
    <w:semiHidden/>
    <w:rsid w:val="0098410D"/>
    <w:rPr>
      <w:b/>
      <w:bCs/>
    </w:rPr>
  </w:style>
  <w:style w:type="character" w:customStyle="1" w:styleId="TematkomentarzaZnak">
    <w:name w:val="Temat komentarza Znak"/>
    <w:basedOn w:val="TekstkomentarzaZnak"/>
    <w:link w:val="Tematkomentarza"/>
    <w:uiPriority w:val="99"/>
    <w:semiHidden/>
    <w:rsid w:val="0098410D"/>
    <w:rPr>
      <w:rFonts w:eastAsiaTheme="minorEastAsia"/>
      <w:b/>
      <w:bCs/>
      <w:sz w:val="20"/>
      <w:szCs w:val="20"/>
    </w:rPr>
  </w:style>
  <w:style w:type="table" w:styleId="Ciemnalista">
    <w:name w:val="Dark List"/>
    <w:basedOn w:val="Standardowy"/>
    <w:uiPriority w:val="70"/>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70"/>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70"/>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70"/>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70"/>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70"/>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98410D"/>
  </w:style>
  <w:style w:type="character" w:customStyle="1" w:styleId="DataZnak">
    <w:name w:val="Data Znak"/>
    <w:basedOn w:val="Domylnaczcionkaakapitu"/>
    <w:link w:val="Data"/>
    <w:uiPriority w:val="99"/>
    <w:semiHidden/>
    <w:rsid w:val="0098410D"/>
    <w:rPr>
      <w:rFonts w:eastAsiaTheme="minorEastAsia"/>
      <w:sz w:val="24"/>
    </w:rPr>
  </w:style>
  <w:style w:type="paragraph" w:styleId="Mapadokumentu">
    <w:name w:val="Document Map"/>
    <w:basedOn w:val="Normalny"/>
    <w:link w:val="MapadokumentuZnak"/>
    <w:semiHidden/>
    <w:rsid w:val="0098410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8410D"/>
    <w:rPr>
      <w:rFonts w:ascii="Tahoma" w:eastAsiaTheme="minorEastAsia" w:hAnsi="Tahoma" w:cs="Tahoma"/>
      <w:sz w:val="16"/>
      <w:szCs w:val="16"/>
    </w:rPr>
  </w:style>
  <w:style w:type="paragraph" w:styleId="Podpise-mail">
    <w:name w:val="E-mail Signature"/>
    <w:basedOn w:val="Normalny"/>
    <w:link w:val="Podpise-mailZnak"/>
    <w:uiPriority w:val="99"/>
    <w:semiHidden/>
    <w:rsid w:val="0098410D"/>
  </w:style>
  <w:style w:type="character" w:customStyle="1" w:styleId="Podpise-mailZnak">
    <w:name w:val="Podpis e-mail Znak"/>
    <w:basedOn w:val="Domylnaczcionkaakapitu"/>
    <w:link w:val="Podpise-mail"/>
    <w:uiPriority w:val="99"/>
    <w:semiHidden/>
    <w:rsid w:val="0098410D"/>
    <w:rPr>
      <w:rFonts w:eastAsiaTheme="minorEastAsia"/>
      <w:sz w:val="24"/>
    </w:rPr>
  </w:style>
  <w:style w:type="character" w:styleId="Odwoanieprzypisukocowego">
    <w:name w:val="endnote reference"/>
    <w:basedOn w:val="Domylnaczcionkaakapitu"/>
    <w:semiHidden/>
    <w:rsid w:val="0098410D"/>
    <w:rPr>
      <w:vertAlign w:val="superscript"/>
    </w:rPr>
  </w:style>
  <w:style w:type="paragraph" w:styleId="Tekstprzypisukocowego">
    <w:name w:val="endnote text"/>
    <w:basedOn w:val="Normalny"/>
    <w:link w:val="TekstprzypisukocowegoZnak"/>
    <w:semiHidden/>
    <w:rsid w:val="0098410D"/>
    <w:rPr>
      <w:sz w:val="20"/>
      <w:szCs w:val="20"/>
    </w:rPr>
  </w:style>
  <w:style w:type="character" w:customStyle="1" w:styleId="TekstprzypisukocowegoZnak">
    <w:name w:val="Tekst przypisu końcowego Znak"/>
    <w:basedOn w:val="Domylnaczcionkaakapitu"/>
    <w:link w:val="Tekstprzypisukocowego"/>
    <w:uiPriority w:val="99"/>
    <w:semiHidden/>
    <w:rsid w:val="0098410D"/>
    <w:rPr>
      <w:rFonts w:eastAsiaTheme="minorEastAsia"/>
      <w:sz w:val="20"/>
      <w:szCs w:val="20"/>
    </w:rPr>
  </w:style>
  <w:style w:type="paragraph" w:styleId="Adresnakopercie">
    <w:name w:val="envelope address"/>
    <w:basedOn w:val="Normalny"/>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98410D"/>
    <w:rPr>
      <w:rFonts w:asciiTheme="majorHAnsi" w:eastAsiaTheme="majorEastAsia" w:hAnsiTheme="majorHAnsi" w:cstheme="majorBidi"/>
      <w:sz w:val="20"/>
      <w:szCs w:val="20"/>
    </w:rPr>
  </w:style>
  <w:style w:type="character" w:styleId="UyteHipercze">
    <w:name w:val="FollowedHyperlink"/>
    <w:basedOn w:val="Domylnaczcionkaakapitu"/>
    <w:semiHidden/>
    <w:rsid w:val="0098410D"/>
    <w:rPr>
      <w:color w:val="7030A0" w:themeColor="followedHyperlink"/>
      <w:u w:val="single"/>
    </w:rPr>
  </w:style>
  <w:style w:type="character" w:styleId="HTML-akronim">
    <w:name w:val="HTML Acronym"/>
    <w:basedOn w:val="Domylnaczcionkaakapitu"/>
    <w:uiPriority w:val="99"/>
    <w:semiHidden/>
    <w:rsid w:val="0098410D"/>
  </w:style>
  <w:style w:type="paragraph" w:styleId="HTML-adres">
    <w:name w:val="HTML Address"/>
    <w:basedOn w:val="Normalny"/>
    <w:link w:val="HTML-adresZnak"/>
    <w:uiPriority w:val="99"/>
    <w:semiHidden/>
    <w:rsid w:val="0098410D"/>
    <w:rPr>
      <w:i/>
      <w:iCs/>
    </w:rPr>
  </w:style>
  <w:style w:type="character" w:customStyle="1" w:styleId="HTML-adresZnak">
    <w:name w:val="HTML - adres Znak"/>
    <w:basedOn w:val="Domylnaczcionkaakapitu"/>
    <w:link w:val="HTML-adres"/>
    <w:uiPriority w:val="99"/>
    <w:semiHidden/>
    <w:rsid w:val="0098410D"/>
    <w:rPr>
      <w:rFonts w:eastAsiaTheme="minorEastAsia"/>
      <w:i/>
      <w:iCs/>
      <w:sz w:val="24"/>
    </w:rPr>
  </w:style>
  <w:style w:type="character" w:styleId="HTML-cytat">
    <w:name w:val="HTML Cite"/>
    <w:basedOn w:val="Domylnaczcionkaakapitu"/>
    <w:uiPriority w:val="99"/>
    <w:semiHidden/>
    <w:rsid w:val="0098410D"/>
    <w:rPr>
      <w:i/>
      <w:iCs/>
    </w:rPr>
  </w:style>
  <w:style w:type="character" w:styleId="HTML-kod">
    <w:name w:val="HTML Code"/>
    <w:basedOn w:val="Domylnaczcionkaakapitu"/>
    <w:uiPriority w:val="99"/>
    <w:semiHidden/>
    <w:rsid w:val="0098410D"/>
    <w:rPr>
      <w:rFonts w:ascii="Consolas" w:hAnsi="Consolas" w:cs="Consolas"/>
      <w:sz w:val="20"/>
      <w:szCs w:val="20"/>
    </w:rPr>
  </w:style>
  <w:style w:type="character" w:styleId="HTML-definicja">
    <w:name w:val="HTML Definition"/>
    <w:basedOn w:val="Domylnaczcionkaakapitu"/>
    <w:uiPriority w:val="99"/>
    <w:semiHidden/>
    <w:rsid w:val="0098410D"/>
    <w:rPr>
      <w:i/>
      <w:iCs/>
    </w:rPr>
  </w:style>
  <w:style w:type="character" w:styleId="HTML-klawiatura">
    <w:name w:val="HTML Keyboard"/>
    <w:basedOn w:val="Domylnaczcionkaakapitu"/>
    <w:uiPriority w:val="99"/>
    <w:semiHidden/>
    <w:rsid w:val="0098410D"/>
    <w:rPr>
      <w:rFonts w:ascii="Consolas" w:hAnsi="Consolas" w:cs="Consolas"/>
      <w:sz w:val="20"/>
      <w:szCs w:val="20"/>
    </w:rPr>
  </w:style>
  <w:style w:type="paragraph" w:styleId="HTML-wstpniesformatowany">
    <w:name w:val="HTML Preformatted"/>
    <w:basedOn w:val="Normalny"/>
    <w:link w:val="HTML-wstpniesformatowanyZnak"/>
    <w:uiPriority w:val="99"/>
    <w:semiHidden/>
    <w:rsid w:val="0098410D"/>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8410D"/>
    <w:rPr>
      <w:rFonts w:ascii="Consolas" w:eastAsiaTheme="minorEastAsia" w:hAnsi="Consolas" w:cs="Consolas"/>
      <w:sz w:val="20"/>
      <w:szCs w:val="20"/>
    </w:rPr>
  </w:style>
  <w:style w:type="character" w:styleId="HTML-przykad">
    <w:name w:val="HTML Sample"/>
    <w:basedOn w:val="Domylnaczcionkaakapitu"/>
    <w:uiPriority w:val="99"/>
    <w:semiHidden/>
    <w:rsid w:val="0098410D"/>
    <w:rPr>
      <w:rFonts w:ascii="Consolas" w:hAnsi="Consolas" w:cs="Consolas"/>
      <w:sz w:val="24"/>
      <w:szCs w:val="24"/>
    </w:rPr>
  </w:style>
  <w:style w:type="character" w:styleId="HTML-staaszeroko">
    <w:name w:val="HTML Typewriter"/>
    <w:basedOn w:val="Domylnaczcionkaakapitu"/>
    <w:uiPriority w:val="99"/>
    <w:semiHidden/>
    <w:rsid w:val="0098410D"/>
    <w:rPr>
      <w:rFonts w:ascii="Consolas" w:hAnsi="Consolas" w:cs="Consolas"/>
      <w:sz w:val="20"/>
      <w:szCs w:val="20"/>
    </w:rPr>
  </w:style>
  <w:style w:type="character" w:styleId="HTML-zmienna">
    <w:name w:val="HTML Variable"/>
    <w:basedOn w:val="Domylnaczcionkaakapitu"/>
    <w:uiPriority w:val="99"/>
    <w:semiHidden/>
    <w:rsid w:val="0098410D"/>
    <w:rPr>
      <w:i/>
      <w:iCs/>
    </w:rPr>
  </w:style>
  <w:style w:type="paragraph" w:styleId="Indeks1">
    <w:name w:val="index 1"/>
    <w:basedOn w:val="Normalny"/>
    <w:next w:val="Normalny"/>
    <w:autoRedefine/>
    <w:uiPriority w:val="99"/>
    <w:semiHidden/>
    <w:rsid w:val="0098410D"/>
    <w:pPr>
      <w:ind w:left="240" w:hanging="240"/>
    </w:pPr>
  </w:style>
  <w:style w:type="paragraph" w:styleId="Indeks2">
    <w:name w:val="index 2"/>
    <w:basedOn w:val="Normalny"/>
    <w:next w:val="Normalny"/>
    <w:autoRedefine/>
    <w:uiPriority w:val="99"/>
    <w:semiHidden/>
    <w:rsid w:val="0098410D"/>
    <w:pPr>
      <w:ind w:left="480" w:hanging="240"/>
    </w:pPr>
  </w:style>
  <w:style w:type="paragraph" w:styleId="Indeks3">
    <w:name w:val="index 3"/>
    <w:basedOn w:val="Normalny"/>
    <w:next w:val="Normalny"/>
    <w:autoRedefine/>
    <w:uiPriority w:val="99"/>
    <w:semiHidden/>
    <w:rsid w:val="0098410D"/>
    <w:pPr>
      <w:ind w:left="720" w:hanging="240"/>
    </w:pPr>
  </w:style>
  <w:style w:type="paragraph" w:styleId="Indeks4">
    <w:name w:val="index 4"/>
    <w:basedOn w:val="Normalny"/>
    <w:next w:val="Normalny"/>
    <w:autoRedefine/>
    <w:uiPriority w:val="99"/>
    <w:semiHidden/>
    <w:rsid w:val="0098410D"/>
    <w:pPr>
      <w:ind w:left="960" w:hanging="240"/>
    </w:pPr>
  </w:style>
  <w:style w:type="paragraph" w:styleId="Indeks5">
    <w:name w:val="index 5"/>
    <w:basedOn w:val="Normalny"/>
    <w:next w:val="Normalny"/>
    <w:autoRedefine/>
    <w:uiPriority w:val="99"/>
    <w:semiHidden/>
    <w:rsid w:val="0098410D"/>
    <w:pPr>
      <w:ind w:left="1200" w:hanging="240"/>
    </w:pPr>
  </w:style>
  <w:style w:type="paragraph" w:styleId="Indeks6">
    <w:name w:val="index 6"/>
    <w:basedOn w:val="Normalny"/>
    <w:next w:val="Normalny"/>
    <w:autoRedefine/>
    <w:uiPriority w:val="99"/>
    <w:semiHidden/>
    <w:rsid w:val="0098410D"/>
    <w:pPr>
      <w:ind w:left="1440" w:hanging="240"/>
    </w:pPr>
  </w:style>
  <w:style w:type="paragraph" w:styleId="Indeks7">
    <w:name w:val="index 7"/>
    <w:basedOn w:val="Normalny"/>
    <w:next w:val="Normalny"/>
    <w:autoRedefine/>
    <w:uiPriority w:val="99"/>
    <w:semiHidden/>
    <w:rsid w:val="0098410D"/>
    <w:pPr>
      <w:ind w:left="1680" w:hanging="240"/>
    </w:pPr>
  </w:style>
  <w:style w:type="paragraph" w:styleId="Indeks8">
    <w:name w:val="index 8"/>
    <w:basedOn w:val="Normalny"/>
    <w:next w:val="Normalny"/>
    <w:autoRedefine/>
    <w:uiPriority w:val="99"/>
    <w:semiHidden/>
    <w:rsid w:val="0098410D"/>
    <w:pPr>
      <w:ind w:left="1920" w:hanging="240"/>
    </w:pPr>
  </w:style>
  <w:style w:type="paragraph" w:styleId="Indeks9">
    <w:name w:val="index 9"/>
    <w:basedOn w:val="Normalny"/>
    <w:next w:val="Normalny"/>
    <w:autoRedefine/>
    <w:uiPriority w:val="99"/>
    <w:semiHidden/>
    <w:rsid w:val="0098410D"/>
    <w:pPr>
      <w:ind w:left="2160" w:hanging="240"/>
    </w:pPr>
  </w:style>
  <w:style w:type="paragraph" w:styleId="Nagwekindeksu">
    <w:name w:val="index heading"/>
    <w:basedOn w:val="Normalny"/>
    <w:next w:val="Indeks1"/>
    <w:uiPriority w:val="99"/>
    <w:semiHidden/>
    <w:rsid w:val="0098410D"/>
    <w:rPr>
      <w:rFonts w:asciiTheme="majorHAnsi" w:eastAsiaTheme="majorEastAsia" w:hAnsiTheme="majorHAnsi" w:cstheme="majorBidi"/>
      <w:b/>
      <w:bCs/>
    </w:rPr>
  </w:style>
  <w:style w:type="table" w:styleId="Jasnasiatka">
    <w:name w:val="Light Grid"/>
    <w:basedOn w:val="Standardowy"/>
    <w:uiPriority w:val="62"/>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62"/>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62"/>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62"/>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62"/>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62"/>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61"/>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61"/>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61"/>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61"/>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61"/>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61"/>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60"/>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60"/>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60"/>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60"/>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60"/>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60"/>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98410D"/>
  </w:style>
  <w:style w:type="paragraph" w:styleId="Lista">
    <w:name w:val="List"/>
    <w:basedOn w:val="Normalny"/>
    <w:uiPriority w:val="99"/>
    <w:semiHidden/>
    <w:rsid w:val="0098410D"/>
    <w:pPr>
      <w:ind w:left="283" w:hanging="283"/>
      <w:contextualSpacing/>
    </w:pPr>
  </w:style>
  <w:style w:type="paragraph" w:styleId="Lista2">
    <w:name w:val="List 2"/>
    <w:basedOn w:val="Normalny"/>
    <w:uiPriority w:val="99"/>
    <w:semiHidden/>
    <w:rsid w:val="0098410D"/>
    <w:pPr>
      <w:ind w:left="566" w:hanging="283"/>
      <w:contextualSpacing/>
    </w:pPr>
  </w:style>
  <w:style w:type="paragraph" w:styleId="Lista3">
    <w:name w:val="List 3"/>
    <w:basedOn w:val="Normalny"/>
    <w:uiPriority w:val="99"/>
    <w:semiHidden/>
    <w:rsid w:val="0098410D"/>
    <w:pPr>
      <w:ind w:left="849" w:hanging="283"/>
      <w:contextualSpacing/>
    </w:pPr>
  </w:style>
  <w:style w:type="paragraph" w:styleId="Lista4">
    <w:name w:val="List 4"/>
    <w:basedOn w:val="Normalny"/>
    <w:uiPriority w:val="99"/>
    <w:semiHidden/>
    <w:rsid w:val="0098410D"/>
    <w:pPr>
      <w:ind w:left="1132" w:hanging="283"/>
      <w:contextualSpacing/>
    </w:pPr>
  </w:style>
  <w:style w:type="paragraph" w:styleId="Lista5">
    <w:name w:val="List 5"/>
    <w:basedOn w:val="Normalny"/>
    <w:uiPriority w:val="99"/>
    <w:semiHidden/>
    <w:rsid w:val="0098410D"/>
    <w:pPr>
      <w:ind w:left="1415" w:hanging="283"/>
      <w:contextualSpacing/>
    </w:pPr>
  </w:style>
  <w:style w:type="paragraph" w:styleId="Listapunktowana2">
    <w:name w:val="List Bullet 2"/>
    <w:basedOn w:val="Normalny"/>
    <w:uiPriority w:val="99"/>
    <w:semiHidden/>
    <w:rsid w:val="0098410D"/>
    <w:pPr>
      <w:numPr>
        <w:numId w:val="6"/>
      </w:numPr>
      <w:contextualSpacing/>
    </w:pPr>
  </w:style>
  <w:style w:type="paragraph" w:styleId="Listapunktowana4">
    <w:name w:val="List Bullet 4"/>
    <w:basedOn w:val="Normalny"/>
    <w:uiPriority w:val="99"/>
    <w:semiHidden/>
    <w:rsid w:val="0098410D"/>
    <w:pPr>
      <w:numPr>
        <w:numId w:val="7"/>
      </w:numPr>
      <w:contextualSpacing/>
    </w:pPr>
  </w:style>
  <w:style w:type="paragraph" w:styleId="Listapunktowana5">
    <w:name w:val="List Bullet 5"/>
    <w:basedOn w:val="Normalny"/>
    <w:uiPriority w:val="99"/>
    <w:semiHidden/>
    <w:rsid w:val="0098410D"/>
    <w:pPr>
      <w:numPr>
        <w:numId w:val="8"/>
      </w:numPr>
      <w:contextualSpacing/>
    </w:pPr>
  </w:style>
  <w:style w:type="paragraph" w:styleId="Lista-kontynuacja">
    <w:name w:val="List Continue"/>
    <w:basedOn w:val="Normalny"/>
    <w:uiPriority w:val="99"/>
    <w:semiHidden/>
    <w:rsid w:val="0098410D"/>
    <w:pPr>
      <w:spacing w:after="120"/>
      <w:ind w:left="283"/>
      <w:contextualSpacing/>
    </w:pPr>
  </w:style>
  <w:style w:type="paragraph" w:styleId="Lista-kontynuacja2">
    <w:name w:val="List Continue 2"/>
    <w:basedOn w:val="Normalny"/>
    <w:uiPriority w:val="99"/>
    <w:semiHidden/>
    <w:rsid w:val="0098410D"/>
    <w:pPr>
      <w:spacing w:after="120"/>
      <w:ind w:left="566"/>
      <w:contextualSpacing/>
    </w:pPr>
  </w:style>
  <w:style w:type="paragraph" w:styleId="Lista-kontynuacja3">
    <w:name w:val="List Continue 3"/>
    <w:basedOn w:val="Normalny"/>
    <w:uiPriority w:val="99"/>
    <w:semiHidden/>
    <w:rsid w:val="0098410D"/>
    <w:pPr>
      <w:spacing w:after="120"/>
      <w:ind w:left="849"/>
      <w:contextualSpacing/>
    </w:pPr>
  </w:style>
  <w:style w:type="paragraph" w:styleId="Lista-kontynuacja4">
    <w:name w:val="List Continue 4"/>
    <w:basedOn w:val="Normalny"/>
    <w:uiPriority w:val="99"/>
    <w:semiHidden/>
    <w:rsid w:val="0098410D"/>
    <w:pPr>
      <w:spacing w:after="120"/>
      <w:ind w:left="1132"/>
      <w:contextualSpacing/>
    </w:pPr>
  </w:style>
  <w:style w:type="paragraph" w:styleId="Lista-kontynuacja5">
    <w:name w:val="List Continue 5"/>
    <w:basedOn w:val="Normalny"/>
    <w:uiPriority w:val="99"/>
    <w:semiHidden/>
    <w:rsid w:val="0098410D"/>
    <w:pPr>
      <w:spacing w:after="120"/>
      <w:ind w:left="1415"/>
      <w:contextualSpacing/>
    </w:pPr>
  </w:style>
  <w:style w:type="paragraph" w:styleId="Listanumerowana">
    <w:name w:val="List Number"/>
    <w:basedOn w:val="Normalny"/>
    <w:uiPriority w:val="99"/>
    <w:semiHidden/>
    <w:rsid w:val="0098410D"/>
    <w:pPr>
      <w:numPr>
        <w:numId w:val="9"/>
      </w:numPr>
      <w:contextualSpacing/>
    </w:pPr>
  </w:style>
  <w:style w:type="paragraph" w:styleId="Listanumerowana2">
    <w:name w:val="List Number 2"/>
    <w:basedOn w:val="Normalny"/>
    <w:uiPriority w:val="99"/>
    <w:semiHidden/>
    <w:rsid w:val="0098410D"/>
    <w:pPr>
      <w:numPr>
        <w:numId w:val="10"/>
      </w:numPr>
      <w:contextualSpacing/>
    </w:pPr>
  </w:style>
  <w:style w:type="paragraph" w:styleId="Listanumerowana3">
    <w:name w:val="List Number 3"/>
    <w:basedOn w:val="Normalny"/>
    <w:uiPriority w:val="99"/>
    <w:semiHidden/>
    <w:rsid w:val="0098410D"/>
    <w:pPr>
      <w:numPr>
        <w:numId w:val="11"/>
      </w:numPr>
      <w:contextualSpacing/>
    </w:pPr>
  </w:style>
  <w:style w:type="paragraph" w:styleId="Listanumerowana4">
    <w:name w:val="List Number 4"/>
    <w:basedOn w:val="Normalny"/>
    <w:uiPriority w:val="99"/>
    <w:semiHidden/>
    <w:rsid w:val="0098410D"/>
    <w:pPr>
      <w:numPr>
        <w:numId w:val="12"/>
      </w:numPr>
      <w:contextualSpacing/>
    </w:pPr>
  </w:style>
  <w:style w:type="paragraph" w:styleId="Listanumerowana5">
    <w:name w:val="List Number 5"/>
    <w:basedOn w:val="Normalny"/>
    <w:uiPriority w:val="99"/>
    <w:semiHidden/>
    <w:rsid w:val="0098410D"/>
    <w:pPr>
      <w:numPr>
        <w:numId w:val="13"/>
      </w:numPr>
      <w:contextualSpacing/>
    </w:pPr>
  </w:style>
  <w:style w:type="paragraph" w:styleId="Tekstmakra">
    <w:name w:val="macro"/>
    <w:link w:val="TekstmakraZnak"/>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98410D"/>
    <w:rPr>
      <w:rFonts w:ascii="Consolas" w:eastAsiaTheme="minorEastAsia" w:hAnsi="Consolas" w:cs="Consolas"/>
      <w:sz w:val="20"/>
      <w:szCs w:val="20"/>
    </w:rPr>
  </w:style>
  <w:style w:type="table" w:styleId="redniasiatka1">
    <w:name w:val="Medium Grid 1"/>
    <w:basedOn w:val="Standardowy"/>
    <w:uiPriority w:val="67"/>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67"/>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67"/>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67"/>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67"/>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67"/>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65"/>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65"/>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65"/>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65"/>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65"/>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65"/>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63"/>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98410D"/>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98410D"/>
    <w:rPr>
      <w:rFonts w:ascii="Times New Roman" w:hAnsi="Times New Roman" w:cs="Times New Roman"/>
      <w:szCs w:val="24"/>
    </w:rPr>
  </w:style>
  <w:style w:type="paragraph" w:styleId="Wcicienormalne">
    <w:name w:val="Normal Indent"/>
    <w:basedOn w:val="Normalny"/>
    <w:uiPriority w:val="99"/>
    <w:semiHidden/>
    <w:rsid w:val="0098410D"/>
    <w:pPr>
      <w:ind w:left="720"/>
    </w:pPr>
  </w:style>
  <w:style w:type="paragraph" w:styleId="Nagweknotatki">
    <w:name w:val="Note Heading"/>
    <w:basedOn w:val="Normalny"/>
    <w:next w:val="Normalny"/>
    <w:link w:val="NagweknotatkiZnak"/>
    <w:uiPriority w:val="99"/>
    <w:semiHidden/>
    <w:rsid w:val="0098410D"/>
  </w:style>
  <w:style w:type="character" w:customStyle="1" w:styleId="NagweknotatkiZnak">
    <w:name w:val="Nagłówek notatki Znak"/>
    <w:basedOn w:val="Domylnaczcionkaakapitu"/>
    <w:link w:val="Nagweknotatki"/>
    <w:uiPriority w:val="99"/>
    <w:semiHidden/>
    <w:rsid w:val="0098410D"/>
    <w:rPr>
      <w:rFonts w:eastAsiaTheme="minorEastAsia"/>
      <w:sz w:val="24"/>
    </w:rPr>
  </w:style>
  <w:style w:type="character" w:styleId="Tekstzastpczy">
    <w:name w:val="Placeholder Text"/>
    <w:basedOn w:val="Domylnaczcionkaakapitu"/>
    <w:uiPriority w:val="99"/>
    <w:semiHidden/>
    <w:rsid w:val="0098410D"/>
    <w:rPr>
      <w:color w:val="808080"/>
    </w:rPr>
  </w:style>
  <w:style w:type="paragraph" w:styleId="Zwykytekst">
    <w:name w:val="Plain Text"/>
    <w:basedOn w:val="Normalny"/>
    <w:link w:val="ZwykytekstZnak"/>
    <w:uiPriority w:val="99"/>
    <w:semiHidden/>
    <w:rsid w:val="0098410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8410D"/>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98410D"/>
  </w:style>
  <w:style w:type="character" w:customStyle="1" w:styleId="ZwrotgrzecznociowyZnak">
    <w:name w:val="Zwrot grzecznościowy Znak"/>
    <w:basedOn w:val="Domylnaczcionkaakapitu"/>
    <w:link w:val="Zwrotgrzecznociowy"/>
    <w:uiPriority w:val="99"/>
    <w:semiHidden/>
    <w:rsid w:val="0098410D"/>
    <w:rPr>
      <w:rFonts w:eastAsiaTheme="minorEastAsia"/>
      <w:sz w:val="24"/>
    </w:rPr>
  </w:style>
  <w:style w:type="paragraph" w:styleId="Podpis">
    <w:name w:val="Signature"/>
    <w:basedOn w:val="Normalny"/>
    <w:link w:val="PodpisZnak"/>
    <w:uiPriority w:val="99"/>
    <w:semiHidden/>
    <w:rsid w:val="0098410D"/>
    <w:pPr>
      <w:ind w:left="4252"/>
    </w:pPr>
  </w:style>
  <w:style w:type="character" w:customStyle="1" w:styleId="PodpisZnak">
    <w:name w:val="Podpis Znak"/>
    <w:basedOn w:val="Domylnaczcionkaakapitu"/>
    <w:link w:val="Podpis"/>
    <w:uiPriority w:val="99"/>
    <w:semiHidden/>
    <w:rsid w:val="0098410D"/>
    <w:rPr>
      <w:rFonts w:eastAsiaTheme="minorEastAsia"/>
      <w:sz w:val="24"/>
    </w:rPr>
  </w:style>
  <w:style w:type="table" w:styleId="Tabela-Efekty3W1">
    <w:name w:val="Table 3D effects 1"/>
    <w:basedOn w:val="Standardowy"/>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98410D"/>
    <w:pPr>
      <w:ind w:left="240" w:hanging="240"/>
    </w:pPr>
  </w:style>
  <w:style w:type="paragraph" w:styleId="Spisilustracji">
    <w:name w:val="table of figures"/>
    <w:basedOn w:val="Normalny"/>
    <w:next w:val="Normalny"/>
    <w:uiPriority w:val="99"/>
    <w:semiHidden/>
    <w:rsid w:val="0098410D"/>
  </w:style>
  <w:style w:type="table" w:styleId="Tabela-Profesjonalny">
    <w:name w:val="Table Professional"/>
    <w:basedOn w:val="Standardowy"/>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98410D"/>
    <w:pPr>
      <w:spacing w:after="100"/>
      <w:ind w:left="1200"/>
    </w:pPr>
  </w:style>
  <w:style w:type="paragraph" w:styleId="Spistreci7">
    <w:name w:val="toc 7"/>
    <w:basedOn w:val="Normalny"/>
    <w:next w:val="Normalny"/>
    <w:autoRedefine/>
    <w:uiPriority w:val="99"/>
    <w:semiHidden/>
    <w:rsid w:val="0098410D"/>
    <w:pPr>
      <w:spacing w:after="100"/>
      <w:ind w:left="1440"/>
    </w:pPr>
  </w:style>
  <w:style w:type="paragraph" w:styleId="Spistreci8">
    <w:name w:val="toc 8"/>
    <w:basedOn w:val="Normalny"/>
    <w:next w:val="Normalny"/>
    <w:autoRedefine/>
    <w:uiPriority w:val="99"/>
    <w:semiHidden/>
    <w:rsid w:val="0098410D"/>
    <w:pPr>
      <w:spacing w:after="100"/>
      <w:ind w:left="1680"/>
    </w:pPr>
  </w:style>
  <w:style w:type="paragraph" w:styleId="Spistreci9">
    <w:name w:val="toc 9"/>
    <w:basedOn w:val="Normalny"/>
    <w:next w:val="Normalny"/>
    <w:autoRedefine/>
    <w:uiPriority w:val="99"/>
    <w:semiHidden/>
    <w:rsid w:val="0098410D"/>
    <w:pPr>
      <w:spacing w:after="100"/>
      <w:ind w:left="1920"/>
    </w:pPr>
  </w:style>
  <w:style w:type="paragraph" w:customStyle="1" w:styleId="JuLista">
    <w:name w:val="Ju_List_a"/>
    <w:basedOn w:val="JuList"/>
    <w:qFormat/>
    <w:rsid w:val="00A507AB"/>
    <w:pPr>
      <w:ind w:left="346" w:firstLine="0"/>
    </w:pPr>
  </w:style>
  <w:style w:type="character" w:customStyle="1" w:styleId="ECHRParaChar">
    <w:name w:val="ECHR_Para Char"/>
    <w:aliases w:val="Ju_Para Char"/>
    <w:link w:val="ECHRPara"/>
    <w:uiPriority w:val="12"/>
    <w:rsid w:val="000D5DD6"/>
    <w:rPr>
      <w:rFonts w:eastAsiaTheme="minorEastAsia"/>
      <w:sz w:val="24"/>
    </w:rPr>
  </w:style>
  <w:style w:type="character" w:customStyle="1" w:styleId="JuHIRomanChar">
    <w:name w:val="Ju_H_I_Roman Char"/>
    <w:link w:val="ECHRHeading1"/>
    <w:uiPriority w:val="19"/>
    <w:rsid w:val="000D5DD6"/>
    <w:rPr>
      <w:rFonts w:asciiTheme="majorHAnsi" w:eastAsiaTheme="majorEastAsia" w:hAnsiTheme="majorHAnsi" w:cstheme="majorBidi"/>
      <w:bCs/>
      <w:sz w:val="24"/>
      <w:szCs w:val="28"/>
    </w:rPr>
  </w:style>
  <w:style w:type="paragraph" w:customStyle="1" w:styleId="JuListi">
    <w:name w:val="Ju_List_i"/>
    <w:basedOn w:val="Normalny"/>
    <w:next w:val="JuLista"/>
    <w:uiPriority w:val="28"/>
    <w:qFormat/>
    <w:rsid w:val="00A507AB"/>
    <w:pPr>
      <w:ind w:left="794"/>
    </w:pPr>
  </w:style>
  <w:style w:type="character" w:customStyle="1" w:styleId="JuJudgesChar">
    <w:name w:val="Ju_Judges Char"/>
    <w:link w:val="ECHRDecisionBody"/>
    <w:uiPriority w:val="11"/>
    <w:rsid w:val="000D5DD6"/>
    <w:rPr>
      <w:rFonts w:eastAsiaTheme="minorEastAsia"/>
      <w:sz w:val="24"/>
    </w:rPr>
  </w:style>
  <w:style w:type="paragraph" w:customStyle="1" w:styleId="OpiH1">
    <w:name w:val="Opi_H_1"/>
    <w:basedOn w:val="ECHRHeading2"/>
    <w:uiPriority w:val="42"/>
    <w:qFormat/>
    <w:rsid w:val="00A507AB"/>
    <w:pPr>
      <w:ind w:left="635" w:hanging="357"/>
      <w:outlineLvl w:val="2"/>
    </w:pPr>
  </w:style>
  <w:style w:type="paragraph" w:customStyle="1" w:styleId="OpiHa0">
    <w:name w:val="Opi_H_a"/>
    <w:basedOn w:val="ECHRHeading3"/>
    <w:uiPriority w:val="43"/>
    <w:qFormat/>
    <w:rsid w:val="00A507AB"/>
    <w:pPr>
      <w:ind w:left="833" w:hanging="357"/>
      <w:outlineLvl w:val="3"/>
    </w:pPr>
    <w:rPr>
      <w:b/>
      <w:i w:val="0"/>
      <w:sz w:val="20"/>
    </w:rPr>
  </w:style>
  <w:style w:type="paragraph" w:customStyle="1" w:styleId="OpiHi">
    <w:name w:val="Opi_H_i"/>
    <w:basedOn w:val="ECHRHeading4"/>
    <w:uiPriority w:val="44"/>
    <w:qFormat/>
    <w:rsid w:val="00A507AB"/>
    <w:pPr>
      <w:ind w:left="1037" w:hanging="357"/>
      <w:outlineLvl w:val="4"/>
    </w:pPr>
    <w:rPr>
      <w:b w:val="0"/>
      <w:i/>
    </w:rPr>
  </w:style>
  <w:style w:type="paragraph" w:customStyle="1" w:styleId="DummyStyle">
    <w:name w:val="Dummy_Style"/>
    <w:basedOn w:val="Normalny"/>
    <w:semiHidden/>
    <w:qFormat/>
    <w:rsid w:val="00A507AB"/>
    <w:rPr>
      <w:color w:val="00B050"/>
    </w:rPr>
  </w:style>
  <w:style w:type="paragraph" w:customStyle="1" w:styleId="jupara">
    <w:name w:val="jupara"/>
    <w:basedOn w:val="Normalny"/>
    <w:rsid w:val="0035061B"/>
    <w:pPr>
      <w:ind w:firstLine="284"/>
    </w:pPr>
    <w:rPr>
      <w:rFonts w:ascii="Times New Roman" w:eastAsia="Times New Roman" w:hAnsi="Times New Roman" w:cs="Times New Roman"/>
      <w:szCs w:val="24"/>
    </w:rPr>
  </w:style>
  <w:style w:type="paragraph" w:customStyle="1" w:styleId="jucase0">
    <w:name w:val="jucase"/>
    <w:basedOn w:val="Normalny"/>
    <w:rsid w:val="0035061B"/>
    <w:pPr>
      <w:ind w:firstLine="284"/>
    </w:pPr>
    <w:rPr>
      <w:rFonts w:ascii="Times New Roman" w:eastAsia="Times New Roman" w:hAnsi="Times New Roman" w:cs="Times New Roman"/>
      <w:b/>
      <w:bCs/>
      <w:szCs w:val="24"/>
    </w:rPr>
  </w:style>
  <w:style w:type="paragraph" w:customStyle="1" w:styleId="JuTitle">
    <w:name w:val="Ju_Title"/>
    <w:basedOn w:val="Normalny"/>
    <w:next w:val="ECHRPara"/>
    <w:link w:val="JuTitleChar"/>
    <w:uiPriority w:val="3"/>
    <w:qFormat/>
    <w:rsid w:val="00A507AB"/>
    <w:pPr>
      <w:spacing w:before="720" w:after="240"/>
      <w:jc w:val="center"/>
      <w:outlineLvl w:val="0"/>
    </w:pPr>
    <w:rPr>
      <w:rFonts w:asciiTheme="majorHAnsi" w:hAnsiTheme="majorHAnsi"/>
      <w:b/>
      <w:caps/>
    </w:rPr>
  </w:style>
  <w:style w:type="character" w:customStyle="1" w:styleId="JuH1Char">
    <w:name w:val="Ju_H_1. Char"/>
    <w:link w:val="ECHRHeading3"/>
    <w:rsid w:val="000D5DD6"/>
    <w:rPr>
      <w:rFonts w:asciiTheme="majorHAnsi" w:eastAsiaTheme="majorEastAsia" w:hAnsiTheme="majorHAnsi" w:cstheme="majorBidi"/>
      <w:bCs/>
      <w:i/>
      <w:sz w:val="24"/>
    </w:rPr>
  </w:style>
  <w:style w:type="character" w:customStyle="1" w:styleId="JuHaChar">
    <w:name w:val="Ju_H_a Char"/>
    <w:link w:val="ECHRHeading4"/>
    <w:uiPriority w:val="22"/>
    <w:rsid w:val="000D5DD6"/>
    <w:rPr>
      <w:rFonts w:asciiTheme="majorHAnsi" w:eastAsiaTheme="majorEastAsia" w:hAnsiTheme="majorHAnsi" w:cstheme="majorBidi"/>
      <w:b/>
      <w:bCs/>
      <w:iCs/>
      <w:sz w:val="20"/>
    </w:rPr>
  </w:style>
  <w:style w:type="character" w:customStyle="1" w:styleId="JuTitleChar">
    <w:name w:val="Ju_Title Char"/>
    <w:link w:val="JuTitle"/>
    <w:uiPriority w:val="3"/>
    <w:rsid w:val="000D5DD6"/>
    <w:rPr>
      <w:rFonts w:asciiTheme="majorHAnsi" w:eastAsiaTheme="minorEastAsia" w:hAnsiTheme="majorHAnsi"/>
      <w:b/>
      <w:caps/>
      <w:sz w:val="24"/>
    </w:rPr>
  </w:style>
  <w:style w:type="character" w:customStyle="1" w:styleId="ju-005fpara--char">
    <w:name w:val="ju-005fpara--char"/>
    <w:rsid w:val="000D5DD6"/>
  </w:style>
  <w:style w:type="character" w:customStyle="1" w:styleId="JuQuotChar">
    <w:name w:val="Ju_Quot Char"/>
    <w:basedOn w:val="ECHRParaChar"/>
    <w:link w:val="ECHRParaQuote"/>
    <w:uiPriority w:val="14"/>
    <w:rsid w:val="000D5DD6"/>
    <w:rPr>
      <w:rFonts w:eastAsiaTheme="minorEastAsia"/>
      <w:sz w:val="20"/>
    </w:rPr>
  </w:style>
  <w:style w:type="character" w:customStyle="1" w:styleId="ju--005fpara----char--char">
    <w:name w:val="ju--005fpara----char--char"/>
    <w:rsid w:val="000D5DD6"/>
  </w:style>
  <w:style w:type="paragraph" w:styleId="Poprawka">
    <w:name w:val="Revision"/>
    <w:hidden/>
    <w:uiPriority w:val="99"/>
    <w:semiHidden/>
    <w:rsid w:val="000D5DD6"/>
    <w:rPr>
      <w:rFonts w:ascii="Times New Roman" w:eastAsia="Times New Roman" w:hAnsi="Times New Roman" w:cs="Times New Roman"/>
      <w:sz w:val="24"/>
      <w:szCs w:val="20"/>
    </w:rPr>
  </w:style>
  <w:style w:type="character" w:customStyle="1" w:styleId="JuParaCar">
    <w:name w:val="Ju_Para Car"/>
    <w:uiPriority w:val="12"/>
    <w:rsid w:val="007A67EE"/>
    <w:rPr>
      <w:sz w:val="24"/>
      <w:lang w:val="fr-FR" w:eastAsia="fr-FR" w:bidi="ar-SA"/>
    </w:rPr>
  </w:style>
  <w:style w:type="character" w:customStyle="1" w:styleId="sb8d990e2">
    <w:name w:val="sb8d990e2"/>
    <w:rsid w:val="007A67EE"/>
  </w:style>
  <w:style w:type="paragraph" w:customStyle="1" w:styleId="s30eec3f8">
    <w:name w:val="s30eec3f8"/>
    <w:basedOn w:val="Normalny"/>
    <w:rsid w:val="003C6451"/>
    <w:pPr>
      <w:spacing w:before="100" w:beforeAutospacing="1" w:after="100" w:afterAutospacing="1"/>
      <w:jc w:val="left"/>
    </w:pPr>
    <w:rPr>
      <w:rFonts w:ascii="Times New Roman" w:eastAsia="Times New Roman" w:hAnsi="Times New Roman" w:cs="Times New Roman"/>
      <w:szCs w:val="24"/>
      <w:lang w:val="en-US" w:eastAsia="en-US" w:bidi="ar-SA"/>
    </w:rPr>
  </w:style>
  <w:style w:type="paragraph" w:customStyle="1" w:styleId="s6e50bd9a">
    <w:name w:val="s6e50bd9a"/>
    <w:basedOn w:val="Normalny"/>
    <w:uiPriority w:val="99"/>
    <w:rsid w:val="00660261"/>
    <w:pPr>
      <w:spacing w:before="100" w:beforeAutospacing="1" w:after="100" w:afterAutospacing="1"/>
      <w:jc w:val="left"/>
    </w:pPr>
    <w:rPr>
      <w:rFonts w:ascii="Times New Roman" w:eastAsia="Times New Roman" w:hAnsi="Times New Roman" w:cs="Times New Roman"/>
      <w:szCs w:val="24"/>
      <w:lang w:bidi="ar-SA"/>
    </w:rPr>
  </w:style>
  <w:style w:type="paragraph" w:customStyle="1" w:styleId="s746c8714">
    <w:name w:val="s746c8714"/>
    <w:basedOn w:val="Normalny"/>
    <w:uiPriority w:val="99"/>
    <w:rsid w:val="00660261"/>
    <w:pPr>
      <w:spacing w:before="100" w:beforeAutospacing="1" w:after="100" w:afterAutospacing="1"/>
      <w:jc w:val="left"/>
    </w:pPr>
    <w:rPr>
      <w:rFonts w:ascii="Times New Roman" w:eastAsia="Times New Roman" w:hAnsi="Times New Roman" w:cs="Times New Roman"/>
      <w:szCs w:val="24"/>
      <w:lang w:bidi="ar-SA"/>
    </w:rPr>
  </w:style>
  <w:style w:type="character" w:customStyle="1" w:styleId="s4f807e54">
    <w:name w:val="s4f807e54"/>
    <w:uiPriority w:val="99"/>
    <w:rsid w:val="0066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427">
      <w:bodyDiv w:val="1"/>
      <w:marLeft w:val="0"/>
      <w:marRight w:val="0"/>
      <w:marTop w:val="0"/>
      <w:marBottom w:val="0"/>
      <w:divBdr>
        <w:top w:val="none" w:sz="0" w:space="0" w:color="auto"/>
        <w:left w:val="none" w:sz="0" w:space="0" w:color="auto"/>
        <w:bottom w:val="none" w:sz="0" w:space="0" w:color="auto"/>
        <w:right w:val="none" w:sz="0" w:space="0" w:color="auto"/>
      </w:divBdr>
      <w:divsChild>
        <w:div w:id="387650888">
          <w:marLeft w:val="0"/>
          <w:marRight w:val="0"/>
          <w:marTop w:val="0"/>
          <w:marBottom w:val="0"/>
          <w:divBdr>
            <w:top w:val="none" w:sz="0" w:space="0" w:color="auto"/>
            <w:left w:val="none" w:sz="0" w:space="0" w:color="auto"/>
            <w:bottom w:val="none" w:sz="0" w:space="0" w:color="auto"/>
            <w:right w:val="none" w:sz="0" w:space="0" w:color="auto"/>
          </w:divBdr>
          <w:divsChild>
            <w:div w:id="338848990">
              <w:marLeft w:val="0"/>
              <w:marRight w:val="0"/>
              <w:marTop w:val="0"/>
              <w:marBottom w:val="0"/>
              <w:divBdr>
                <w:top w:val="none" w:sz="0" w:space="0" w:color="auto"/>
                <w:left w:val="none" w:sz="0" w:space="0" w:color="auto"/>
                <w:bottom w:val="none" w:sz="0" w:space="0" w:color="auto"/>
                <w:right w:val="none" w:sz="0" w:space="0" w:color="auto"/>
              </w:divBdr>
              <w:divsChild>
                <w:div w:id="443424567">
                  <w:marLeft w:val="0"/>
                  <w:marRight w:val="0"/>
                  <w:marTop w:val="0"/>
                  <w:marBottom w:val="0"/>
                  <w:divBdr>
                    <w:top w:val="none" w:sz="0" w:space="0" w:color="auto"/>
                    <w:left w:val="none" w:sz="0" w:space="0" w:color="auto"/>
                    <w:bottom w:val="none" w:sz="0" w:space="0" w:color="auto"/>
                    <w:right w:val="none" w:sz="0" w:space="0" w:color="auto"/>
                  </w:divBdr>
                  <w:divsChild>
                    <w:div w:id="450826999">
                      <w:marLeft w:val="0"/>
                      <w:marRight w:val="0"/>
                      <w:marTop w:val="0"/>
                      <w:marBottom w:val="0"/>
                      <w:divBdr>
                        <w:top w:val="none" w:sz="0" w:space="0" w:color="auto"/>
                        <w:left w:val="none" w:sz="0" w:space="0" w:color="auto"/>
                        <w:bottom w:val="none" w:sz="0" w:space="0" w:color="auto"/>
                        <w:right w:val="none" w:sz="0" w:space="0" w:color="auto"/>
                      </w:divBdr>
                      <w:divsChild>
                        <w:div w:id="981275376">
                          <w:marLeft w:val="0"/>
                          <w:marRight w:val="0"/>
                          <w:marTop w:val="0"/>
                          <w:marBottom w:val="0"/>
                          <w:divBdr>
                            <w:top w:val="none" w:sz="0" w:space="0" w:color="auto"/>
                            <w:left w:val="none" w:sz="0" w:space="0" w:color="auto"/>
                            <w:bottom w:val="none" w:sz="0" w:space="0" w:color="auto"/>
                            <w:right w:val="none" w:sz="0" w:space="0" w:color="auto"/>
                          </w:divBdr>
                          <w:divsChild>
                            <w:div w:id="17970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297570">
      <w:bodyDiv w:val="1"/>
      <w:marLeft w:val="0"/>
      <w:marRight w:val="0"/>
      <w:marTop w:val="0"/>
      <w:marBottom w:val="0"/>
      <w:divBdr>
        <w:top w:val="none" w:sz="0" w:space="0" w:color="auto"/>
        <w:left w:val="none" w:sz="0" w:space="0" w:color="auto"/>
        <w:bottom w:val="none" w:sz="0" w:space="0" w:color="auto"/>
        <w:right w:val="none" w:sz="0" w:space="0" w:color="auto"/>
      </w:divBdr>
      <w:divsChild>
        <w:div w:id="745304791">
          <w:marLeft w:val="0"/>
          <w:marRight w:val="0"/>
          <w:marTop w:val="0"/>
          <w:marBottom w:val="0"/>
          <w:divBdr>
            <w:top w:val="none" w:sz="0" w:space="0" w:color="auto"/>
            <w:left w:val="none" w:sz="0" w:space="0" w:color="auto"/>
            <w:bottom w:val="none" w:sz="0" w:space="0" w:color="auto"/>
            <w:right w:val="none" w:sz="0" w:space="0" w:color="auto"/>
          </w:divBdr>
          <w:divsChild>
            <w:div w:id="1532722863">
              <w:marLeft w:val="0"/>
              <w:marRight w:val="0"/>
              <w:marTop w:val="0"/>
              <w:marBottom w:val="0"/>
              <w:divBdr>
                <w:top w:val="none" w:sz="0" w:space="0" w:color="auto"/>
                <w:left w:val="none" w:sz="0" w:space="0" w:color="auto"/>
                <w:bottom w:val="none" w:sz="0" w:space="0" w:color="auto"/>
                <w:right w:val="none" w:sz="0" w:space="0" w:color="auto"/>
              </w:divBdr>
              <w:divsChild>
                <w:div w:id="314651931">
                  <w:marLeft w:val="0"/>
                  <w:marRight w:val="0"/>
                  <w:marTop w:val="0"/>
                  <w:marBottom w:val="0"/>
                  <w:divBdr>
                    <w:top w:val="none" w:sz="0" w:space="0" w:color="auto"/>
                    <w:left w:val="none" w:sz="0" w:space="0" w:color="auto"/>
                    <w:bottom w:val="none" w:sz="0" w:space="0" w:color="auto"/>
                    <w:right w:val="none" w:sz="0" w:space="0" w:color="auto"/>
                  </w:divBdr>
                </w:div>
              </w:divsChild>
            </w:div>
            <w:div w:id="1052727904">
              <w:marLeft w:val="0"/>
              <w:marRight w:val="0"/>
              <w:marTop w:val="0"/>
              <w:marBottom w:val="0"/>
              <w:divBdr>
                <w:top w:val="none" w:sz="0" w:space="0" w:color="auto"/>
                <w:left w:val="none" w:sz="0" w:space="0" w:color="auto"/>
                <w:bottom w:val="none" w:sz="0" w:space="0" w:color="auto"/>
                <w:right w:val="none" w:sz="0" w:space="0" w:color="auto"/>
              </w:divBdr>
              <w:divsChild>
                <w:div w:id="1037704238">
                  <w:marLeft w:val="0"/>
                  <w:marRight w:val="0"/>
                  <w:marTop w:val="0"/>
                  <w:marBottom w:val="0"/>
                  <w:divBdr>
                    <w:top w:val="none" w:sz="0" w:space="0" w:color="auto"/>
                    <w:left w:val="none" w:sz="0" w:space="0" w:color="auto"/>
                    <w:bottom w:val="none" w:sz="0" w:space="0" w:color="auto"/>
                    <w:right w:val="none" w:sz="0" w:space="0" w:color="auto"/>
                  </w:divBdr>
                </w:div>
                <w:div w:id="6958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864B-EFDC-4E1C-8725-EBD244B6453E}">
  <ds:schemaRefs>
    <ds:schemaRef ds:uri="http://schemas.microsoft.com/sharepoint/v3/contenttype/forms"/>
  </ds:schemaRefs>
</ds:datastoreItem>
</file>

<file path=customXml/itemProps2.xml><?xml version="1.0" encoding="utf-8"?>
<ds:datastoreItem xmlns:ds="http://schemas.openxmlformats.org/officeDocument/2006/customXml" ds:itemID="{7AD03381-4A93-43EF-BD7C-1703E7BC6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64EBEF-95F2-46E6-9228-6670E62A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692F92-45E2-4998-9E4B-B7078750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21240</Words>
  <Characters>127446</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2016-08-17T08:57:00Z</dcterms:created>
  <dcterms:modified xsi:type="dcterms:W3CDTF">2016-08-17T09:02:00Z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