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4D2D" w14:textId="77777777" w:rsidR="009B5491" w:rsidRDefault="009B5491" w:rsidP="009B5491">
      <w:pPr>
        <w:pStyle w:val="TEKSTZacznikido"/>
        <w:ind w:left="6804"/>
      </w:pPr>
      <w:r w:rsidRPr="003543A5">
        <w:t xml:space="preserve">Załącznik </w:t>
      </w:r>
    </w:p>
    <w:p w14:paraId="231E6295" w14:textId="77777777" w:rsidR="009B5491" w:rsidRDefault="009B5491" w:rsidP="009B5491">
      <w:pPr>
        <w:pStyle w:val="TEKSTZacznikido"/>
        <w:ind w:left="6804"/>
      </w:pPr>
      <w:r w:rsidRPr="003543A5">
        <w:t xml:space="preserve">do ustawy </w:t>
      </w:r>
    </w:p>
    <w:p w14:paraId="5FB8C08C" w14:textId="77777777" w:rsidR="009B5491" w:rsidRDefault="009B5491" w:rsidP="009B5491">
      <w:pPr>
        <w:pStyle w:val="TEKSTZacznikido"/>
        <w:ind w:left="6804"/>
      </w:pPr>
      <w:r>
        <w:t>z dnia</w:t>
      </w:r>
    </w:p>
    <w:p w14:paraId="4DBFB391" w14:textId="77777777" w:rsidR="009B5491" w:rsidRDefault="009B5491" w:rsidP="009B5491">
      <w:pPr>
        <w:pStyle w:val="TEKSTZacznikido"/>
        <w:ind w:left="6804"/>
      </w:pPr>
      <w:r>
        <w:t>(poz</w:t>
      </w:r>
      <w:r w:rsidRPr="003543A5">
        <w:t>.</w:t>
      </w:r>
      <w:r>
        <w:t xml:space="preserve"> …</w:t>
      </w:r>
      <w:r w:rsidRPr="003543A5">
        <w:t>)</w:t>
      </w:r>
    </w:p>
    <w:p w14:paraId="4E58B36B" w14:textId="77777777" w:rsidR="009B5491" w:rsidRPr="00DD7B98" w:rsidRDefault="00375527" w:rsidP="00422E85">
      <w:pPr>
        <w:widowControl w:val="0"/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D7B98">
        <w:rPr>
          <w:rFonts w:ascii="Times New Roman" w:eastAsia="Times New Roman" w:hAnsi="Times New Roman" w:cs="Times New Roman"/>
          <w:b/>
          <w:bCs/>
          <w:sz w:val="20"/>
          <w:szCs w:val="20"/>
        </w:rPr>
        <w:t>„</w:t>
      </w:r>
      <w:r w:rsidR="009B5491" w:rsidRPr="00DD7B98">
        <w:rPr>
          <w:rFonts w:ascii="Times New Roman" w:eastAsia="Times New Roman" w:hAnsi="Times New Roman" w:cs="Times New Roman"/>
          <w:b/>
          <w:bCs/>
          <w:sz w:val="20"/>
          <w:szCs w:val="20"/>
        </w:rPr>
        <w:t>III. INFORMACJE DOTYCZĄCE NIERUCHOMOŚCI I PRZEDSIĘWZIĘCIA DEWELOPERSKIEGO</w:t>
      </w:r>
    </w:p>
    <w:p w14:paraId="3BE7DF5F" w14:textId="77777777" w:rsidR="00EA1C22" w:rsidRPr="00DD7B98" w:rsidRDefault="00EA1C22" w:rsidP="009B5491">
      <w:pPr>
        <w:widowControl w:val="0"/>
        <w:autoSpaceDE w:val="0"/>
        <w:autoSpaceDN w:val="0"/>
        <w:adjustRightInd w:val="0"/>
        <w:spacing w:before="100" w:beforeAutospacing="1" w:after="120" w:line="240" w:lineRule="auto"/>
        <w:ind w:left="107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419"/>
        <w:gridCol w:w="3419"/>
      </w:tblGrid>
      <w:tr w:rsidR="00DF3A2D" w:rsidRPr="00DD7B98" w14:paraId="1229C02D" w14:textId="77777777" w:rsidTr="002568E5">
        <w:tc>
          <w:tcPr>
            <w:tcW w:w="9648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14:paraId="49710EA3" w14:textId="77777777" w:rsidR="00EA1C22" w:rsidRPr="00DD7B98" w:rsidRDefault="00EA1C22" w:rsidP="00EA1C22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INFORMACJE DOTYCZĄCE GRUNTU I ZAGOSPODAROWANIA PRZESTRZENNEGO TERENU</w:t>
            </w:r>
          </w:p>
          <w:p w14:paraId="114B55DD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2D" w:rsidRPr="00DD7B98" w14:paraId="0DBB25B5" w14:textId="77777777" w:rsidTr="002568E5">
        <w:trPr>
          <w:trHeight w:val="135"/>
        </w:trPr>
        <w:tc>
          <w:tcPr>
            <w:tcW w:w="2810" w:type="dxa"/>
            <w:shd w:val="clear" w:color="auto" w:fill="F3F3F3"/>
          </w:tcPr>
          <w:p w14:paraId="66BE3D5C" w14:textId="77777777" w:rsidR="00EA1C22" w:rsidRPr="00DD7B98" w:rsidRDefault="00B74A56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Adres, numer działki ewidencyjnej i numer obrębu ewidencyjnego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EA1C22" w:rsidRPr="00DD7B9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1)</w:t>
            </w:r>
          </w:p>
        </w:tc>
        <w:tc>
          <w:tcPr>
            <w:tcW w:w="6838" w:type="dxa"/>
            <w:gridSpan w:val="2"/>
          </w:tcPr>
          <w:p w14:paraId="2B44E969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25F548F0" w14:textId="77777777" w:rsidTr="002568E5">
        <w:trPr>
          <w:trHeight w:val="98"/>
        </w:trPr>
        <w:tc>
          <w:tcPr>
            <w:tcW w:w="2810" w:type="dxa"/>
            <w:shd w:val="clear" w:color="auto" w:fill="F3F3F3"/>
          </w:tcPr>
          <w:p w14:paraId="5FA24BF2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Numer księgi wieczystej 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70486FC8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0CEF5EFE" w14:textId="77777777" w:rsidTr="002568E5">
        <w:trPr>
          <w:trHeight w:val="98"/>
        </w:trPr>
        <w:tc>
          <w:tcPr>
            <w:tcW w:w="2810" w:type="dxa"/>
            <w:shd w:val="clear" w:color="auto" w:fill="F3F3F3"/>
          </w:tcPr>
          <w:p w14:paraId="4DFBEDA3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Istniejące obciążenia hipoteczne nieruchomości lub wnioski o wpis w dziale czwartym księgi wieczystej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54D866DF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278CEAB5" w14:textId="77777777" w:rsidTr="002568E5">
        <w:trPr>
          <w:trHeight w:val="97"/>
        </w:trPr>
        <w:tc>
          <w:tcPr>
            <w:tcW w:w="2810" w:type="dxa"/>
            <w:shd w:val="clear" w:color="auto" w:fill="F3F3F3"/>
          </w:tcPr>
          <w:p w14:paraId="561BF1EA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braku księgi wieczystej informacja o powierzchni działki i stanie prawnym nieruchomości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2"/>
              <w:t>2)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091C8E54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1D093AC7" w14:textId="77777777" w:rsidTr="002568E5">
        <w:trPr>
          <w:trHeight w:val="97"/>
        </w:trPr>
        <w:tc>
          <w:tcPr>
            <w:tcW w:w="2810" w:type="dxa"/>
            <w:shd w:val="clear" w:color="auto" w:fill="F3F3F3"/>
          </w:tcPr>
          <w:p w14:paraId="6414F273" w14:textId="77777777" w:rsidR="00EA1C22" w:rsidRPr="00DD7B98" w:rsidRDefault="00EA1C22" w:rsidP="00EA1C22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Informacje dotyczące obiektów istniejących położonych w sąsiedztwie inwestycji i wpływających na warunki życia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3"/>
              <w:t>3)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2A617AC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  <w:gridSpan w:val="2"/>
            <w:shd w:val="clear" w:color="auto" w:fill="auto"/>
          </w:tcPr>
          <w:p w14:paraId="08E6D88F" w14:textId="77777777" w:rsidR="00EA1C22" w:rsidRPr="00DD7B98" w:rsidRDefault="00EA1C22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0EACD5" w14:textId="77777777" w:rsidR="00EA1C22" w:rsidRPr="00DD7B98" w:rsidRDefault="00B74A56" w:rsidP="00EA1C2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Uwarunkowania lokalizacji inwestycji wynikające z istniejącego stanu użytkowania terenów sąsiednich (np. z funkcji terenu, stref ochronnych, uciążliwości)</w:t>
            </w:r>
          </w:p>
        </w:tc>
      </w:tr>
      <w:tr w:rsidR="00DF3A2D" w:rsidRPr="00DD7B98" w14:paraId="4487FBE5" w14:textId="77777777" w:rsidTr="002568E5">
        <w:trPr>
          <w:trHeight w:val="320"/>
        </w:trPr>
        <w:tc>
          <w:tcPr>
            <w:tcW w:w="2810" w:type="dxa"/>
            <w:vMerge w:val="restart"/>
            <w:shd w:val="clear" w:color="auto" w:fill="F3F3F3"/>
          </w:tcPr>
          <w:p w14:paraId="06209E24" w14:textId="77777777" w:rsidR="00D6706C" w:rsidRPr="00DD7B98" w:rsidRDefault="00D6706C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Akty planowania przestrzennego i inne akty prawne na terenie objętym przedsięwzięciem deweloperskim lub zadaniem inwestycyjnym</w:t>
            </w:r>
          </w:p>
          <w:p w14:paraId="2C5F873F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19" w:type="dxa"/>
            <w:shd w:val="clear" w:color="auto" w:fill="auto"/>
          </w:tcPr>
          <w:p w14:paraId="67D4504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 ogólny gminy</w:t>
            </w:r>
          </w:p>
        </w:tc>
        <w:tc>
          <w:tcPr>
            <w:tcW w:w="3419" w:type="dxa"/>
            <w:vMerge w:val="restart"/>
            <w:shd w:val="clear" w:color="auto" w:fill="auto"/>
          </w:tcPr>
          <w:p w14:paraId="5717BBAF" w14:textId="6BEA4FE5" w:rsidR="00D6706C" w:rsidRPr="00DD7B98" w:rsidRDefault="00D6706C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Numer i data aktu prawnego, nazwa organu oraz miejsce publikacji; </w:t>
            </w:r>
          </w:p>
        </w:tc>
      </w:tr>
      <w:tr w:rsidR="00DF3A2D" w:rsidRPr="00DD7B98" w14:paraId="7DEDBC35" w14:textId="77777777" w:rsidTr="002568E5">
        <w:trPr>
          <w:trHeight w:val="317"/>
        </w:trPr>
        <w:tc>
          <w:tcPr>
            <w:tcW w:w="2810" w:type="dxa"/>
            <w:vMerge/>
            <w:shd w:val="clear" w:color="auto" w:fill="F3F3F3"/>
          </w:tcPr>
          <w:p w14:paraId="2FD7596F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738EB79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Miejscowy plan zagospodarowania przestrzennego</w:t>
            </w:r>
          </w:p>
        </w:tc>
        <w:tc>
          <w:tcPr>
            <w:tcW w:w="3419" w:type="dxa"/>
            <w:vMerge/>
            <w:shd w:val="clear" w:color="auto" w:fill="auto"/>
          </w:tcPr>
          <w:p w14:paraId="4526D60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6064654A" w14:textId="77777777" w:rsidTr="002568E5">
        <w:trPr>
          <w:trHeight w:val="317"/>
        </w:trPr>
        <w:tc>
          <w:tcPr>
            <w:tcW w:w="2810" w:type="dxa"/>
            <w:vMerge/>
            <w:shd w:val="clear" w:color="auto" w:fill="F3F3F3"/>
          </w:tcPr>
          <w:p w14:paraId="2EE41FD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00A67432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Miejscowy plan odbudowy </w:t>
            </w:r>
          </w:p>
        </w:tc>
        <w:tc>
          <w:tcPr>
            <w:tcW w:w="3419" w:type="dxa"/>
            <w:vMerge/>
            <w:shd w:val="clear" w:color="auto" w:fill="auto"/>
          </w:tcPr>
          <w:p w14:paraId="0CC443A9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4902405B" w14:textId="77777777" w:rsidTr="002568E5">
        <w:trPr>
          <w:trHeight w:val="317"/>
        </w:trPr>
        <w:tc>
          <w:tcPr>
            <w:tcW w:w="2810" w:type="dxa"/>
            <w:vMerge/>
            <w:shd w:val="clear" w:color="auto" w:fill="F3F3F3"/>
          </w:tcPr>
          <w:p w14:paraId="068EA463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29451354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customMarkFollows="1" w:id="4"/>
              <w:t>4)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19" w:type="dxa"/>
            <w:vMerge/>
            <w:shd w:val="clear" w:color="auto" w:fill="auto"/>
          </w:tcPr>
          <w:p w14:paraId="5A033B2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4CED460E" w14:textId="77777777" w:rsidTr="002568E5">
        <w:trPr>
          <w:trHeight w:val="60"/>
        </w:trPr>
        <w:tc>
          <w:tcPr>
            <w:tcW w:w="2810" w:type="dxa"/>
            <w:vMerge w:val="restart"/>
            <w:shd w:val="clear" w:color="auto" w:fill="F3F3F3"/>
          </w:tcPr>
          <w:p w14:paraId="766BCB6E" w14:textId="77777777" w:rsidR="00D6706C" w:rsidRPr="00DD7B98" w:rsidRDefault="00D6706C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Ustalenia obowiązującego miejscowego planu zagospodarowania przestrzennego dla terenu objętego przedsięwzięciem deweloperskim lub zadaniem inwestycyjnym</w:t>
            </w:r>
          </w:p>
          <w:p w14:paraId="20683C24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59D7EA3F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Przeznaczenie terenu</w:t>
            </w:r>
          </w:p>
        </w:tc>
        <w:tc>
          <w:tcPr>
            <w:tcW w:w="3419" w:type="dxa"/>
            <w:shd w:val="clear" w:color="auto" w:fill="auto"/>
          </w:tcPr>
          <w:p w14:paraId="4B42636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4B8AC600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45A571C9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70AF8AB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intensywność zabudowy</w:t>
            </w:r>
          </w:p>
        </w:tc>
        <w:tc>
          <w:tcPr>
            <w:tcW w:w="3419" w:type="dxa"/>
            <w:shd w:val="clear" w:color="auto" w:fill="auto"/>
          </w:tcPr>
          <w:p w14:paraId="7AF2B15A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0E3F3E7D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25DAD507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572B3E04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Maksymalna i minimalna nadziemna intensywność zabudowy</w:t>
            </w:r>
          </w:p>
        </w:tc>
        <w:tc>
          <w:tcPr>
            <w:tcW w:w="3419" w:type="dxa"/>
            <w:shd w:val="clear" w:color="auto" w:fill="auto"/>
          </w:tcPr>
          <w:p w14:paraId="30F6FC7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6DD4CD82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2B4D072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4518DA95" w14:textId="77777777" w:rsidR="00D6706C" w:rsidRPr="00DD7B98" w:rsidRDefault="00D6706C" w:rsidP="00D670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Maksymalna powierzchnia zabudowy</w:t>
            </w:r>
          </w:p>
        </w:tc>
        <w:tc>
          <w:tcPr>
            <w:tcW w:w="3419" w:type="dxa"/>
            <w:shd w:val="clear" w:color="auto" w:fill="auto"/>
          </w:tcPr>
          <w:p w14:paraId="6586576D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6C898C27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17DCD70F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0E33246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wysokość zabudowy</w:t>
            </w:r>
          </w:p>
        </w:tc>
        <w:tc>
          <w:tcPr>
            <w:tcW w:w="3419" w:type="dxa"/>
            <w:shd w:val="clear" w:color="auto" w:fill="auto"/>
          </w:tcPr>
          <w:p w14:paraId="5B0867F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5E9502AC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73D2A60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3396AE2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Minimalny udział procentowy powierzchni biologicznie czynnej</w:t>
            </w:r>
          </w:p>
        </w:tc>
        <w:tc>
          <w:tcPr>
            <w:tcW w:w="3419" w:type="dxa"/>
            <w:shd w:val="clear" w:color="auto" w:fill="auto"/>
          </w:tcPr>
          <w:p w14:paraId="7CC64D6B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1803B071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1594639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8BE63C9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liczba miejsc do parkowania</w:t>
            </w:r>
          </w:p>
        </w:tc>
        <w:tc>
          <w:tcPr>
            <w:tcW w:w="3419" w:type="dxa"/>
            <w:shd w:val="clear" w:color="auto" w:fill="auto"/>
          </w:tcPr>
          <w:p w14:paraId="3B07097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DB3CD0C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6094A316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41415A22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ochrony środowiska i zdrowia ludzi, przyrody i krajobrazu</w:t>
            </w:r>
          </w:p>
        </w:tc>
        <w:tc>
          <w:tcPr>
            <w:tcW w:w="3419" w:type="dxa"/>
            <w:shd w:val="clear" w:color="auto" w:fill="auto"/>
          </w:tcPr>
          <w:p w14:paraId="032BADB6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0CD11FEC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35CE2C77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418C9950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dotyczące zabudowy i zagospodarowania terenu położonego na obszarach szczególnego zagrożenia powodzią</w:t>
            </w:r>
          </w:p>
        </w:tc>
        <w:tc>
          <w:tcPr>
            <w:tcW w:w="3419" w:type="dxa"/>
            <w:shd w:val="clear" w:color="auto" w:fill="auto"/>
          </w:tcPr>
          <w:p w14:paraId="49E261D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23B27866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4DC262E5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558D3F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ochrony dziedzictwa kulturowego i zabytków oraz dóbr kultury współczesnej</w:t>
            </w:r>
          </w:p>
        </w:tc>
        <w:tc>
          <w:tcPr>
            <w:tcW w:w="3419" w:type="dxa"/>
            <w:shd w:val="clear" w:color="auto" w:fill="auto"/>
          </w:tcPr>
          <w:p w14:paraId="2BC79BD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6BDE24D6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10C1AD1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11ACCA8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dotyczące ochrony innych terenów lub obiektów podlegających ochronie na podstawie przepisów odrębnych</w:t>
            </w:r>
          </w:p>
        </w:tc>
        <w:tc>
          <w:tcPr>
            <w:tcW w:w="3419" w:type="dxa"/>
            <w:shd w:val="clear" w:color="auto" w:fill="auto"/>
          </w:tcPr>
          <w:p w14:paraId="2C2A3FCB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55DBAB6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44381AA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7627A1D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i szczegółowe zasady obsługi w zakresie komunikacji</w:t>
            </w:r>
          </w:p>
        </w:tc>
        <w:tc>
          <w:tcPr>
            <w:tcW w:w="3419" w:type="dxa"/>
            <w:shd w:val="clear" w:color="auto" w:fill="auto"/>
          </w:tcPr>
          <w:p w14:paraId="57F38C64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B01F8DF" w14:textId="77777777" w:rsidTr="002568E5">
        <w:trPr>
          <w:trHeight w:val="51"/>
        </w:trPr>
        <w:tc>
          <w:tcPr>
            <w:tcW w:w="2810" w:type="dxa"/>
            <w:vMerge/>
            <w:shd w:val="clear" w:color="auto" w:fill="F3F3F3"/>
          </w:tcPr>
          <w:p w14:paraId="67D09E8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495F572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i szczegółowe zasady obsługi w zakresie infrastruktury technicznej</w:t>
            </w:r>
          </w:p>
        </w:tc>
        <w:tc>
          <w:tcPr>
            <w:tcW w:w="3419" w:type="dxa"/>
            <w:shd w:val="clear" w:color="auto" w:fill="auto"/>
          </w:tcPr>
          <w:p w14:paraId="69A0058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1A1E9DF" w14:textId="77777777" w:rsidTr="00B16B69">
        <w:trPr>
          <w:trHeight w:val="288"/>
        </w:trPr>
        <w:tc>
          <w:tcPr>
            <w:tcW w:w="2810" w:type="dxa"/>
            <w:vMerge w:val="restart"/>
            <w:shd w:val="clear" w:color="auto" w:fill="F3F3F3"/>
          </w:tcPr>
          <w:p w14:paraId="2650F00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Ustalenia obowiązującego miejscowego planu zagospodarowania przestrzennego dla działek lub ich fragmentów, znajdujących się w odległości do 100 m od granicy terenu objętego przedsięwzięciem 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deweloperskim lub zadaniem inwestycyjnym</w:t>
            </w:r>
            <w:r w:rsidR="00502F5D"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footnoteReference w:id="5"/>
            </w:r>
            <w:r w:rsidR="00502F5D"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19" w:type="dxa"/>
            <w:shd w:val="clear" w:color="auto" w:fill="auto"/>
          </w:tcPr>
          <w:p w14:paraId="0A16112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Przeznaczenie terenu</w:t>
            </w:r>
          </w:p>
        </w:tc>
        <w:tc>
          <w:tcPr>
            <w:tcW w:w="3419" w:type="dxa"/>
            <w:shd w:val="clear" w:color="auto" w:fill="auto"/>
          </w:tcPr>
          <w:p w14:paraId="0B9D6E6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3481CC9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2B95D22D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2DACCAB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intensywność zabudowy</w:t>
            </w:r>
          </w:p>
        </w:tc>
        <w:tc>
          <w:tcPr>
            <w:tcW w:w="3419" w:type="dxa"/>
            <w:shd w:val="clear" w:color="auto" w:fill="auto"/>
          </w:tcPr>
          <w:p w14:paraId="58EA6596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6012EE54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70851712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CD2F564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i minimalna nadziemna intensywność zabudowy</w:t>
            </w:r>
          </w:p>
        </w:tc>
        <w:tc>
          <w:tcPr>
            <w:tcW w:w="3419" w:type="dxa"/>
            <w:shd w:val="clear" w:color="auto" w:fill="auto"/>
          </w:tcPr>
          <w:p w14:paraId="041CCDE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72C45369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514DF23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6512E4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powierzchnia zabudowy</w:t>
            </w:r>
          </w:p>
        </w:tc>
        <w:tc>
          <w:tcPr>
            <w:tcW w:w="3419" w:type="dxa"/>
            <w:shd w:val="clear" w:color="auto" w:fill="auto"/>
          </w:tcPr>
          <w:p w14:paraId="6369F40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5FC4" w:rsidRPr="00DD7B98" w14:paraId="11E02B7C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70C0E84A" w14:textId="77777777" w:rsidR="00CC5FC4" w:rsidRPr="00DD7B98" w:rsidRDefault="00CC5FC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39C568B" w14:textId="77777777" w:rsidR="00CC5FC4" w:rsidRPr="00DD7B98" w:rsidRDefault="00CC5FC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wysokość zabudowy</w:t>
            </w:r>
          </w:p>
        </w:tc>
        <w:tc>
          <w:tcPr>
            <w:tcW w:w="3419" w:type="dxa"/>
            <w:shd w:val="clear" w:color="auto" w:fill="auto"/>
          </w:tcPr>
          <w:p w14:paraId="0FB0EF7C" w14:textId="77777777" w:rsidR="00CC5FC4" w:rsidRPr="00DD7B98" w:rsidRDefault="00CC5FC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2AF0E2B2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5FF0F9CE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3AAC31C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Minimalny udział procentowy powierzchni biologicznie czynnej</w:t>
            </w:r>
          </w:p>
        </w:tc>
        <w:tc>
          <w:tcPr>
            <w:tcW w:w="3419" w:type="dxa"/>
            <w:shd w:val="clear" w:color="auto" w:fill="auto"/>
          </w:tcPr>
          <w:p w14:paraId="7AFF3067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541C1673" w14:textId="77777777" w:rsidTr="00B16B69">
        <w:trPr>
          <w:trHeight w:val="288"/>
        </w:trPr>
        <w:tc>
          <w:tcPr>
            <w:tcW w:w="2810" w:type="dxa"/>
            <w:vMerge/>
            <w:shd w:val="clear" w:color="auto" w:fill="F3F3F3"/>
          </w:tcPr>
          <w:p w14:paraId="7635832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DF4793A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liczba miejsc do parkowania</w:t>
            </w:r>
          </w:p>
        </w:tc>
        <w:tc>
          <w:tcPr>
            <w:tcW w:w="3419" w:type="dxa"/>
            <w:shd w:val="clear" w:color="auto" w:fill="auto"/>
          </w:tcPr>
          <w:p w14:paraId="26DBAA2C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65884B4D" w14:textId="77777777" w:rsidTr="00B16B69">
        <w:trPr>
          <w:trHeight w:val="1687"/>
        </w:trPr>
        <w:tc>
          <w:tcPr>
            <w:tcW w:w="2810" w:type="dxa"/>
            <w:vMerge w:val="restart"/>
            <w:shd w:val="clear" w:color="auto" w:fill="F3F3F3"/>
          </w:tcPr>
          <w:p w14:paraId="54962A05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Ustalenia decyzji o warunkach zabudowy albo decyzji o ustaleniu lokalizacji inwestycji celu publicznego dla terenu objętego przedsięwzięciem deweloperskim lub zadaniem inwestycyjnym w przypadku braku miejscowego planu zagospodarowania przestrzennego</w:t>
            </w:r>
          </w:p>
          <w:p w14:paraId="1FD6DF67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45473D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29CABA51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Funkcja zabudowy i zagospodarowania terenu</w:t>
            </w:r>
          </w:p>
        </w:tc>
        <w:tc>
          <w:tcPr>
            <w:tcW w:w="3419" w:type="dxa"/>
            <w:shd w:val="clear" w:color="auto" w:fill="auto"/>
          </w:tcPr>
          <w:p w14:paraId="615A7005" w14:textId="77777777" w:rsidR="00F7371C" w:rsidRPr="00DD7B98" w:rsidRDefault="00F7371C" w:rsidP="00D67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Sposób użytkowania obiektów budowlanych oraz zagospodarowania terenu</w:t>
            </w:r>
          </w:p>
        </w:tc>
      </w:tr>
      <w:tr w:rsidR="00F7371C" w:rsidRPr="00DD7B98" w14:paraId="2968D058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38BDC0DC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8" w:type="dxa"/>
            <w:gridSpan w:val="2"/>
            <w:shd w:val="clear" w:color="auto" w:fill="auto"/>
          </w:tcPr>
          <w:p w14:paraId="629C835F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Cechy zabudowy i zagospodarowania terenu:</w:t>
            </w:r>
          </w:p>
        </w:tc>
      </w:tr>
      <w:tr w:rsidR="00F7371C" w:rsidRPr="00DD7B98" w14:paraId="6C31EC7E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350D8AF9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6399457A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gabaryty</w:t>
            </w:r>
          </w:p>
        </w:tc>
        <w:tc>
          <w:tcPr>
            <w:tcW w:w="3419" w:type="dxa"/>
            <w:shd w:val="clear" w:color="auto" w:fill="auto"/>
          </w:tcPr>
          <w:p w14:paraId="0A0B3D0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552B5780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524A96A2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12819E3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architektoniczna</w:t>
            </w:r>
          </w:p>
        </w:tc>
        <w:tc>
          <w:tcPr>
            <w:tcW w:w="3419" w:type="dxa"/>
            <w:shd w:val="clear" w:color="auto" w:fill="auto"/>
          </w:tcPr>
          <w:p w14:paraId="11A07EC0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66E6B67A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7AC8BBD6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01DB07F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usytuowanie linii zabudowy</w:t>
            </w:r>
          </w:p>
        </w:tc>
        <w:tc>
          <w:tcPr>
            <w:tcW w:w="3419" w:type="dxa"/>
            <w:shd w:val="clear" w:color="auto" w:fill="auto"/>
          </w:tcPr>
          <w:p w14:paraId="4ACE4981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0F3DBF8E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3BF34448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E8F4F73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intensywność wykorzystania terenu</w:t>
            </w:r>
          </w:p>
        </w:tc>
        <w:tc>
          <w:tcPr>
            <w:tcW w:w="3419" w:type="dxa"/>
            <w:shd w:val="clear" w:color="auto" w:fill="auto"/>
          </w:tcPr>
          <w:p w14:paraId="5AE7F20D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1B8F3E8B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4EEA7477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1382D6D2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ochrony środowiska i zdrowia ludzi, przyrody i krajobrazu</w:t>
            </w:r>
          </w:p>
        </w:tc>
        <w:tc>
          <w:tcPr>
            <w:tcW w:w="3419" w:type="dxa"/>
            <w:shd w:val="clear" w:color="auto" w:fill="auto"/>
          </w:tcPr>
          <w:p w14:paraId="1D77E4BF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697FCCB9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615F1517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17B8EED8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dotyczące zabudowy i zagospodarowania terenu położonego na obszarach szczególnego zagrożenia powodzią</w:t>
            </w:r>
          </w:p>
        </w:tc>
        <w:tc>
          <w:tcPr>
            <w:tcW w:w="3419" w:type="dxa"/>
            <w:shd w:val="clear" w:color="auto" w:fill="auto"/>
          </w:tcPr>
          <w:p w14:paraId="2CAFA5F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645D5586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66DDD209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66CF94A2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ochrony dziedzictwa kulturowego i zabytków oraz dóbr kultury współczesnej</w:t>
            </w:r>
          </w:p>
        </w:tc>
        <w:tc>
          <w:tcPr>
            <w:tcW w:w="3419" w:type="dxa"/>
            <w:shd w:val="clear" w:color="auto" w:fill="auto"/>
          </w:tcPr>
          <w:p w14:paraId="4486043C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12BF906E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6BA6ECD0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DD7E06B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dotyczące ochrony innych terenów lub obiektów podlegających ochronie na podstawie przepisów odrębnych</w:t>
            </w:r>
          </w:p>
        </w:tc>
        <w:tc>
          <w:tcPr>
            <w:tcW w:w="3419" w:type="dxa"/>
            <w:shd w:val="clear" w:color="auto" w:fill="auto"/>
          </w:tcPr>
          <w:p w14:paraId="5DC9689F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2C217587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5A147851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5E58A9A5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i szczegółowe zasady obsługi w zakresie komunikacji</w:t>
            </w:r>
          </w:p>
        </w:tc>
        <w:tc>
          <w:tcPr>
            <w:tcW w:w="3419" w:type="dxa"/>
            <w:shd w:val="clear" w:color="auto" w:fill="auto"/>
          </w:tcPr>
          <w:p w14:paraId="0A710034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5E2105E6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1AA67D15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00195B96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i szczegółowe zasady obsługi w zakresie infrastruktury technicznej</w:t>
            </w:r>
          </w:p>
        </w:tc>
        <w:tc>
          <w:tcPr>
            <w:tcW w:w="3419" w:type="dxa"/>
            <w:shd w:val="clear" w:color="auto" w:fill="auto"/>
          </w:tcPr>
          <w:p w14:paraId="67DB2B82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5FD7A64D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33EC30B5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071555AA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minimalny udział procentowy powierzchni biologicznie czynnej  </w:t>
            </w:r>
          </w:p>
        </w:tc>
        <w:tc>
          <w:tcPr>
            <w:tcW w:w="3419" w:type="dxa"/>
            <w:shd w:val="clear" w:color="auto" w:fill="auto"/>
          </w:tcPr>
          <w:p w14:paraId="5884204A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5B210EE0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6F13B5A1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622BE3A3" w14:textId="77777777" w:rsidR="00F7371C" w:rsidRPr="00DD7B98" w:rsidRDefault="00F7371C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nadziemna intensywność zabudowy</w:t>
            </w:r>
          </w:p>
        </w:tc>
        <w:tc>
          <w:tcPr>
            <w:tcW w:w="3419" w:type="dxa"/>
            <w:shd w:val="clear" w:color="auto" w:fill="auto"/>
          </w:tcPr>
          <w:p w14:paraId="48C8D1AF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7EF2A973" w14:textId="77777777" w:rsidTr="00B16B69">
        <w:trPr>
          <w:trHeight w:val="181"/>
        </w:trPr>
        <w:tc>
          <w:tcPr>
            <w:tcW w:w="2810" w:type="dxa"/>
            <w:vMerge/>
            <w:shd w:val="clear" w:color="auto" w:fill="F3F3F3"/>
          </w:tcPr>
          <w:p w14:paraId="1E447B39" w14:textId="77777777" w:rsidR="00F7371C" w:rsidRPr="00DD7B98" w:rsidRDefault="00F7371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4437F700" w14:textId="77777777" w:rsidR="00F7371C" w:rsidRPr="00DD7B98" w:rsidRDefault="00F7371C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wysokość zabudowy</w:t>
            </w:r>
          </w:p>
        </w:tc>
        <w:tc>
          <w:tcPr>
            <w:tcW w:w="3419" w:type="dxa"/>
            <w:shd w:val="clear" w:color="auto" w:fill="auto"/>
          </w:tcPr>
          <w:p w14:paraId="320B84C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F3A2D" w:rsidRPr="00DD7B98" w14:paraId="3F89F064" w14:textId="77777777" w:rsidTr="00B16B69">
        <w:trPr>
          <w:trHeight w:val="73"/>
        </w:trPr>
        <w:tc>
          <w:tcPr>
            <w:tcW w:w="2810" w:type="dxa"/>
            <w:vMerge w:val="restart"/>
            <w:shd w:val="clear" w:color="auto" w:fill="F3F3F3"/>
          </w:tcPr>
          <w:p w14:paraId="3E5BA015" w14:textId="77777777" w:rsidR="00D6706C" w:rsidRPr="00DD7B98" w:rsidRDefault="00D6706C" w:rsidP="009327A6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Informacje dotyczące przewidzianych inwestycji w promieniu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D7B9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 km</w:t>
              </w:r>
            </w:smartTag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od </w:t>
            </w:r>
            <w:r w:rsidR="00CC5FC4"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terenu objętego przedsięwzięciem deweloperskim lub zadaniem </w:t>
            </w:r>
            <w:r w:rsidR="009327A6" w:rsidRPr="00DD7B98">
              <w:rPr>
                <w:rFonts w:ascii="Times New Roman" w:hAnsi="Times New Roman" w:cs="Times New Roman"/>
                <w:sz w:val="20"/>
                <w:szCs w:val="20"/>
              </w:rPr>
              <w:t>inwestycyjnym</w:t>
            </w:r>
            <w:r w:rsidR="009327A6"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footnoteReference w:id="6"/>
            </w:r>
            <w:r w:rsidR="009327A6"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t>)</w:t>
            </w:r>
            <w:r w:rsidR="009327A6"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zawarte w:</w:t>
            </w:r>
          </w:p>
          <w:p w14:paraId="5C19107B" w14:textId="77777777" w:rsidR="00D6706C" w:rsidRPr="00DD7B98" w:rsidRDefault="00D6706C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489A2A21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miejscowych planach zagospodarowania przestrzennego</w:t>
            </w:r>
          </w:p>
        </w:tc>
        <w:tc>
          <w:tcPr>
            <w:tcW w:w="3419" w:type="dxa"/>
            <w:shd w:val="clear" w:color="auto" w:fill="auto"/>
          </w:tcPr>
          <w:p w14:paraId="5D4F1FF5" w14:textId="77777777" w:rsidR="00D6706C" w:rsidRPr="00DD7B98" w:rsidRDefault="00D6706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7876B1A0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29D805DE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5F65F1CF" w14:textId="38B2DEA9" w:rsidR="00F76BB4" w:rsidRPr="00DD7B98" w:rsidRDefault="00F76BB4" w:rsidP="00D67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decyzjach o warunkach zabudowy i zagospodarowania terenu</w:t>
            </w:r>
          </w:p>
        </w:tc>
        <w:tc>
          <w:tcPr>
            <w:tcW w:w="3419" w:type="dxa"/>
            <w:shd w:val="clear" w:color="auto" w:fill="auto"/>
          </w:tcPr>
          <w:p w14:paraId="64FA7C12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D1A8A01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7C894753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39823343" w14:textId="5803CA71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decyzjach o środowiskowych uwarunkowaniach</w:t>
            </w:r>
          </w:p>
        </w:tc>
        <w:tc>
          <w:tcPr>
            <w:tcW w:w="3419" w:type="dxa"/>
            <w:shd w:val="clear" w:color="auto" w:fill="auto"/>
          </w:tcPr>
          <w:p w14:paraId="52F571C6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4FB0F65B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6E2D105E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51D9D557" w14:textId="7DC95EA0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uchwałach o obszarach ograniczonego użytkowania</w:t>
            </w:r>
          </w:p>
        </w:tc>
        <w:tc>
          <w:tcPr>
            <w:tcW w:w="3419" w:type="dxa"/>
            <w:shd w:val="clear" w:color="auto" w:fill="auto"/>
          </w:tcPr>
          <w:p w14:paraId="2CDA59BA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769F43F8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52E7ED54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26889B6A" w14:textId="04B1E1DB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miejscowych planach odbudowy</w:t>
            </w:r>
          </w:p>
        </w:tc>
        <w:tc>
          <w:tcPr>
            <w:tcW w:w="3419" w:type="dxa"/>
            <w:shd w:val="clear" w:color="auto" w:fill="auto"/>
          </w:tcPr>
          <w:p w14:paraId="61BEFA90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0BD8B140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56FF833E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235ACEFF" w14:textId="1C86D72E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mapach zagrożenia powodziowego i mapach ryzyka powodziowego</w:t>
            </w:r>
          </w:p>
        </w:tc>
        <w:tc>
          <w:tcPr>
            <w:tcW w:w="3419" w:type="dxa"/>
            <w:shd w:val="clear" w:color="auto" w:fill="auto"/>
          </w:tcPr>
          <w:p w14:paraId="6DC3CE92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45C4DD00" w14:textId="77777777" w:rsidTr="00B16B69">
        <w:trPr>
          <w:trHeight w:val="71"/>
        </w:trPr>
        <w:tc>
          <w:tcPr>
            <w:tcW w:w="2810" w:type="dxa"/>
            <w:vMerge/>
            <w:shd w:val="clear" w:color="auto" w:fill="F3F3F3"/>
          </w:tcPr>
          <w:p w14:paraId="1314A19F" w14:textId="77777777" w:rsidR="00B16B69" w:rsidRPr="00DD7B98" w:rsidRDefault="00B16B69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38" w:type="dxa"/>
            <w:gridSpan w:val="2"/>
            <w:shd w:val="clear" w:color="auto" w:fill="auto"/>
          </w:tcPr>
          <w:p w14:paraId="36D045AB" w14:textId="77777777" w:rsidR="00B16B69" w:rsidRPr="00DD7B98" w:rsidRDefault="00B16B69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Ustalenia decyzji w zakresie rozmieszczenia inwestycji celu publicznego, mogące mieć znaczenie dla terenu objętego przedsięwzięciem deweloperskim lub zadaniem inwestycyjnym:</w:t>
            </w:r>
          </w:p>
          <w:p w14:paraId="3718997B" w14:textId="77777777" w:rsidR="00B16B69" w:rsidRPr="00DD7B98" w:rsidRDefault="00B16B69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20882F84" w14:textId="5FF73817" w:rsidTr="00B16B69">
        <w:trPr>
          <w:trHeight w:val="531"/>
        </w:trPr>
        <w:tc>
          <w:tcPr>
            <w:tcW w:w="2810" w:type="dxa"/>
            <w:vMerge/>
            <w:shd w:val="clear" w:color="auto" w:fill="F3F3F3"/>
          </w:tcPr>
          <w:p w14:paraId="2C5F1042" w14:textId="77777777" w:rsidR="00B16B69" w:rsidRPr="00DD7B98" w:rsidRDefault="00B16B69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64AF9EC3" w14:textId="77777777" w:rsidR="00B16B69" w:rsidRPr="00DD7B98" w:rsidRDefault="00B16B69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zezwoleniu na realizację inwestycji drogowej</w:t>
            </w:r>
          </w:p>
        </w:tc>
        <w:tc>
          <w:tcPr>
            <w:tcW w:w="3419" w:type="dxa"/>
            <w:shd w:val="clear" w:color="auto" w:fill="auto"/>
          </w:tcPr>
          <w:p w14:paraId="46720DCC" w14:textId="7205D454" w:rsidR="00B16B69" w:rsidRPr="00DD7B98" w:rsidRDefault="00B16B69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7CCEDD2F" w14:textId="77777777" w:rsidTr="00B16B69">
        <w:trPr>
          <w:trHeight w:val="84"/>
        </w:trPr>
        <w:tc>
          <w:tcPr>
            <w:tcW w:w="2810" w:type="dxa"/>
            <w:vMerge/>
            <w:shd w:val="clear" w:color="auto" w:fill="F3F3F3"/>
          </w:tcPr>
          <w:p w14:paraId="23939DB7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7116493F" w14:textId="33F529F6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ustaleniu lokalizacji linii kolejowej</w:t>
            </w:r>
          </w:p>
        </w:tc>
        <w:tc>
          <w:tcPr>
            <w:tcW w:w="3419" w:type="dxa"/>
            <w:shd w:val="clear" w:color="auto" w:fill="auto"/>
          </w:tcPr>
          <w:p w14:paraId="7F04F8EF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6BB02C34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270857BA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061A3398" w14:textId="3D13A5D1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zezwoleniu na realizację inwestycji w zakresie lotniska użytku publicznego</w:t>
            </w:r>
          </w:p>
        </w:tc>
        <w:tc>
          <w:tcPr>
            <w:tcW w:w="3419" w:type="dxa"/>
            <w:shd w:val="clear" w:color="auto" w:fill="auto"/>
          </w:tcPr>
          <w:p w14:paraId="363A0A76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7693A6C7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609CB0D6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7638FBF2" w14:textId="18D83CC0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pozwoleniu na realizację inwestycji w zakresie budowli przeciwpowodziowych</w:t>
            </w:r>
          </w:p>
        </w:tc>
        <w:tc>
          <w:tcPr>
            <w:tcW w:w="3419" w:type="dxa"/>
            <w:shd w:val="clear" w:color="auto" w:fill="auto"/>
          </w:tcPr>
          <w:p w14:paraId="03267CF0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72FE196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197204DA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4630E09C" w14:textId="0A803BA2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ustaleniu lokalizacji inwestycji w zakresie budowy obiektu energetyki jądrowej</w:t>
            </w:r>
          </w:p>
        </w:tc>
        <w:tc>
          <w:tcPr>
            <w:tcW w:w="3419" w:type="dxa"/>
            <w:shd w:val="clear" w:color="auto" w:fill="auto"/>
          </w:tcPr>
          <w:p w14:paraId="5C258A1A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235D7A5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72EDFEAC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2F4FFBC1" w14:textId="66FDC95D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ustaleniu lokalizacji strategicznej inwestycji w zakresie sieci przesyłowej</w:t>
            </w:r>
          </w:p>
        </w:tc>
        <w:tc>
          <w:tcPr>
            <w:tcW w:w="3419" w:type="dxa"/>
            <w:shd w:val="clear" w:color="auto" w:fill="auto"/>
          </w:tcPr>
          <w:p w14:paraId="2A79EAEA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4C77E56F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069E971B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0D17A933" w14:textId="20B69248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ustaleniu lokalizacji regionalnej sieci szerokopasmowej</w:t>
            </w:r>
          </w:p>
        </w:tc>
        <w:tc>
          <w:tcPr>
            <w:tcW w:w="3419" w:type="dxa"/>
            <w:shd w:val="clear" w:color="auto" w:fill="auto"/>
          </w:tcPr>
          <w:p w14:paraId="5FC2BA74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18AC81D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2EA99F61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3C540DBA" w14:textId="56EDDD0E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decyzja o ustaleniu lokalizacji inwestycji w zakresie Centralnego Portu Komunikacyjnego </w:t>
            </w:r>
          </w:p>
        </w:tc>
        <w:tc>
          <w:tcPr>
            <w:tcW w:w="3419" w:type="dxa"/>
            <w:shd w:val="clear" w:color="auto" w:fill="auto"/>
          </w:tcPr>
          <w:p w14:paraId="7F9F68F7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66070E13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642BC817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7EA80619" w14:textId="6B021BE6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decyzja o zezwoleniu na realizację inwestycji w zakresie infrastruktury dostępowej</w:t>
            </w:r>
          </w:p>
        </w:tc>
        <w:tc>
          <w:tcPr>
            <w:tcW w:w="3419" w:type="dxa"/>
            <w:shd w:val="clear" w:color="auto" w:fill="auto"/>
          </w:tcPr>
          <w:p w14:paraId="0EFEF4EE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59CBD6A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37B3D0E9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0862449A" w14:textId="3EED4F1F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decyzja o ustaleniu lokalizacji strategicznej inwestycji w sektorze naftowym</w:t>
            </w:r>
          </w:p>
        </w:tc>
        <w:tc>
          <w:tcPr>
            <w:tcW w:w="3419" w:type="dxa"/>
            <w:shd w:val="clear" w:color="auto" w:fill="auto"/>
          </w:tcPr>
          <w:p w14:paraId="3CEE8623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294EE7C3" w14:textId="77777777" w:rsidTr="00B16B69">
        <w:trPr>
          <w:trHeight w:val="81"/>
        </w:trPr>
        <w:tc>
          <w:tcPr>
            <w:tcW w:w="2810" w:type="dxa"/>
            <w:vMerge/>
            <w:shd w:val="clear" w:color="auto" w:fill="F3F3F3"/>
          </w:tcPr>
          <w:p w14:paraId="091B570A" w14:textId="77777777" w:rsidR="00F76BB4" w:rsidRPr="00DD7B98" w:rsidRDefault="00F76BB4" w:rsidP="00D67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19" w:type="dxa"/>
            <w:shd w:val="clear" w:color="auto" w:fill="auto"/>
          </w:tcPr>
          <w:p w14:paraId="78E6D1B4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decyzja o ustaleniu lokalizacji strategicznej inwestycji w sektorze naftowym</w:t>
            </w:r>
          </w:p>
        </w:tc>
        <w:tc>
          <w:tcPr>
            <w:tcW w:w="3419" w:type="dxa"/>
            <w:shd w:val="clear" w:color="auto" w:fill="auto"/>
          </w:tcPr>
          <w:p w14:paraId="4A07D3A3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173280D8" w14:textId="31012271" w:rsidTr="00B16B69">
        <w:trPr>
          <w:trHeight w:val="390"/>
        </w:trPr>
        <w:tc>
          <w:tcPr>
            <w:tcW w:w="9648" w:type="dxa"/>
            <w:gridSpan w:val="3"/>
            <w:shd w:val="clear" w:color="auto" w:fill="D9D9D9"/>
          </w:tcPr>
          <w:p w14:paraId="531DEB9F" w14:textId="77777777" w:rsidR="00B16B69" w:rsidRPr="00DD7B98" w:rsidRDefault="00B16B69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INFORMACJE DOTYCZĄCE BUDYNKU</w:t>
            </w:r>
          </w:p>
          <w:p w14:paraId="3DE50D0D" w14:textId="77777777" w:rsidR="00B16B69" w:rsidRPr="00DD7B98" w:rsidRDefault="00B16B69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BB4" w:rsidRPr="00DD7B98" w14:paraId="3CBB4904" w14:textId="77777777" w:rsidTr="00B16B69">
        <w:trPr>
          <w:trHeight w:val="390"/>
        </w:trPr>
        <w:tc>
          <w:tcPr>
            <w:tcW w:w="2810" w:type="dxa"/>
            <w:shd w:val="clear" w:color="auto" w:fill="F3F3F3"/>
          </w:tcPr>
          <w:p w14:paraId="07859F23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Czy jest pozwolenie na budowę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2C36ABD3" w14:textId="2CB6027B" w:rsidR="00F76BB4" w:rsidRPr="00DD7B98" w:rsidRDefault="00F76BB4" w:rsidP="00D6706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tak*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486A9AA3" w14:textId="12EB9C37" w:rsidR="00F76BB4" w:rsidRPr="00DD7B98" w:rsidRDefault="00F76BB4" w:rsidP="00D6706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nie*</w:t>
            </w:r>
          </w:p>
        </w:tc>
      </w:tr>
      <w:tr w:rsidR="00F76BB4" w:rsidRPr="00DD7B98" w14:paraId="05BB7678" w14:textId="77777777" w:rsidTr="00B16B69">
        <w:trPr>
          <w:trHeight w:val="390"/>
        </w:trPr>
        <w:tc>
          <w:tcPr>
            <w:tcW w:w="2810" w:type="dxa"/>
            <w:shd w:val="clear" w:color="auto" w:fill="F3F3F3"/>
          </w:tcPr>
          <w:p w14:paraId="77ECE435" w14:textId="77777777" w:rsidR="00F76BB4" w:rsidRPr="00DD7B98" w:rsidRDefault="00F76BB4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Czy pozwolenie na budowę jest ostateczne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55FBC994" w14:textId="41D3FEB5" w:rsidR="00F76BB4" w:rsidRPr="00DD7B98" w:rsidRDefault="00F76BB4" w:rsidP="00D6706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tak*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37710437" w14:textId="19D71011" w:rsidR="00F76BB4" w:rsidRPr="00DD7B98" w:rsidRDefault="00F76BB4" w:rsidP="00D6706C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nie*</w:t>
            </w:r>
          </w:p>
        </w:tc>
      </w:tr>
      <w:tr w:rsidR="00B16B69" w:rsidRPr="00DD7B98" w14:paraId="75E32F0D" w14:textId="77777777" w:rsidTr="00B16B69">
        <w:trPr>
          <w:trHeight w:val="390"/>
        </w:trPr>
        <w:tc>
          <w:tcPr>
            <w:tcW w:w="2810" w:type="dxa"/>
            <w:shd w:val="clear" w:color="auto" w:fill="F3F3F3"/>
          </w:tcPr>
          <w:p w14:paraId="03BC8DD3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Czy pozwolenie na budowę jest zaskarżone</w:t>
            </w:r>
          </w:p>
        </w:tc>
        <w:tc>
          <w:tcPr>
            <w:tcW w:w="3419" w:type="dxa"/>
            <w:shd w:val="clear" w:color="auto" w:fill="auto"/>
            <w:vAlign w:val="center"/>
          </w:tcPr>
          <w:p w14:paraId="73997BEA" w14:textId="1660A3AC" w:rsidR="00B16B69" w:rsidRPr="00DD7B98" w:rsidRDefault="00B16B69" w:rsidP="00B16B69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tak*</w:t>
            </w:r>
          </w:p>
        </w:tc>
        <w:tc>
          <w:tcPr>
            <w:tcW w:w="3419" w:type="dxa"/>
            <w:vAlign w:val="center"/>
          </w:tcPr>
          <w:p w14:paraId="6233BCE9" w14:textId="1473C844" w:rsidR="00B16B69" w:rsidRPr="00DD7B98" w:rsidRDefault="00B16B69" w:rsidP="00B16B69">
            <w:pPr>
              <w:spacing w:beforeLines="60" w:before="144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nie*</w:t>
            </w:r>
          </w:p>
        </w:tc>
      </w:tr>
      <w:tr w:rsidR="00B16B69" w:rsidRPr="00DD7B98" w14:paraId="3057007E" w14:textId="77777777" w:rsidTr="00B16B69">
        <w:trPr>
          <w:trHeight w:val="195"/>
        </w:trPr>
        <w:tc>
          <w:tcPr>
            <w:tcW w:w="2810" w:type="dxa"/>
            <w:shd w:val="clear" w:color="auto" w:fill="F3F3F3"/>
          </w:tcPr>
          <w:p w14:paraId="279101F5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Numer pozwolenia na budowę oraz nazwa organu, który je wydał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0104CDC7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44DD8E43" w14:textId="77777777" w:rsidTr="00B16B69">
        <w:trPr>
          <w:trHeight w:val="195"/>
        </w:trPr>
        <w:tc>
          <w:tcPr>
            <w:tcW w:w="2810" w:type="dxa"/>
            <w:shd w:val="clear" w:color="auto" w:fill="F3F3F3"/>
          </w:tcPr>
          <w:p w14:paraId="14BABA45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Data uprawomocnienia się decyzji o pozwoleniu na użytkowanie budynku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5A889589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2B1C9520" w14:textId="77777777" w:rsidTr="00B16B69">
        <w:trPr>
          <w:trHeight w:val="195"/>
        </w:trPr>
        <w:tc>
          <w:tcPr>
            <w:tcW w:w="2810" w:type="dxa"/>
            <w:shd w:val="clear" w:color="auto" w:fill="F3F3F3"/>
          </w:tcPr>
          <w:p w14:paraId="02A76846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Numer zgłoszenia budowy, o której mowa w art. 29 ust. 1 pkt 1 ustawy z dnia 7 lipca 1994 r. – Prawo budowlane (Dz. U. z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 poz.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2351 oraz z 2022 r. poz. 88 i 1557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), oraz oznaczenie organu, do którego dokonano zgłoszenia, wraz z informacją o braku wniesienia sprzeciwu przez ten organ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6B58074A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1EA4C948" w14:textId="77777777" w:rsidTr="00B16B69">
        <w:trPr>
          <w:trHeight w:val="195"/>
        </w:trPr>
        <w:tc>
          <w:tcPr>
            <w:tcW w:w="2810" w:type="dxa"/>
            <w:shd w:val="clear" w:color="auto" w:fill="F3F3F3"/>
          </w:tcPr>
          <w:p w14:paraId="0291C51F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Data zakończenia budowy domu jednorodzinnego 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2D43D73B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0F325D4B" w14:textId="36B6F803" w:rsidTr="00B16B69">
        <w:trPr>
          <w:trHeight w:val="195"/>
        </w:trPr>
        <w:tc>
          <w:tcPr>
            <w:tcW w:w="2810" w:type="dxa"/>
            <w:shd w:val="clear" w:color="auto" w:fill="F3F3F3"/>
          </w:tcPr>
          <w:p w14:paraId="32CA8747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Planowany termin rozpoczęcia i zakończenia robót budowlanych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1EB48A82" w14:textId="254821DC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2FE3BC25" w14:textId="77777777" w:rsidTr="00B16B69">
        <w:trPr>
          <w:trHeight w:val="325"/>
        </w:trPr>
        <w:tc>
          <w:tcPr>
            <w:tcW w:w="2810" w:type="dxa"/>
            <w:vMerge w:val="restart"/>
            <w:shd w:val="clear" w:color="auto" w:fill="F3F3F3"/>
          </w:tcPr>
          <w:p w14:paraId="1A31C557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6C4BD6" w14:textId="77777777" w:rsidR="00B16B69" w:rsidRPr="00DD7B98" w:rsidRDefault="00B16B69" w:rsidP="00B16B69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Opis przedsięwzięcia deweloperskiego lub zadania inwestycyjnego</w:t>
            </w:r>
          </w:p>
          <w:p w14:paraId="0FA6112F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70EDF3A4" w14:textId="522631FA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Liczba budynków</w:t>
            </w:r>
          </w:p>
        </w:tc>
        <w:tc>
          <w:tcPr>
            <w:tcW w:w="3419" w:type="dxa"/>
            <w:shd w:val="clear" w:color="auto" w:fill="auto"/>
          </w:tcPr>
          <w:p w14:paraId="73A8DAED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08030D8D" w14:textId="77777777" w:rsidTr="00B16B69">
        <w:trPr>
          <w:trHeight w:val="325"/>
        </w:trPr>
        <w:tc>
          <w:tcPr>
            <w:tcW w:w="2810" w:type="dxa"/>
            <w:vMerge/>
            <w:shd w:val="clear" w:color="auto" w:fill="F3F3F3"/>
          </w:tcPr>
          <w:p w14:paraId="4EB5AFA2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shd w:val="clear" w:color="auto" w:fill="auto"/>
          </w:tcPr>
          <w:p w14:paraId="2B1FABAD" w14:textId="6D9FCB5D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Rozmieszczenie budynków na nieruchomości (należy podać minimalny odstęp między budynkami)</w:t>
            </w:r>
          </w:p>
        </w:tc>
        <w:tc>
          <w:tcPr>
            <w:tcW w:w="3419" w:type="dxa"/>
          </w:tcPr>
          <w:p w14:paraId="7909CCCF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3EC828CF" w14:textId="11D0EA8C" w:rsidTr="00B3746E">
        <w:trPr>
          <w:trHeight w:val="488"/>
        </w:trPr>
        <w:tc>
          <w:tcPr>
            <w:tcW w:w="2810" w:type="dxa"/>
            <w:shd w:val="clear" w:color="auto" w:fill="F3F3F3"/>
          </w:tcPr>
          <w:p w14:paraId="782B8082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Sposób pomiaru powierzchni użytkowej lokalu mieszkalnego albo domu jednorodzinnego</w:t>
            </w:r>
          </w:p>
        </w:tc>
        <w:tc>
          <w:tcPr>
            <w:tcW w:w="6838" w:type="dxa"/>
            <w:gridSpan w:val="2"/>
          </w:tcPr>
          <w:p w14:paraId="37EDF476" w14:textId="407FF164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20C2AD70" w14:textId="77777777" w:rsidTr="00B16B69">
        <w:tc>
          <w:tcPr>
            <w:tcW w:w="2810" w:type="dxa"/>
            <w:vMerge w:val="restart"/>
            <w:shd w:val="clear" w:color="auto" w:fill="F3F3F3"/>
          </w:tcPr>
          <w:p w14:paraId="1FD27427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Zamierzony sposób i procentowy udział źródeł finansowania przedsięwzięcia deweloperskiego lub zadania inwestycyjnego</w:t>
            </w:r>
          </w:p>
          <w:p w14:paraId="67BEC5AC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14:paraId="1CB23898" w14:textId="73538960" w:rsidR="00B16B69" w:rsidRPr="00DD7B98" w:rsidDel="00E703EC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Rodzaj posiadanych środków finansowych – kredyt, środki własne, inne</w:t>
            </w:r>
          </w:p>
        </w:tc>
        <w:tc>
          <w:tcPr>
            <w:tcW w:w="3419" w:type="dxa"/>
          </w:tcPr>
          <w:p w14:paraId="7C31E247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6B69" w:rsidRPr="00DD7B98" w14:paraId="2EE1B8BE" w14:textId="77777777" w:rsidTr="00B16B69">
        <w:tc>
          <w:tcPr>
            <w:tcW w:w="2810" w:type="dxa"/>
            <w:vMerge/>
            <w:shd w:val="clear" w:color="auto" w:fill="F3F3F3"/>
          </w:tcPr>
          <w:p w14:paraId="67846E0A" w14:textId="77777777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14:paraId="5E7E52FE" w14:textId="403F795E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W następujących instytucjach finansowych (wypełnia się w przypadku kredytu)</w:t>
            </w:r>
          </w:p>
        </w:tc>
        <w:tc>
          <w:tcPr>
            <w:tcW w:w="3419" w:type="dxa"/>
          </w:tcPr>
          <w:p w14:paraId="2F42C08D" w14:textId="3D26217E" w:rsidR="00B16B69" w:rsidRPr="00DD7B98" w:rsidRDefault="00B16B69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371C" w:rsidRPr="00DD7B98" w14:paraId="55676252" w14:textId="77777777" w:rsidTr="00B16B69">
        <w:trPr>
          <w:trHeight w:val="1481"/>
        </w:trPr>
        <w:tc>
          <w:tcPr>
            <w:tcW w:w="2810" w:type="dxa"/>
            <w:vMerge w:val="restart"/>
            <w:shd w:val="clear" w:color="auto" w:fill="F3F3F3"/>
          </w:tcPr>
          <w:p w14:paraId="24790A7F" w14:textId="77777777" w:rsidR="00F7371C" w:rsidRPr="00DD7B98" w:rsidRDefault="00F7371C" w:rsidP="00B16B69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Środki ochrony nabywców</w:t>
            </w:r>
          </w:p>
        </w:tc>
        <w:tc>
          <w:tcPr>
            <w:tcW w:w="3419" w:type="dxa"/>
          </w:tcPr>
          <w:p w14:paraId="529469D3" w14:textId="07CB81A6" w:rsidR="00F7371C" w:rsidRPr="00DD7B98" w:rsidRDefault="00F7371C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Otwarty mieszkaniowy rachunek powierniczy*</w:t>
            </w:r>
          </w:p>
        </w:tc>
        <w:tc>
          <w:tcPr>
            <w:tcW w:w="3419" w:type="dxa"/>
          </w:tcPr>
          <w:p w14:paraId="22ACACA1" w14:textId="2539634C" w:rsidR="00F7371C" w:rsidRPr="00DD7B98" w:rsidRDefault="00F7371C" w:rsidP="00B16B6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Zamknięty mieszkaniowy rachunek powierniczy*</w:t>
            </w:r>
          </w:p>
        </w:tc>
      </w:tr>
      <w:tr w:rsidR="00F7371C" w:rsidRPr="00DD7B98" w14:paraId="04073C89" w14:textId="77777777" w:rsidTr="002568E5">
        <w:tc>
          <w:tcPr>
            <w:tcW w:w="2810" w:type="dxa"/>
            <w:vMerge/>
            <w:shd w:val="clear" w:color="auto" w:fill="F3F3F3"/>
          </w:tcPr>
          <w:p w14:paraId="2FA80805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14:paraId="5C488540" w14:textId="77777777" w:rsidR="00F7371C" w:rsidRPr="00DD7B98" w:rsidRDefault="00F7371C" w:rsidP="005F3299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Wysokość stawki procentowej, według której jest obliczana kwota składki na Deweloperski Fundusz Gwarancyjny</w:t>
            </w:r>
            <w:r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footnoteReference w:id="7"/>
            </w:r>
            <w:r w:rsidRPr="00DD7B98">
              <w:rPr>
                <w:rStyle w:val="IGindeksgrny"/>
                <w:rFonts w:ascii="Times New Roman" w:hAnsi="Times New Roman" w:cs="Times New Roman"/>
                <w:sz w:val="20"/>
                <w:szCs w:val="20"/>
              </w:rPr>
              <w:t>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19" w:type="dxa"/>
          </w:tcPr>
          <w:p w14:paraId="652CD57E" w14:textId="77777777" w:rsidR="00F7371C" w:rsidRPr="00DD7B98" w:rsidRDefault="00F7371C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1AD61480" w14:textId="77777777" w:rsidTr="002568E5">
        <w:tc>
          <w:tcPr>
            <w:tcW w:w="2810" w:type="dxa"/>
            <w:shd w:val="clear" w:color="auto" w:fill="F3F3F3"/>
          </w:tcPr>
          <w:p w14:paraId="24AA0D9E" w14:textId="77777777" w:rsidR="009327A6" w:rsidRPr="00DD7B98" w:rsidRDefault="009327A6" w:rsidP="00D6706C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Główne zasady funkcjonowania wybranego rodzaju zabezpieczenia środków nabywcy</w:t>
            </w:r>
          </w:p>
        </w:tc>
        <w:tc>
          <w:tcPr>
            <w:tcW w:w="6838" w:type="dxa"/>
            <w:gridSpan w:val="2"/>
          </w:tcPr>
          <w:p w14:paraId="2AD92291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0FE90B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6C3910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76D3A109" w14:textId="77777777" w:rsidTr="002568E5">
        <w:trPr>
          <w:trHeight w:val="293"/>
        </w:trPr>
        <w:tc>
          <w:tcPr>
            <w:tcW w:w="2810" w:type="dxa"/>
            <w:shd w:val="clear" w:color="auto" w:fill="F3F3F3"/>
          </w:tcPr>
          <w:p w14:paraId="21DD2561" w14:textId="77777777" w:rsidR="009327A6" w:rsidRPr="00DD7B98" w:rsidRDefault="009327A6" w:rsidP="00D6706C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Nazwa instytucji zapewniającej bezpieczeństwo środków nabywcy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3BEFBA87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25B59E33" w14:textId="77777777" w:rsidTr="002568E5">
        <w:trPr>
          <w:trHeight w:val="488"/>
        </w:trPr>
        <w:tc>
          <w:tcPr>
            <w:tcW w:w="2810" w:type="dxa"/>
            <w:shd w:val="clear" w:color="auto" w:fill="F3F3F3"/>
          </w:tcPr>
          <w:p w14:paraId="2FD5C7DD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Harmonogram przedsięwzięcia deweloperskiego lub zadania inwestycyjnego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37612AD9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092D6846" w14:textId="77777777" w:rsidTr="002568E5">
        <w:trPr>
          <w:trHeight w:val="292"/>
        </w:trPr>
        <w:tc>
          <w:tcPr>
            <w:tcW w:w="2810" w:type="dxa"/>
            <w:shd w:val="clear" w:color="auto" w:fill="F3F3F3"/>
          </w:tcPr>
          <w:p w14:paraId="4382DC6D" w14:textId="77777777" w:rsidR="009327A6" w:rsidRPr="00DD7B98" w:rsidRDefault="009327A6" w:rsidP="00D6706C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Dopuszczenie waloryzacji ceny oraz określenie zasad waloryzacji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0E4F0988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18CAB3F3" w14:textId="77777777" w:rsidTr="002568E5">
        <w:tc>
          <w:tcPr>
            <w:tcW w:w="9648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14:paraId="2E05EBF2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ODSTĄPIENIA OD UMOWY DEWELOPERSKIEJ LUB UMOWY, O KTÓREJ MOWA W ART. 2 UST. 1 PKT 2, 3 LUB 5</w:t>
            </w:r>
            <w:r w:rsidR="00EB29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USTAWY Z DNIA 20 MAJA 2021 r. </w:t>
            </w:r>
            <w:r w:rsidRPr="00DD7B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 OCHRONIE PRAW NABYWCY LOKALU MIESZKALNEGO LUB DOMU JEDNORODZINNEGO ORAZ DEWELOPERSKIM FUNDUSZU GWARANCYJNYM </w:t>
            </w:r>
          </w:p>
          <w:p w14:paraId="34396454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27A6" w:rsidRPr="00DD7B98" w14:paraId="04428CFA" w14:textId="77777777" w:rsidTr="002568E5">
        <w:trPr>
          <w:trHeight w:val="1512"/>
        </w:trPr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</w:tcPr>
          <w:p w14:paraId="3366250E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Warunki, na jakich można odstąpić od umowy deweloperskiej lub jednej z umów, o których mowa w art. 2 ust. 1 pkt 2, 3 lub 5 ustawy z dnia 20 maja 2021 r. o ochronie praw nabywcy lokalu mieszkalnego lub domu jednorodzinnego oraz Deweloperskim Funduszu Gwarancyjnym</w:t>
            </w:r>
          </w:p>
        </w:tc>
        <w:tc>
          <w:tcPr>
            <w:tcW w:w="6838" w:type="dxa"/>
            <w:gridSpan w:val="2"/>
          </w:tcPr>
          <w:p w14:paraId="70A85144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5AA8349C" w14:textId="77777777" w:rsidTr="00A80C58">
        <w:trPr>
          <w:trHeight w:val="510"/>
        </w:trPr>
        <w:tc>
          <w:tcPr>
            <w:tcW w:w="9648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826FC42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INNE INFORMACJE </w:t>
            </w:r>
          </w:p>
        </w:tc>
      </w:tr>
      <w:tr w:rsidR="009327A6" w:rsidRPr="00DD7B98" w14:paraId="403DAAE6" w14:textId="77777777" w:rsidTr="00A80C58">
        <w:trPr>
          <w:trHeight w:val="1512"/>
        </w:trPr>
        <w:tc>
          <w:tcPr>
            <w:tcW w:w="9648" w:type="dxa"/>
            <w:gridSpan w:val="3"/>
            <w:tcBorders>
              <w:bottom w:val="nil"/>
            </w:tcBorders>
            <w:shd w:val="clear" w:color="auto" w:fill="F3F3F3"/>
          </w:tcPr>
          <w:p w14:paraId="01F72D33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I. Informacja o:</w:t>
            </w:r>
          </w:p>
          <w:p w14:paraId="028DBFEB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zgodzie banku lub innego wierzyciela hipotecznego na </w:t>
            </w:r>
            <w:proofErr w:type="spellStart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ustanowienie odrębnej własności lokalu mieszkalnego i przeniesienie jego własności na nabywcę po wpłacie pełnej ceny przez nabywcę lub zobowiązaniu do jej udzielenia, jeżeli takie obciążenie istnieje, albo zgodzie banku lub innego wierzyciela hipotecznego na </w:t>
            </w:r>
            <w:proofErr w:type="spellStart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przeniesienie na nabywcę własności nieruchomości wraz z domem jednorodzinnym lub użytkowania wieczystego nieruchomości gruntowej i własności domu jednorodzinnego stanowiącego odrębną nieruchomość, lub przeniesienie ułamkowej części własności nieruchomości wraz z prawem do wyłącznego korzystania z części nieruchomości służącej zaspokajaniu potrzeb mieszkaniowych po wpłacie pełnej ceny przez nabywcę lub zobowiązaniu do jej udzielenia, jeżeli takie obciążenie istnieje;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; </w:t>
            </w:r>
          </w:p>
          <w:p w14:paraId="13084B4E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w przypadku umów, o których mowa w art. 2 ust. 2 ustawy z dnia 20 maja 2021 r. o ochronie praw nabywcy lokalu mieszkalnego lub domu jednorodzinnego oraz Deweloperskim Funduszu Gwarancyjnym, o zgodzie banku lub innego wierzyciela hipotecznego na </w:t>
            </w:r>
            <w:proofErr w:type="spellStart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przeniesienie własności lokalu użytkowego na nabywcę po wpłacie pełnej ceny przez nabywcę lub zobowiązaniu do udzielenia takiej zgody, jeżeli takie obciążenie istnieje, albo zgodzie banku lub innego wierzyciela hipotecznego na </w:t>
            </w:r>
            <w:proofErr w:type="spellStart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przeniesienie na nabywcę ułamkowej części własności lokalu użytkowego po wpłacie pełnej ceny przez nabywcę lub zobowiązaniu do udzielenia takiej zgody, jeżeli takie obciążenie istnieje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327A6" w:rsidRPr="00DD7B98" w14:paraId="1BE7A63B" w14:textId="77777777" w:rsidTr="00A80C58">
        <w:trPr>
          <w:trHeight w:val="1512"/>
        </w:trPr>
        <w:tc>
          <w:tcPr>
            <w:tcW w:w="9648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8D21B48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II. </w:t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Informacja o możliwości zapoznania się w lokalu przedsiębiorstwa przez osobę zainteresowaną zawarciem umowy odpowiednio do zakresu umowy z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4F6D65BB" w14:textId="77777777" w:rsidR="009327A6" w:rsidRPr="00DD7B98" w:rsidRDefault="009327A6" w:rsidP="00D6706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aktualnym stanem księgi wieczystej prowadzonej dla nieruchomości;</w:t>
            </w:r>
          </w:p>
          <w:p w14:paraId="32E4A933" w14:textId="77777777" w:rsidR="009327A6" w:rsidRPr="00DD7B98" w:rsidRDefault="009327A6" w:rsidP="00D6706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aktualnym odpisem, wyciągiem, zaświadczeniem lub wydrukiem komputerowym z Centralnej Informacji Krajowego Rejestru Sądowego, jeżeli podmiot podlega wpisowi do Krajowego Rejestru Sądowego, albo aktualnym zaświadczeniem o wpisie do Centralnej Ewidencji i Informacji o Działalności Gospodarczej;</w:t>
            </w:r>
          </w:p>
          <w:p w14:paraId="093BE372" w14:textId="77777777" w:rsidR="009327A6" w:rsidRPr="00DD7B98" w:rsidRDefault="009327A6" w:rsidP="00CC5FC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pozwoleniem na budowę albo zgłoszeniem budowy, o którym mowa w art. 29 ust. 1 pkt 1 ustawy z dnia 7 lipca 1994 r. – Prawo budowlane, do którego organ administracji architektoniczno-budowlanej nie wniósł sprzeciwu;</w:t>
            </w:r>
          </w:p>
          <w:p w14:paraId="59913EB1" w14:textId="77777777" w:rsidR="00EB2917" w:rsidRPr="00EB2917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sprawozdaniem finansowym dewelopera za ostatnie dwa lata, a w przypadku: </w:t>
            </w:r>
          </w:p>
          <w:p w14:paraId="341EE192" w14:textId="77777777" w:rsidR="00EB2917" w:rsidRPr="00EB2917" w:rsidRDefault="009327A6" w:rsidP="00EB291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1163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prowadzenia działalności przez okres krótszy niż dwa lata – sprawozdaniem finansowym za okres ostatniego roku, </w:t>
            </w:r>
          </w:p>
          <w:p w14:paraId="1FC06CA4" w14:textId="77777777" w:rsidR="009327A6" w:rsidRPr="00EB2917" w:rsidRDefault="009327A6" w:rsidP="00EB2917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1163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realizacji inwestycji przez spółkę celową – sprawozdaniem spółki dominującej oraz spółki celowej; </w:t>
            </w:r>
          </w:p>
          <w:p w14:paraId="341497CF" w14:textId="77777777" w:rsidR="009327A6" w:rsidRPr="00DD7B98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projektem budowlanym; </w:t>
            </w:r>
          </w:p>
          <w:p w14:paraId="1510BDF0" w14:textId="77777777" w:rsidR="009327A6" w:rsidRPr="00DD7B98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decyzją o pozwoleniu na użytkowanie budynku lub zawiadomieniem o zakończeniu budowy, do którego organ nadzoru budowlanego nie wniósł sprzeciwu; </w:t>
            </w:r>
          </w:p>
          <w:p w14:paraId="3E535C95" w14:textId="77777777" w:rsidR="009327A6" w:rsidRPr="00DD7B98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zaświadczeniem o samodzielności lokalu; </w:t>
            </w:r>
          </w:p>
          <w:p w14:paraId="1F13830B" w14:textId="77777777" w:rsidR="009327A6" w:rsidRPr="00DD7B98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aktem ustanowienia odrębnej własności lokalu;</w:t>
            </w:r>
          </w:p>
          <w:p w14:paraId="4A96F857" w14:textId="77777777" w:rsidR="009327A6" w:rsidRPr="00DD7B98" w:rsidRDefault="009327A6" w:rsidP="000962F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738" w:hanging="37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dokumentem potwierdzającym: </w:t>
            </w:r>
          </w:p>
          <w:p w14:paraId="1CC1F60D" w14:textId="77777777" w:rsidR="009327A6" w:rsidRPr="00DD7B98" w:rsidRDefault="009327A6" w:rsidP="00EB291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1163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zgodę banku lub innego wierzyciela hipotecznego na </w:t>
            </w:r>
            <w:proofErr w:type="spellStart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ustanowienie odrębnej własności lokalu mieszkalnego i przeniesienie jego własności na nabywcę po wpłacie pełnej ceny przez nabywcę lub zobowiązanie do jej udzielenia, jeżeli takie obciążenie istnieje, albo zgodę banku lub innego wierzyciela hipotecznego na </w:t>
            </w:r>
            <w:proofErr w:type="spellStart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przeniesienie na nabywcę własności nieruchomości wraz z domem jednorodzinnym lub użytkowania wieczystego nieruchomości gruntowej i własności domu jednorodzinnego stanowiącego odrębną nieruchomość, lub przeniesienie ułamkowej części własności nieruchomości wraz z prawem do wyłącznego korzystania z części nieruchomości służącej zaspokajaniu potrzeb mieszkaniowych po wpłacie pełnej ceny przez nabywcę lub zobowiązanie do jej udzielenia, 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jeżeli takie obciążenie istnieje,</w:t>
            </w:r>
          </w:p>
          <w:p w14:paraId="58091F65" w14:textId="77777777" w:rsidR="009327A6" w:rsidRPr="00DD7B98" w:rsidRDefault="009327A6" w:rsidP="00EB291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1163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przypadku umów, o których mowa w art. 2 ust. 2 ustawy z dnia 20 maja 2021 r. o ochronie praw nabywcy lokalu mieszkalnego lub domu jednorodzinnego oraz Deweloperskim Funduszu Gwarancyjnym, zgodę banku lub innego wierzyciela hipotecznego na </w:t>
            </w:r>
            <w:proofErr w:type="spellStart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przeniesienie własności lokalu użytkowego na nabywcę po wpłacie pełnej ceny przez nabywcę lub zobowiązanie do udzielenia takiej zgody, jeżeli takie obciążenie istnieje, albo zgodę banku lub innego wierzyciela hipotecznego na </w:t>
            </w:r>
            <w:proofErr w:type="spellStart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bezobciążeniowe</w:t>
            </w:r>
            <w:proofErr w:type="spellEnd"/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przeniesienie na nabywcę ułamkowej części własności lokalu użytkowego po wpłacie pełnej ceny przez nabywcę lub zobowiązanie do udzielenia takiej zgody, jeżeli takie obciążenie istnieje.</w:t>
            </w:r>
          </w:p>
          <w:p w14:paraId="71065B40" w14:textId="77777777" w:rsidR="009327A6" w:rsidRPr="00DD7B98" w:rsidRDefault="009327A6" w:rsidP="000962F7">
            <w:pPr>
              <w:widowControl w:val="0"/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11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27A6" w:rsidRPr="00DD7B98" w14:paraId="1911B676" w14:textId="77777777" w:rsidTr="00A80C58">
        <w:trPr>
          <w:trHeight w:val="1512"/>
        </w:trPr>
        <w:tc>
          <w:tcPr>
            <w:tcW w:w="9648" w:type="dxa"/>
            <w:gridSpan w:val="3"/>
            <w:tcBorders>
              <w:top w:val="nil"/>
            </w:tcBorders>
            <w:shd w:val="clear" w:color="auto" w:fill="FFFFFF"/>
          </w:tcPr>
          <w:p w14:paraId="20E0E234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III. Informacja:</w:t>
            </w:r>
          </w:p>
          <w:p w14:paraId="6E52A447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>Środki pieniężne zgromadzone w… [nazwa banku prowadzącego mieszkaniowy rachunek powierniczy], prowadzącym otwarty mieszkaniowy rachunek powierniczy albo zamknięty mieszkaniowy rachunek powierniczy, są objęte ochroną obowiązkowego systemu gwarantowania depozytów, na zasadach określonych w ustawie z dnia 10 czerwca 2016 r. o Bankowym Funduszu Gwarancyjnym, systemie gwarantowania depozytów oraz przymusowej restrukturyzacji (Dz. U. z 202</w:t>
            </w:r>
            <w:r w:rsidR="00F933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9336C">
              <w:rPr>
                <w:rFonts w:ascii="Times New Roman" w:hAnsi="Times New Roman" w:cs="Times New Roman"/>
                <w:sz w:val="20"/>
                <w:szCs w:val="20"/>
              </w:rPr>
              <w:t>793, 872</w:t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36C">
              <w:rPr>
                <w:rFonts w:ascii="Times New Roman" w:hAnsi="Times New Roman" w:cs="Times New Roman"/>
                <w:sz w:val="20"/>
                <w:szCs w:val="20"/>
              </w:rPr>
              <w:t>i 1692</w:t>
            </w:r>
            <w:r w:rsidRPr="00DD7B98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73752B41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Informacje podstawowe o obowiązkowym systemie gwarantowania depozytów:</w:t>
            </w:r>
          </w:p>
          <w:p w14:paraId="7109595E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ochrona środków dotyczy sytuacji spełnienia warunku gwarancji wobec ………… [nazwa banku prowadzącego mieszkaniowy rachunek powierniczy],</w:t>
            </w:r>
          </w:p>
          <w:p w14:paraId="0EB655A0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w przypadku rachunku powierniczego deponentem (uprawnionym do środków gwarantowanych) jest każdy z powierzających, w granicach wynikających z jego udziału w kwocie zgromadzonej na tym rachunku, a w granicach pozostałej kwoty na rachunku prawo do środków gwarantowanych ma powiernik,</w:t>
            </w:r>
          </w:p>
          <w:p w14:paraId="03FF92F3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limit gwarancyjny przypadający na jednego deponenta to równowartość w złotych 100 000 euro; w przypadkach określonych w art. 24 ust. 3 i 4 ustawy z dnia 10 czerwca 2016 r. o Bankowym Funduszu Gwarancyjnym, systemie gwarantowania depozytów oraz przymusowej restrukturyzacji, środki deponenta, w terminie 3 miesięcy od dnia ich wpływu na rachunek, objęte są gwarancjami ponad równowartość w złotych 100 000 euro,</w:t>
            </w:r>
          </w:p>
          <w:p w14:paraId="7EB5341D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podstawą wyliczenia kwoty środków gwarantowanych należnej deponentowi jest suma wszystkich podlegających ochronie należności tego deponenta od banku, w tym należności z tytułu środków zgromadzonych na jego rachunkach osobistych i z tytułu jego udziału w środkach zgromadzonych na rachunku powierniczym,</w:t>
            </w:r>
          </w:p>
          <w:p w14:paraId="089D3373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wypłata środków gwarantowanych – co do zasady – następuje w terminie 7 dni roboczych od dnia spełnienia warunku gwarancji wobec banku,</w:t>
            </w:r>
          </w:p>
          <w:p w14:paraId="11CB8072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wypłata środków gwarantowanych jest dokonywana w złotych,</w:t>
            </w:r>
          </w:p>
          <w:p w14:paraId="470B5BB2" w14:textId="77777777" w:rsidR="009327A6" w:rsidRPr="00DD7B98" w:rsidRDefault="009327A6" w:rsidP="00D6706C">
            <w:pPr>
              <w:spacing w:beforeLines="60" w:before="144" w:afterLines="60" w:after="144" w:line="240" w:lineRule="auto"/>
              <w:ind w:left="313" w:hanging="3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………… [nazwa banku prowadzącego mieszkaniowy rachunek powierniczy] korzysta także z następujących znaków towarowych: …………</w:t>
            </w:r>
          </w:p>
          <w:p w14:paraId="19C9A40B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B98">
              <w:rPr>
                <w:rFonts w:ascii="Times New Roman" w:eastAsia="Times New Roman" w:hAnsi="Times New Roman" w:cs="Times New Roman"/>
                <w:sz w:val="20"/>
                <w:szCs w:val="20"/>
              </w:rPr>
              <w:t>Dalsze informacje na temat systemu gwarantowania depozytów można uzyskać na stronie internetowej Bankowego Funduszu Gwarancyjnego: https://www.bfg.pl/.</w:t>
            </w:r>
          </w:p>
          <w:p w14:paraId="67A6EE72" w14:textId="77777777" w:rsidR="009327A6" w:rsidRPr="00EB2917" w:rsidRDefault="009327A6" w:rsidP="00D6706C">
            <w:pPr>
              <w:widowControl w:val="0"/>
              <w:numPr>
                <w:ilvl w:val="0"/>
                <w:numId w:val="2"/>
              </w:numPr>
              <w:tabs>
                <w:tab w:val="num" w:pos="314"/>
                <w:tab w:val="left" w:pos="728"/>
              </w:tabs>
              <w:autoSpaceDE w:val="0"/>
              <w:autoSpaceDN w:val="0"/>
              <w:adjustRightInd w:val="0"/>
              <w:spacing w:beforeLines="60" w:before="144" w:afterLines="60" w:after="144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9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Informacja zamieszczana w przypadku </w:t>
            </w:r>
            <w:r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zawarcia umowy mieszkaniowego rachunku powierniczego z </w:t>
            </w:r>
            <w:r w:rsidR="00EB2917"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oddziałem instytucji kredytowej</w:t>
            </w:r>
            <w:r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B2917"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rozumieniu</w:t>
            </w:r>
            <w:r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art. 4 ust. 1 pkt 18 ustawy z dnia 29 sierpnia 1997 r. – Prawo bankowe (</w:t>
            </w:r>
            <w:r w:rsidRPr="00EB2917">
              <w:rPr>
                <w:rFonts w:ascii="Times New Roman" w:hAnsi="Times New Roman" w:cs="Times New Roman"/>
                <w:sz w:val="20"/>
                <w:szCs w:val="20"/>
              </w:rPr>
              <w:t>Dz.</w:t>
            </w:r>
            <w:r w:rsidR="00EB2917" w:rsidRPr="00EB29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917">
              <w:rPr>
                <w:rFonts w:ascii="Times New Roman" w:hAnsi="Times New Roman" w:cs="Times New Roman"/>
                <w:sz w:val="20"/>
                <w:szCs w:val="20"/>
              </w:rPr>
              <w:t>U. z</w:t>
            </w:r>
            <w:r w:rsidR="00EB2917" w:rsidRPr="00EB291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B291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C57DC" w:rsidRPr="00EB29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B2917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7C57DC" w:rsidRPr="00EB2917">
              <w:rPr>
                <w:rFonts w:ascii="Times New Roman" w:hAnsi="Times New Roman" w:cs="Times New Roman"/>
                <w:sz w:val="20"/>
                <w:szCs w:val="20"/>
              </w:rPr>
              <w:t>2439, 2447 oraz z 2022 r. poz. 830, 872, 1177, 1358 i 1488</w:t>
            </w:r>
            <w:r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).</w:t>
            </w:r>
          </w:p>
          <w:p w14:paraId="0A166AF4" w14:textId="77777777" w:rsidR="009327A6" w:rsidRPr="00DD7B98" w:rsidRDefault="009327A6" w:rsidP="00D6706C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91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Oddział instytucji kredytowej, w rozumieniu art. 4 ust. 1 pkt 18 ustawy z dnia 29 sierpnia 1997 r. – Prawo bankowe jest objęty systemem gwarantowania państwa macierzystego, co oznacza, że </w:t>
            </w:r>
            <w:r w:rsidRPr="00DD7B9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nie mają do niego zastosowania przepisy ustawy z dnia 10 czerwca 2016 r. o Bankowym Funduszu Gwarancyjnym systemie gwarantowania depozytów oraz przymusowej restrukturyzacji.</w:t>
            </w:r>
          </w:p>
        </w:tc>
      </w:tr>
    </w:tbl>
    <w:p w14:paraId="57917999" w14:textId="77777777" w:rsidR="00A80C58" w:rsidRPr="00DD7B98" w:rsidRDefault="00A80C58" w:rsidP="00EA1C22">
      <w:pPr>
        <w:spacing w:beforeLines="60" w:before="144" w:afterLines="60" w:after="144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7BA0FCF" w14:textId="7F843151" w:rsidR="00EA1C22" w:rsidRDefault="00912F6A" w:rsidP="00912F6A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CZĘŚĆ INDYWIDUALNA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419"/>
        <w:gridCol w:w="3419"/>
      </w:tblGrid>
      <w:tr w:rsidR="00912F6A" w:rsidRPr="00DD7B98" w14:paraId="043A6412" w14:textId="77777777" w:rsidTr="00CA2D82">
        <w:trPr>
          <w:trHeight w:val="293"/>
        </w:trPr>
        <w:tc>
          <w:tcPr>
            <w:tcW w:w="2810" w:type="dxa"/>
            <w:shd w:val="clear" w:color="auto" w:fill="F3F3F3"/>
          </w:tcPr>
          <w:p w14:paraId="73EF67E0" w14:textId="0DAAD1F2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Cena lokalu mieszkalnego albo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domu jednorodzinnego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427100D9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0A820390" w14:textId="77777777" w:rsidTr="00CA2D82">
        <w:trPr>
          <w:trHeight w:val="488"/>
        </w:trPr>
        <w:tc>
          <w:tcPr>
            <w:tcW w:w="2810" w:type="dxa"/>
            <w:shd w:val="clear" w:color="auto" w:fill="F3F3F3"/>
          </w:tcPr>
          <w:p w14:paraId="4F1DB4D8" w14:textId="2C5096A2" w:rsidR="00912F6A" w:rsidRPr="00DD7B98" w:rsidRDefault="00912F6A" w:rsidP="00912F6A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Powierzchnia użytkowa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mieszkalnego albo domu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jednorodzinnego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41AFA60C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FA41229" w14:textId="77777777" w:rsidTr="00CA2D82">
        <w:trPr>
          <w:trHeight w:val="292"/>
        </w:trPr>
        <w:tc>
          <w:tcPr>
            <w:tcW w:w="2810" w:type="dxa"/>
            <w:shd w:val="clear" w:color="auto" w:fill="F3F3F3"/>
          </w:tcPr>
          <w:p w14:paraId="38CF5FB0" w14:textId="22954101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Cena m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powierzchni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żytkowej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lokalu mieszkalnego albo domu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jednorodzinnego</w:t>
            </w:r>
          </w:p>
        </w:tc>
        <w:tc>
          <w:tcPr>
            <w:tcW w:w="6838" w:type="dxa"/>
            <w:gridSpan w:val="2"/>
            <w:shd w:val="clear" w:color="auto" w:fill="auto"/>
          </w:tcPr>
          <w:p w14:paraId="0696BB82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33A6387B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47BFD1D" w14:textId="534B150B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Termin, do którego nastąpi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przeniesienie prawa własności nieruchomości wynikającego z umowy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deweloperskiej lub jednej z umów,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 których mowa w art. 2 ust. 1 pkt 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3 lub 5 lub ust.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ustawy z dnia 20 maja 2021 r.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 ochronie praw nabywcy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mieszkalnego lub domu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jednorodzinnego oraz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Deweloperskim Funduszu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Gwarancyjnym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3454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4A706DF3" w14:textId="77777777" w:rsidTr="0003722F">
        <w:trPr>
          <w:trHeight w:val="570"/>
        </w:trPr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AD1A8D8" w14:textId="657C452B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Określenie położenia oraz istotnych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cech domu jednorodzinnego albo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budynku, w którym ma znajdować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się lokal mieszkalny będący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przedmiotem umowy rezerwacyjnej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albo umowy deweloperskiej 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jednej z umów, o których mowa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w art. 2 ust. 1 pkt 2, 3 lub 5 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ust. 2 ustawy z dnia 20 maja 2021 r.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 ochronie praw nabywcy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mieszkalnego lub domu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jednorodzinnego oraz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Deweloperskim Funduszu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Gwarancyjnym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4C5" w14:textId="6EA7A354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Liczba kondygnacji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1800" w14:textId="153C9061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4E5288F8" w14:textId="77777777" w:rsidTr="0003722F">
        <w:trPr>
          <w:trHeight w:val="567"/>
        </w:trPr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9286BE8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C8E9" w14:textId="082FFF79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Technologia wykonania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09CF7" w14:textId="6171BB21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7A3779D4" w14:textId="77777777" w:rsidTr="00912F6A">
        <w:trPr>
          <w:trHeight w:val="2144"/>
        </w:trPr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F5D78BF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4FD6" w14:textId="5C3A43ED" w:rsidR="00912F6A" w:rsidRPr="00DD7B98" w:rsidRDefault="00912F6A" w:rsidP="00912F6A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Standard prac wykończeniowych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w części wspólnej budynku i terenie wokół niego, stanowiącym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część wspólną nieruchomości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0B61" w14:textId="00413978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9DFF623" w14:textId="77777777" w:rsidTr="0003722F">
        <w:trPr>
          <w:trHeight w:val="567"/>
        </w:trPr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3D49A1F1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C1DD4" w14:textId="4D64FBE0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Liczba lokali w budynku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71FE" w14:textId="30163B42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6EA2A487" w14:textId="77777777" w:rsidTr="0003722F">
        <w:trPr>
          <w:trHeight w:val="567"/>
        </w:trPr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FF286E2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F575" w14:textId="01DA7DD9" w:rsidR="00912F6A" w:rsidRPr="00DD7B98" w:rsidRDefault="00912F6A" w:rsidP="00912F6A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Liczba miejsc garażowych i postojowych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9B11" w14:textId="5041E689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2982B7E3" w14:textId="77777777" w:rsidTr="0003722F">
        <w:trPr>
          <w:trHeight w:val="567"/>
        </w:trPr>
        <w:tc>
          <w:tcPr>
            <w:tcW w:w="2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08EC893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FCEEB" w14:textId="67AEB655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Dostępne media w budynku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A138" w14:textId="591CED7E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3296D299" w14:textId="77777777" w:rsidTr="0003722F">
        <w:trPr>
          <w:trHeight w:val="567"/>
        </w:trPr>
        <w:tc>
          <w:tcPr>
            <w:tcW w:w="2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6D55170" w14:textId="77777777" w:rsidR="00912F6A" w:rsidRPr="00912F6A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26C3" w14:textId="056589C2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Dostęp do drogi publicznej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0497" w14:textId="3E44DF3E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8BAFBAC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36D4B9" w14:textId="150FDC3C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Określenie usytuowania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mieszkalnego w budynku, jeżeli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przedsięwzięcie deweloperskie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lub zadanie inwestycyjne dotyczy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lokali mieszkalnych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A80F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342F6C42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55E67B" w14:textId="73CD817B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Określenie powierzchni użytkowej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i układu pomieszczeń oraz zakresu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i standardu prac wykończeniowych,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których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wykonania zobowiązuje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się deweloper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ACDD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49E69AEF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58EEE1" w14:textId="3251916E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Data wydania zaświadczenia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o samodzielności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mieszkalnego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0EB7A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2BEC8F27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D2A714" w14:textId="39A2760F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Data ustanowienia odrębnej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własności lokalu mieszkalnego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8574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6762A62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D3CA71B" w14:textId="7574D020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Informacje o lokalu użytkowym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nabywanym równocześnie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z lokalem mieszkalnym albo domem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jednorodzinnym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8BC8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C39813C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44CA52" w14:textId="316DE75F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Cenę lokalu użytkowego albo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ułamkowej części własności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użytkowego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61AB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F6A" w:rsidRPr="00DD7B98" w14:paraId="544E857C" w14:textId="77777777" w:rsidTr="00912F6A">
        <w:trPr>
          <w:trHeight w:val="29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1FC9C5" w14:textId="2589AE4C" w:rsidR="00912F6A" w:rsidRPr="00DD7B98" w:rsidRDefault="00912F6A" w:rsidP="00912F6A">
            <w:pPr>
              <w:spacing w:beforeLines="60" w:before="144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Termin, do którego nastąpi przeniesienie prawa własności lokalu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użytkowego albo ułamkowej części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12F6A">
              <w:rPr>
                <w:rFonts w:ascii="Times New Roman" w:eastAsia="Times New Roman" w:hAnsi="Times New Roman" w:cs="Times New Roman"/>
                <w:sz w:val="20"/>
                <w:szCs w:val="20"/>
              </w:rPr>
              <w:t>własności lokalu użytkowego</w:t>
            </w:r>
          </w:p>
        </w:tc>
        <w:tc>
          <w:tcPr>
            <w:tcW w:w="6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4C0E" w14:textId="77777777" w:rsidR="00912F6A" w:rsidRPr="00DD7B98" w:rsidRDefault="00912F6A" w:rsidP="00CA2D82">
            <w:pPr>
              <w:spacing w:beforeLines="60" w:before="144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13923E9" w14:textId="77777777" w:rsidR="00912F6A" w:rsidRDefault="00912F6A" w:rsidP="00912F6A">
      <w:pPr>
        <w:spacing w:beforeLines="60" w:before="144" w:afterLines="60" w:after="144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C3AF251" w14:textId="77777777" w:rsidR="00912F6A" w:rsidRDefault="00912F6A" w:rsidP="00912F6A">
      <w:pPr>
        <w:spacing w:beforeLines="60" w:before="144" w:afterLines="60" w:after="144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2F6A">
        <w:rPr>
          <w:rFonts w:ascii="Times New Roman" w:eastAsia="Times New Roman" w:hAnsi="Times New Roman" w:cs="Times New Roman"/>
          <w:b/>
          <w:bCs/>
          <w:sz w:val="20"/>
          <w:szCs w:val="20"/>
        </w:rPr>
        <w:t>Podpis dewelopera albo osoby upoważnionej do reprezentacji dewelopera</w:t>
      </w:r>
    </w:p>
    <w:p w14:paraId="16D47008" w14:textId="77777777" w:rsidR="00912F6A" w:rsidRDefault="00912F6A" w:rsidP="00912F6A">
      <w:pPr>
        <w:spacing w:beforeLines="60" w:before="144" w:afterLines="60" w:after="144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D64F1AE" w14:textId="5B779104" w:rsidR="00912F6A" w:rsidRDefault="00912F6A" w:rsidP="00912F6A">
      <w:pPr>
        <w:spacing w:beforeLines="60" w:before="144" w:afterLines="60" w:after="144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12F6A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..............................................</w:t>
      </w:r>
    </w:p>
    <w:p w14:paraId="27923FFA" w14:textId="77777777" w:rsidR="00F7371C" w:rsidRDefault="00F7371C" w:rsidP="00F7371C">
      <w:pPr>
        <w:spacing w:beforeLines="50" w:before="120" w:afterLines="5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E089E8E" w14:textId="77777777" w:rsidR="00F7371C" w:rsidRDefault="00F7371C" w:rsidP="00F7371C">
      <w:pPr>
        <w:spacing w:beforeLines="50" w:before="120" w:afterLines="5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295790E" w14:textId="488FCD96" w:rsidR="00F7371C" w:rsidRDefault="008C1CDB" w:rsidP="00F7371C">
      <w:pPr>
        <w:spacing w:beforeLines="50" w:before="120" w:afterLines="5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ECE4E" wp14:editId="3D86BF56">
                <wp:simplePos x="0" y="0"/>
                <wp:positionH relativeFrom="column">
                  <wp:posOffset>-635</wp:posOffset>
                </wp:positionH>
                <wp:positionV relativeFrom="paragraph">
                  <wp:posOffset>60325</wp:posOffset>
                </wp:positionV>
                <wp:extent cx="5974080" cy="7620"/>
                <wp:effectExtent l="19050" t="19050" r="26670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4080" cy="76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558A8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4.75pt" to="470.3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" strokecolor="black [3200]" strokeweight="2.25pt">
                <v:stroke joinstyle="miter"/>
              </v:line>
            </w:pict>
          </mc:Fallback>
        </mc:AlternateContent>
      </w:r>
    </w:p>
    <w:p w14:paraId="5FD8E2ED" w14:textId="2BB7BB34" w:rsidR="00F7371C" w:rsidRDefault="00F7371C" w:rsidP="00F7371C">
      <w:pPr>
        <w:spacing w:beforeLines="50" w:before="120" w:afterLines="5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7371C">
        <w:rPr>
          <w:rFonts w:ascii="Times New Roman" w:eastAsia="Times New Roman" w:hAnsi="Times New Roman" w:cs="Times New Roman"/>
          <w:b/>
          <w:bCs/>
          <w:sz w:val="20"/>
          <w:szCs w:val="20"/>
        </w:rPr>
        <w:t>Załączniki:</w:t>
      </w:r>
    </w:p>
    <w:p w14:paraId="170A3582" w14:textId="1F5F766E" w:rsidR="00F7371C" w:rsidRPr="00A9618F" w:rsidRDefault="00F7371C" w:rsidP="00A9618F">
      <w:pPr>
        <w:pStyle w:val="Akapitzlist"/>
        <w:numPr>
          <w:ilvl w:val="0"/>
          <w:numId w:val="10"/>
        </w:numPr>
        <w:spacing w:beforeLines="50" w:before="120" w:afterLines="50" w:after="120" w:line="240" w:lineRule="auto"/>
        <w:ind w:left="284" w:hanging="284"/>
        <w:rPr>
          <w:rFonts w:cs="Times New Roman"/>
          <w:sz w:val="20"/>
        </w:rPr>
      </w:pPr>
      <w:r w:rsidRPr="00A9618F">
        <w:rPr>
          <w:rFonts w:cs="Times New Roman"/>
          <w:sz w:val="20"/>
        </w:rPr>
        <w:t>Rzut kondygnacji z zaznaczeniem lokalu mieszkalnego.</w:t>
      </w:r>
    </w:p>
    <w:p w14:paraId="1202ED28" w14:textId="529FF55A" w:rsidR="00F7371C" w:rsidRPr="00A9618F" w:rsidRDefault="00F7371C" w:rsidP="00A9618F">
      <w:pPr>
        <w:pStyle w:val="Akapitzlist"/>
        <w:numPr>
          <w:ilvl w:val="0"/>
          <w:numId w:val="10"/>
        </w:numPr>
        <w:spacing w:beforeLines="50" w:before="120" w:afterLines="50" w:after="120" w:line="240" w:lineRule="auto"/>
        <w:ind w:left="284" w:hanging="284"/>
        <w:rPr>
          <w:rFonts w:cs="Times New Roman"/>
          <w:sz w:val="20"/>
        </w:rPr>
      </w:pPr>
      <w:r w:rsidRPr="00A9618F">
        <w:rPr>
          <w:rFonts w:cs="Times New Roman"/>
          <w:sz w:val="20"/>
        </w:rPr>
        <w:t>Wzór umowy deweloperskiej lub umowy, o której mowa w art. 2 ust. 1 pkt 2, 3 lub 5 ustawy z dnia 20 maja 2021 r. o ochronie praw nabywcy lokalu mieszkalnego lub domu jednorodzinnego oraz Deweloperskim Funduszu Gwarancyjnym.</w:t>
      </w:r>
    </w:p>
    <w:p w14:paraId="150321DE" w14:textId="49D42EB7" w:rsidR="00F7371C" w:rsidRPr="00A9618F" w:rsidRDefault="008C1CDB" w:rsidP="00A9618F">
      <w:pPr>
        <w:pStyle w:val="Akapitzlist"/>
        <w:numPr>
          <w:ilvl w:val="0"/>
          <w:numId w:val="10"/>
        </w:numPr>
        <w:spacing w:beforeLines="50" w:before="120" w:afterLines="50" w:after="120" w:line="240" w:lineRule="auto"/>
        <w:ind w:left="284" w:hanging="284"/>
        <w:rPr>
          <w:rFonts w:cs="Times New Roman"/>
          <w:sz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320FF" wp14:editId="445F448D">
                <wp:simplePos x="0" y="0"/>
                <wp:positionH relativeFrom="column">
                  <wp:posOffset>0</wp:posOffset>
                </wp:positionH>
                <wp:positionV relativeFrom="paragraph">
                  <wp:posOffset>593725</wp:posOffset>
                </wp:positionV>
                <wp:extent cx="5974080" cy="7620"/>
                <wp:effectExtent l="19050" t="19050" r="26670" b="3048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74080" cy="76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CC86D" id="Łącznik prosty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6.75pt" to="470.4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" strokecolor="black [3200]" strokeweight="2.25pt">
                <v:stroke joinstyle="miter"/>
              </v:line>
            </w:pict>
          </mc:Fallback>
        </mc:AlternateContent>
      </w:r>
      <w:r w:rsidR="00F7371C" w:rsidRPr="00A9618F">
        <w:rPr>
          <w:rFonts w:cs="Times New Roman"/>
          <w:sz w:val="20"/>
        </w:rPr>
        <w:t>Szkic koncepcji zagospodarowania terenu inwestycji i jego otoczenia z zaznaczeniem budynku oraz istotnych uwarunkowań lokalizacji inwestycji wynikających z istniejącego stanu użytkowania terenów sąsiednich (np. z funkcji terenu, stref ochronnych, uciążliwości).</w:t>
      </w:r>
      <w:r w:rsidRPr="00A9618F">
        <w:rPr>
          <w:rFonts w:cs="Times New Roman"/>
          <w:b/>
          <w:bCs/>
          <w:noProof/>
          <w:sz w:val="20"/>
        </w:rPr>
        <w:t xml:space="preserve"> </w:t>
      </w:r>
    </w:p>
    <w:sectPr w:rsidR="00F7371C" w:rsidRPr="00A9618F" w:rsidSect="00CC5FC4">
      <w:footerReference w:type="default" r:id="rId8"/>
      <w:footerReference w:type="first" r:id="rId9"/>
      <w:footnotePr>
        <w:numStart w:val="5"/>
      </w:footnotePr>
      <w:endnotePr>
        <w:numFmt w:val="decimal"/>
        <w:numStart w:val="4"/>
      </w:endnotePr>
      <w:type w:val="continuous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895D5" w14:textId="77777777" w:rsidR="007F188F" w:rsidRDefault="007F188F" w:rsidP="00EA1C22">
      <w:pPr>
        <w:spacing w:after="0" w:line="240" w:lineRule="auto"/>
      </w:pPr>
      <w:r>
        <w:separator/>
      </w:r>
    </w:p>
  </w:endnote>
  <w:endnote w:type="continuationSeparator" w:id="0">
    <w:p w14:paraId="4C75C72D" w14:textId="77777777" w:rsidR="007F188F" w:rsidRDefault="007F188F" w:rsidP="00EA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80715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94E1123" w14:textId="77777777" w:rsidR="00143535" w:rsidRPr="007E3E4D" w:rsidRDefault="00143535" w:rsidP="007E3E4D">
        <w:pPr>
          <w:pStyle w:val="Stopka"/>
          <w:jc w:val="center"/>
          <w:rPr>
            <w:rFonts w:ascii="Times New Roman" w:hAnsi="Times New Roman" w:cs="Times New Roman"/>
            <w:sz w:val="24"/>
          </w:rPr>
        </w:pPr>
        <w:r w:rsidRPr="00143535">
          <w:rPr>
            <w:rFonts w:ascii="Times New Roman" w:hAnsi="Times New Roman" w:cs="Times New Roman"/>
            <w:sz w:val="24"/>
          </w:rPr>
          <w:fldChar w:fldCharType="begin"/>
        </w:r>
        <w:r w:rsidRPr="00143535">
          <w:rPr>
            <w:rFonts w:ascii="Times New Roman" w:hAnsi="Times New Roman" w:cs="Times New Roman"/>
            <w:sz w:val="24"/>
          </w:rPr>
          <w:instrText>PAGE   \* MERGEFORMAT</w:instrText>
        </w:r>
        <w:r w:rsidRPr="00143535">
          <w:rPr>
            <w:rFonts w:ascii="Times New Roman" w:hAnsi="Times New Roman" w:cs="Times New Roman"/>
            <w:sz w:val="24"/>
          </w:rPr>
          <w:fldChar w:fldCharType="separate"/>
        </w:r>
        <w:r w:rsidR="00EB2917">
          <w:rPr>
            <w:rFonts w:ascii="Times New Roman" w:hAnsi="Times New Roman" w:cs="Times New Roman"/>
            <w:noProof/>
            <w:sz w:val="24"/>
          </w:rPr>
          <w:t>2</w:t>
        </w:r>
        <w:r w:rsidRPr="00143535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56CD" w14:textId="77777777" w:rsidR="00143535" w:rsidRDefault="00143535">
    <w:pPr>
      <w:pStyle w:val="Stopka"/>
      <w:jc w:val="center"/>
    </w:pPr>
  </w:p>
  <w:p w14:paraId="113CDFFA" w14:textId="77777777" w:rsidR="00143535" w:rsidRDefault="00143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0435" w14:textId="77777777" w:rsidR="007F188F" w:rsidRDefault="007F188F" w:rsidP="00EA1C22">
      <w:pPr>
        <w:spacing w:after="0" w:line="240" w:lineRule="auto"/>
      </w:pPr>
      <w:r>
        <w:separator/>
      </w:r>
    </w:p>
  </w:footnote>
  <w:footnote w:type="continuationSeparator" w:id="0">
    <w:p w14:paraId="0A5AF863" w14:textId="77777777" w:rsidR="007F188F" w:rsidRDefault="007F188F" w:rsidP="00EA1C22">
      <w:pPr>
        <w:spacing w:after="0" w:line="240" w:lineRule="auto"/>
      </w:pPr>
      <w:r>
        <w:continuationSeparator/>
      </w:r>
    </w:p>
  </w:footnote>
  <w:footnote w:id="1">
    <w:p w14:paraId="5259478A" w14:textId="77777777" w:rsidR="00EA1C22" w:rsidRPr="009017DC" w:rsidRDefault="00EA1C22" w:rsidP="007E3E4D">
      <w:pPr>
        <w:pStyle w:val="Tekstprzypisudolneg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BD376F">
        <w:rPr>
          <w:rStyle w:val="Odwoanieprzypisudolnego"/>
          <w:rFonts w:ascii="Times New Roman" w:hAnsi="Times New Roman"/>
          <w:sz w:val="18"/>
          <w:szCs w:val="18"/>
        </w:rPr>
        <w:t>1)</w:t>
      </w:r>
      <w:r w:rsidR="007E3E4D">
        <w:rPr>
          <w:rFonts w:ascii="Times New Roman" w:hAnsi="Times New Roman"/>
          <w:sz w:val="18"/>
          <w:szCs w:val="18"/>
        </w:rPr>
        <w:tab/>
      </w:r>
      <w:r w:rsidRPr="00BD376F">
        <w:rPr>
          <w:rFonts w:ascii="Times New Roman" w:hAnsi="Times New Roman"/>
          <w:sz w:val="18"/>
          <w:szCs w:val="18"/>
        </w:rPr>
        <w:t>J</w:t>
      </w:r>
      <w:r w:rsidRPr="009017DC">
        <w:rPr>
          <w:rFonts w:ascii="Times New Roman" w:hAnsi="Times New Roman"/>
          <w:sz w:val="18"/>
          <w:szCs w:val="18"/>
        </w:rPr>
        <w:t>eżeli działka nie posiada adresu, należy opisowo określić jej położenie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">
    <w:p w14:paraId="461A6421" w14:textId="77777777" w:rsidR="00EA1C22" w:rsidRPr="00143535" w:rsidRDefault="00EA1C22" w:rsidP="00143535">
      <w:pPr>
        <w:pStyle w:val="Tekstprzypisudolneg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143535">
        <w:rPr>
          <w:rStyle w:val="Odwoanieprzypisudolnego"/>
          <w:rFonts w:ascii="Times New Roman" w:hAnsi="Times New Roman"/>
          <w:sz w:val="18"/>
          <w:szCs w:val="18"/>
        </w:rPr>
        <w:t>2)</w:t>
      </w:r>
      <w:r w:rsidR="00143535">
        <w:rPr>
          <w:rFonts w:ascii="Times New Roman" w:hAnsi="Times New Roman" w:cs="Times New Roman"/>
          <w:sz w:val="18"/>
          <w:szCs w:val="18"/>
        </w:rPr>
        <w:tab/>
      </w:r>
      <w:r w:rsidRPr="00143535">
        <w:rPr>
          <w:rFonts w:ascii="Times New Roman" w:hAnsi="Times New Roman" w:cs="Times New Roman"/>
          <w:sz w:val="18"/>
          <w:szCs w:val="18"/>
        </w:rPr>
        <w:t>W szczególności imię i nazwisko albo firma właściciela lub użytkownika wieczystego oraz istniejące obciążenia na nieruchomości.</w:t>
      </w:r>
    </w:p>
  </w:footnote>
  <w:footnote w:id="3">
    <w:p w14:paraId="7D802E83" w14:textId="77777777" w:rsidR="00EA1C22" w:rsidRPr="00143535" w:rsidRDefault="00EA1C22" w:rsidP="00143535">
      <w:pPr>
        <w:pStyle w:val="Tekstprzypisudolneg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143535">
        <w:rPr>
          <w:rStyle w:val="Odwoanieprzypisudolnego"/>
          <w:rFonts w:ascii="Times New Roman" w:hAnsi="Times New Roman"/>
          <w:sz w:val="18"/>
          <w:szCs w:val="18"/>
        </w:rPr>
        <w:t>3)</w:t>
      </w:r>
      <w:r w:rsidR="00143535">
        <w:rPr>
          <w:rFonts w:ascii="Times New Roman" w:hAnsi="Times New Roman" w:cs="Times New Roman"/>
          <w:sz w:val="18"/>
          <w:szCs w:val="18"/>
        </w:rPr>
        <w:tab/>
      </w:r>
      <w:r w:rsidRPr="00143535">
        <w:rPr>
          <w:rFonts w:ascii="Times New Roman" w:hAnsi="Times New Roman" w:cs="Times New Roman"/>
          <w:sz w:val="18"/>
          <w:szCs w:val="18"/>
        </w:rPr>
        <w:t>W szczególności obiekty generujące uciążliwości zapachowe, hałasowe, świetlne.</w:t>
      </w:r>
    </w:p>
  </w:footnote>
  <w:footnote w:id="4">
    <w:p w14:paraId="39854057" w14:textId="77777777" w:rsidR="00D6706C" w:rsidRPr="00143535" w:rsidRDefault="00D6706C" w:rsidP="00143535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143535">
        <w:rPr>
          <w:rStyle w:val="Odwoanieprzypisudolnego"/>
          <w:rFonts w:ascii="Times New Roman" w:hAnsi="Times New Roman"/>
          <w:sz w:val="18"/>
          <w:szCs w:val="18"/>
        </w:rPr>
        <w:t>4)</w:t>
      </w:r>
      <w:r>
        <w:rPr>
          <w:rFonts w:ascii="Times New Roman" w:hAnsi="Times New Roman" w:cs="Times New Roman"/>
          <w:sz w:val="18"/>
          <w:szCs w:val="18"/>
        </w:rPr>
        <w:tab/>
      </w:r>
      <w:r w:rsidRPr="00143535">
        <w:rPr>
          <w:rFonts w:ascii="Times New Roman" w:hAnsi="Times New Roman" w:cs="Times New Roman"/>
          <w:sz w:val="18"/>
          <w:szCs w:val="18"/>
        </w:rPr>
        <w:t>Akty prawne (rozporządzenia, zarządzenia, uchwały) w sprawie:</w:t>
      </w:r>
    </w:p>
    <w:p w14:paraId="4802210C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dokonania rezerwacji obszaru inwestycji (CPK),</w:t>
      </w:r>
    </w:p>
    <w:p w14:paraId="14BAA23A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lokalizacji inwestycji mieszkaniowej lub inwestycji towarzyszącej,</w:t>
      </w:r>
    </w:p>
    <w:p w14:paraId="56EE4EE1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ustanowienia form ochrony przyrody lub ich otulin (parku narodowego, rezerwatu przyrody, parku krajobrazowego, obszaru chronionego krajobrazu, obszaru Natura 2000, pomnika przyrody, stanowiska dokumentacyjnego, użytku ekologicznego, zespołu przyrodniczo-krajobrazowego, ochrony gatunkowej roślin, zwierząt i grzybów),</w:t>
      </w:r>
    </w:p>
    <w:p w14:paraId="0F54F657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ustanowienia strefy ochronnej terenu ochrony bezpośredniej i terenu ochrony pośredniej ujęcia wody,</w:t>
      </w:r>
    </w:p>
    <w:p w14:paraId="497B30F6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wyznaczenia obszarów cichych w aglomeracji lub obszarów cichych poza aglomeracją,</w:t>
      </w:r>
    </w:p>
    <w:p w14:paraId="1612208A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utworzenia obszaru ograniczonego użytkowania,</w:t>
      </w:r>
    </w:p>
    <w:p w14:paraId="5077196F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uznania zabytku za pomnik historii,</w:t>
      </w:r>
    </w:p>
    <w:p w14:paraId="0417A639" w14:textId="77777777" w:rsidR="00D6706C" w:rsidRPr="00143535" w:rsidRDefault="00D6706C" w:rsidP="00143535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143535">
        <w:rPr>
          <w:rFonts w:cs="Times New Roman"/>
          <w:sz w:val="18"/>
          <w:szCs w:val="18"/>
        </w:rPr>
        <w:t>określenia granic obszaru Pomnika Zagłady i jego strefy ochronnej, utworzenia parku kulturowego,</w:t>
      </w:r>
    </w:p>
    <w:p w14:paraId="1A508597" w14:textId="77777777" w:rsidR="00D6706C" w:rsidRPr="00A80C58" w:rsidRDefault="00D6706C" w:rsidP="00356C04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567" w:hanging="283"/>
        <w:jc w:val="both"/>
        <w:rPr>
          <w:rFonts w:cs="Times New Roman"/>
          <w:sz w:val="18"/>
          <w:szCs w:val="18"/>
        </w:rPr>
      </w:pPr>
      <w:r w:rsidRPr="00A80C58">
        <w:rPr>
          <w:rFonts w:cs="Times New Roman"/>
          <w:sz w:val="18"/>
          <w:szCs w:val="18"/>
        </w:rPr>
        <w:t>ustalenia zasad i warunków sytuowania obiektów małej architektury, tablic reklamowych i urządzeń reklamowych oraz ogrodzeń, ich gabarytów, standardów jakościowych oraz rodzajów materiałów budowlanych.</w:t>
      </w:r>
    </w:p>
  </w:footnote>
  <w:footnote w:id="5">
    <w:p w14:paraId="1E21C421" w14:textId="77777777" w:rsidR="00502F5D" w:rsidRPr="00137E9F" w:rsidRDefault="00502F5D" w:rsidP="00502F5D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0B4E23">
        <w:rPr>
          <w:sz w:val="18"/>
          <w:szCs w:val="18"/>
        </w:rPr>
        <w:t>W przypadku braku miejscowego planu zagospodarowania przestrzennego umieszcza się informację „Brak planu”.</w:t>
      </w:r>
    </w:p>
  </w:footnote>
  <w:footnote w:id="6">
    <w:p w14:paraId="106DEA67" w14:textId="77777777" w:rsidR="009327A6" w:rsidRPr="00137E9F" w:rsidRDefault="009327A6" w:rsidP="009327A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>
        <w:rPr>
          <w:sz w:val="18"/>
          <w:szCs w:val="18"/>
        </w:rPr>
        <w:t>Wskazane inwestycje dotyczą w szczególności: budowy lub rozbudowy dróg, budowy linii szynowych oraz przewidzianych korytarzy powietrznych, inwestycji komunalnych, takich jak: oczyszczalnie ścieków, spalarnie śmieci, wysypiska, cmentarze.</w:t>
      </w:r>
    </w:p>
  </w:footnote>
  <w:footnote w:id="7">
    <w:p w14:paraId="4293A199" w14:textId="77777777" w:rsidR="00F7371C" w:rsidRDefault="00F7371C" w:rsidP="00137E9F">
      <w:pPr>
        <w:pStyle w:val="ODNONIKtreodnonika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>
        <w:rPr>
          <w:sz w:val="18"/>
          <w:szCs w:val="18"/>
        </w:rPr>
        <w:t>Zgodnie z art. 48 ust. 6 ustawy z dnia 20 maja 2021 r. o ochronie praw nabywcy lokalu mieszkalnego lub domu jednorodzinnego oraz  Deweloperskim Funduszu Gwarancyjnym (Dz. U. poz. 1177) wysokość składki jest wyliczana według stawki procentowej obowiązującej w dniu rozpoczęcia sprzedaży lokali mieszkalnych lub domów jednorodzinnych w ramach danego przedsięwzięcia deweloperskiego lub zadania inwestycyjnego. Natomiast stawkę procentową określa akt wykonawczy wydany na podstawie art. 48 ust. 8 ustawy z dnia 20 maja 2021 r. o ochronie praw nabywcy lokalu mieszkalnego lub domu jednorodzinnego oraz Deweloperskim Funduszu Gwarancyjnym.</w:t>
      </w:r>
    </w:p>
    <w:p w14:paraId="34AB40C0" w14:textId="77777777" w:rsidR="00F7371C" w:rsidRDefault="00F7371C" w:rsidP="00137E9F">
      <w:pPr>
        <w:pStyle w:val="ODNONIKtreodnonika"/>
        <w:rPr>
          <w:sz w:val="18"/>
          <w:szCs w:val="18"/>
        </w:rPr>
      </w:pPr>
    </w:p>
    <w:p w14:paraId="28DFDB3F" w14:textId="77777777" w:rsidR="00F7371C" w:rsidRPr="00137E9F" w:rsidRDefault="00F7371C" w:rsidP="00137E9F">
      <w:pPr>
        <w:pStyle w:val="ODNONIKtreodnonika"/>
      </w:pPr>
      <w:r w:rsidRPr="009559BD">
        <w:rPr>
          <w:rStyle w:val="Odwoanieprzypisudolnego"/>
          <w:sz w:val="18"/>
          <w:szCs w:val="18"/>
        </w:rPr>
        <w:t>*</w:t>
      </w:r>
      <w:r>
        <w:rPr>
          <w:sz w:val="18"/>
          <w:szCs w:val="18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E1A55"/>
    <w:multiLevelType w:val="hybridMultilevel"/>
    <w:tmpl w:val="E6468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64B05"/>
    <w:multiLevelType w:val="hybridMultilevel"/>
    <w:tmpl w:val="29FE3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931C0"/>
    <w:multiLevelType w:val="hybridMultilevel"/>
    <w:tmpl w:val="7ECAA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A75D3"/>
    <w:multiLevelType w:val="hybridMultilevel"/>
    <w:tmpl w:val="E6923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97B32"/>
    <w:multiLevelType w:val="hybridMultilevel"/>
    <w:tmpl w:val="DDEE7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9737E"/>
    <w:multiLevelType w:val="hybridMultilevel"/>
    <w:tmpl w:val="E102BAC4"/>
    <w:lvl w:ilvl="0" w:tplc="93A8179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FF2555"/>
    <w:multiLevelType w:val="hybridMultilevel"/>
    <w:tmpl w:val="9BBAA0D6"/>
    <w:lvl w:ilvl="0" w:tplc="7C1A51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7D0726"/>
    <w:multiLevelType w:val="hybridMultilevel"/>
    <w:tmpl w:val="B45CD316"/>
    <w:lvl w:ilvl="0" w:tplc="588C5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F5DC5"/>
    <w:multiLevelType w:val="hybridMultilevel"/>
    <w:tmpl w:val="49D283D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FB0839"/>
    <w:multiLevelType w:val="hybridMultilevel"/>
    <w:tmpl w:val="4F96AC0C"/>
    <w:lvl w:ilvl="0" w:tplc="75BAFD5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D2F69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95024">
    <w:abstractNumId w:val="6"/>
  </w:num>
  <w:num w:numId="2" w16cid:durableId="208349606">
    <w:abstractNumId w:val="5"/>
  </w:num>
  <w:num w:numId="3" w16cid:durableId="877551408">
    <w:abstractNumId w:val="9"/>
  </w:num>
  <w:num w:numId="4" w16cid:durableId="1651716888">
    <w:abstractNumId w:val="1"/>
  </w:num>
  <w:num w:numId="5" w16cid:durableId="1271162023">
    <w:abstractNumId w:val="4"/>
  </w:num>
  <w:num w:numId="6" w16cid:durableId="1663972153">
    <w:abstractNumId w:val="8"/>
  </w:num>
  <w:num w:numId="7" w16cid:durableId="1112627284">
    <w:abstractNumId w:val="3"/>
  </w:num>
  <w:num w:numId="8" w16cid:durableId="6946894">
    <w:abstractNumId w:val="0"/>
  </w:num>
  <w:num w:numId="9" w16cid:durableId="880626375">
    <w:abstractNumId w:val="7"/>
  </w:num>
  <w:num w:numId="10" w16cid:durableId="1136793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Start w:val="5"/>
    <w:footnote w:id="-1"/>
    <w:footnote w:id="0"/>
  </w:footnotePr>
  <w:endnotePr>
    <w:numFmt w:val="decimal"/>
    <w:numStart w:val="4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22"/>
    <w:rsid w:val="000962F7"/>
    <w:rsid w:val="000D204E"/>
    <w:rsid w:val="000F6427"/>
    <w:rsid w:val="00110283"/>
    <w:rsid w:val="0012739C"/>
    <w:rsid w:val="00143535"/>
    <w:rsid w:val="001447F7"/>
    <w:rsid w:val="00187FD5"/>
    <w:rsid w:val="001D1C46"/>
    <w:rsid w:val="00354FDC"/>
    <w:rsid w:val="00375527"/>
    <w:rsid w:val="003F7E75"/>
    <w:rsid w:val="00422E85"/>
    <w:rsid w:val="00435656"/>
    <w:rsid w:val="004460C4"/>
    <w:rsid w:val="004B5053"/>
    <w:rsid w:val="00502F5D"/>
    <w:rsid w:val="005F17E8"/>
    <w:rsid w:val="006177CF"/>
    <w:rsid w:val="006452A7"/>
    <w:rsid w:val="00660954"/>
    <w:rsid w:val="006830FA"/>
    <w:rsid w:val="007C57DC"/>
    <w:rsid w:val="007E2BA0"/>
    <w:rsid w:val="007E3E4D"/>
    <w:rsid w:val="007E5D23"/>
    <w:rsid w:val="007F188F"/>
    <w:rsid w:val="007F577D"/>
    <w:rsid w:val="008C1CDB"/>
    <w:rsid w:val="008E6AB8"/>
    <w:rsid w:val="00912F6A"/>
    <w:rsid w:val="00920895"/>
    <w:rsid w:val="00921952"/>
    <w:rsid w:val="009327A6"/>
    <w:rsid w:val="00952F99"/>
    <w:rsid w:val="009B5491"/>
    <w:rsid w:val="009B7A86"/>
    <w:rsid w:val="009C4303"/>
    <w:rsid w:val="009F730B"/>
    <w:rsid w:val="00A4101E"/>
    <w:rsid w:val="00A80C58"/>
    <w:rsid w:val="00A9618F"/>
    <w:rsid w:val="00AE5294"/>
    <w:rsid w:val="00B16B69"/>
    <w:rsid w:val="00B74A56"/>
    <w:rsid w:val="00C0379A"/>
    <w:rsid w:val="00C05345"/>
    <w:rsid w:val="00C11774"/>
    <w:rsid w:val="00C13ECE"/>
    <w:rsid w:val="00C61580"/>
    <w:rsid w:val="00CB4599"/>
    <w:rsid w:val="00CC5FC4"/>
    <w:rsid w:val="00D6706C"/>
    <w:rsid w:val="00DB530F"/>
    <w:rsid w:val="00DC2A2F"/>
    <w:rsid w:val="00DD7B98"/>
    <w:rsid w:val="00DF3A2D"/>
    <w:rsid w:val="00EA1C22"/>
    <w:rsid w:val="00EB2917"/>
    <w:rsid w:val="00EF63EF"/>
    <w:rsid w:val="00F02DD1"/>
    <w:rsid w:val="00F32286"/>
    <w:rsid w:val="00F7371C"/>
    <w:rsid w:val="00F76BB4"/>
    <w:rsid w:val="00F9336C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6565CA"/>
  <w15:docId w15:val="{C70B6CC1-CC8A-4603-9DD9-AC8CC4A71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C2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C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C22"/>
    <w:rPr>
      <w:sz w:val="20"/>
      <w:szCs w:val="20"/>
    </w:rPr>
  </w:style>
  <w:style w:type="character" w:styleId="Odwoanieprzypisudolnego">
    <w:name w:val="footnote reference"/>
    <w:uiPriority w:val="99"/>
    <w:semiHidden/>
    <w:rsid w:val="00EA1C22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EA1C22"/>
    <w:pPr>
      <w:widowControl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table" w:customStyle="1" w:styleId="Tabela-Siatka111">
    <w:name w:val="Tabela - Siatka111"/>
    <w:basedOn w:val="Standardowy"/>
    <w:next w:val="Tabela-Siatka"/>
    <w:rsid w:val="00EA1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A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A1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C22"/>
  </w:style>
  <w:style w:type="paragraph" w:styleId="Tekstdymka">
    <w:name w:val="Balloon Text"/>
    <w:basedOn w:val="Normalny"/>
    <w:link w:val="TekstdymkaZnak"/>
    <w:uiPriority w:val="99"/>
    <w:semiHidden/>
    <w:unhideWhenUsed/>
    <w:rsid w:val="007E3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4599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459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FC4"/>
    <w:rPr>
      <w:vertAlign w:val="superscript"/>
    </w:rPr>
  </w:style>
  <w:style w:type="paragraph" w:customStyle="1" w:styleId="PKTpunkt">
    <w:name w:val="PKT – punkt"/>
    <w:uiPriority w:val="13"/>
    <w:qFormat/>
    <w:rsid w:val="009B549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9B549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502F5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502F5D"/>
    <w:rPr>
      <w:b w:val="0"/>
      <w:i w:val="0"/>
      <w:vanish w:val="0"/>
      <w:spacing w:val="0"/>
      <w:vertAlign w:val="superscript"/>
    </w:rPr>
  </w:style>
  <w:style w:type="character" w:customStyle="1" w:styleId="markedcontent">
    <w:name w:val="markedcontent"/>
    <w:basedOn w:val="Domylnaczcionkaakapitu"/>
    <w:rsid w:val="00912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D8E2-AEBE-4EE1-B5F6-02912DF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2469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Ewa</dc:creator>
  <cp:lastModifiedBy>Herman Anna</cp:lastModifiedBy>
  <cp:revision>2</cp:revision>
  <dcterms:created xsi:type="dcterms:W3CDTF">2022-10-28T13:24:00Z</dcterms:created>
  <dcterms:modified xsi:type="dcterms:W3CDTF">2022-10-28T13:24:00Z</dcterms:modified>
</cp:coreProperties>
</file>