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F674C" w14:paraId="27453C89" w14:textId="77777777" w:rsidTr="00184E50">
        <w:tc>
          <w:tcPr>
            <w:tcW w:w="1696" w:type="dxa"/>
            <w:vAlign w:val="center"/>
          </w:tcPr>
          <w:p w14:paraId="13B8C8BF" w14:textId="77777777" w:rsidR="00FF674C" w:rsidRDefault="00FF674C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 dokumentu</w:t>
            </w:r>
          </w:p>
        </w:tc>
        <w:tc>
          <w:tcPr>
            <w:tcW w:w="7366" w:type="dxa"/>
            <w:vAlign w:val="center"/>
          </w:tcPr>
          <w:p w14:paraId="3A92A809" w14:textId="3ED72B2B" w:rsidR="00FF674C" w:rsidRDefault="00FF674C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Najczęściej zadawane pytania…</w:t>
            </w:r>
          </w:p>
        </w:tc>
      </w:tr>
      <w:tr w:rsidR="00FF674C" w14:paraId="1A11D092" w14:textId="77777777" w:rsidTr="00184E50">
        <w:tc>
          <w:tcPr>
            <w:tcW w:w="1696" w:type="dxa"/>
            <w:vAlign w:val="center"/>
          </w:tcPr>
          <w:p w14:paraId="26301063" w14:textId="77777777" w:rsidR="00FF674C" w:rsidRDefault="00FF674C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Nr konkursu</w:t>
            </w:r>
          </w:p>
          <w:p w14:paraId="1CF17DC9" w14:textId="77777777" w:rsidR="00FF674C" w:rsidRDefault="00FF674C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7366" w:type="dxa"/>
            <w:vAlign w:val="center"/>
          </w:tcPr>
          <w:p w14:paraId="777336FF" w14:textId="19C893B4" w:rsidR="00FF674C" w:rsidRDefault="00390390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90390">
              <w:rPr>
                <w:rFonts w:cstheme="minorHAnsi"/>
                <w:b/>
                <w:bCs/>
              </w:rPr>
              <w:t>POWR.02.18.00-IP.01-00-00</w:t>
            </w:r>
            <w:r w:rsidR="00184E50">
              <w:rPr>
                <w:rFonts w:cstheme="minorHAnsi"/>
                <w:b/>
                <w:bCs/>
              </w:rPr>
              <w:t>2</w:t>
            </w:r>
            <w:r w:rsidRPr="00390390">
              <w:rPr>
                <w:rFonts w:cstheme="minorHAnsi"/>
                <w:b/>
                <w:bCs/>
              </w:rPr>
              <w:t>/20</w:t>
            </w:r>
          </w:p>
        </w:tc>
      </w:tr>
      <w:tr w:rsidR="00FF674C" w14:paraId="50AE3F99" w14:textId="77777777" w:rsidTr="00184E50">
        <w:tc>
          <w:tcPr>
            <w:tcW w:w="1696" w:type="dxa"/>
            <w:vAlign w:val="center"/>
          </w:tcPr>
          <w:p w14:paraId="387B354D" w14:textId="77777777" w:rsidR="00FF674C" w:rsidRDefault="00FF674C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Wersja </w:t>
            </w:r>
          </w:p>
          <w:p w14:paraId="69B890A7" w14:textId="77777777" w:rsidR="00FF674C" w:rsidRDefault="00FF674C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7366" w:type="dxa"/>
            <w:vAlign w:val="center"/>
          </w:tcPr>
          <w:p w14:paraId="68925405" w14:textId="183AED54" w:rsidR="00FF674C" w:rsidRDefault="00184E50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  <w:r w:rsidR="00FF674C">
              <w:rPr>
                <w:rFonts w:cstheme="minorHAnsi"/>
                <w:b/>
                <w:bCs/>
              </w:rPr>
              <w:t>.0</w:t>
            </w:r>
            <w:r>
              <w:rPr>
                <w:rFonts w:cstheme="minorHAnsi"/>
                <w:b/>
                <w:bCs/>
              </w:rPr>
              <w:t>7</w:t>
            </w:r>
            <w:r w:rsidR="00FF674C">
              <w:rPr>
                <w:rFonts w:cstheme="minorHAnsi"/>
                <w:b/>
                <w:bCs/>
              </w:rPr>
              <w:t>.2020</w:t>
            </w:r>
          </w:p>
        </w:tc>
      </w:tr>
      <w:tr w:rsidR="00FF674C" w14:paraId="1840FBBD" w14:textId="77777777" w:rsidTr="00184E50">
        <w:tc>
          <w:tcPr>
            <w:tcW w:w="1696" w:type="dxa"/>
            <w:vAlign w:val="center"/>
          </w:tcPr>
          <w:p w14:paraId="47CAAD1E" w14:textId="77777777" w:rsidR="00FF674C" w:rsidRDefault="00FF674C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IOK</w:t>
            </w:r>
          </w:p>
        </w:tc>
        <w:tc>
          <w:tcPr>
            <w:tcW w:w="7366" w:type="dxa"/>
            <w:vAlign w:val="center"/>
          </w:tcPr>
          <w:p w14:paraId="45603E40" w14:textId="5C11AE28" w:rsidR="00FF674C" w:rsidRDefault="00390390" w:rsidP="00184E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MSWIA</w:t>
            </w:r>
          </w:p>
        </w:tc>
      </w:tr>
    </w:tbl>
    <w:p w14:paraId="10063703" w14:textId="77777777" w:rsidR="00FF674C" w:rsidRDefault="00FF674C" w:rsidP="00625C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8EC73A0" w14:textId="77777777" w:rsidR="00FF674C" w:rsidRDefault="00FF674C" w:rsidP="00625C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51209" w14:paraId="585BCD7F" w14:textId="77777777" w:rsidTr="00184E50">
        <w:tc>
          <w:tcPr>
            <w:tcW w:w="9067" w:type="dxa"/>
            <w:shd w:val="clear" w:color="auto" w:fill="BDD6EE" w:themeFill="accent1" w:themeFillTint="66"/>
          </w:tcPr>
          <w:p w14:paraId="421C725A" w14:textId="168AB02D" w:rsidR="00551209" w:rsidRDefault="00551209" w:rsidP="00184E50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TEMAT: </w:t>
            </w:r>
            <w:r w:rsidR="00184E50">
              <w:rPr>
                <w:rFonts w:cstheme="minorHAnsi"/>
                <w:b/>
                <w:bCs/>
              </w:rPr>
              <w:t>Kryteria dostępu</w:t>
            </w:r>
          </w:p>
        </w:tc>
      </w:tr>
      <w:tr w:rsidR="00551209" w14:paraId="58F91B57" w14:textId="77777777" w:rsidTr="00184E50">
        <w:tc>
          <w:tcPr>
            <w:tcW w:w="9067" w:type="dxa"/>
          </w:tcPr>
          <w:p w14:paraId="3443EADD" w14:textId="0E2FF81A" w:rsidR="00184E50" w:rsidRDefault="000E55E2" w:rsidP="00184E50">
            <w:pPr>
              <w:pStyle w:val="Akapitzlist"/>
              <w:numPr>
                <w:ilvl w:val="0"/>
                <w:numId w:val="4"/>
              </w:numPr>
              <w:ind w:left="313"/>
              <w:jc w:val="both"/>
            </w:pPr>
            <w:r>
              <w:t xml:space="preserve">Pytanie: </w:t>
            </w:r>
            <w:r w:rsidR="00184E50">
              <w:t xml:space="preserve">Zgodnie z kryterium dostępu nr 1 </w:t>
            </w:r>
            <w:r>
              <w:t>„</w:t>
            </w:r>
            <w:r w:rsidR="00184E50">
              <w:t>Wnioskodawca lub partner musi posiadać min. 3-letnie doświadczenie w działaniach na rzecz dostępności dla osób z niepełnosprawnościami</w:t>
            </w:r>
            <w:r>
              <w:t>”</w:t>
            </w:r>
            <w:r w:rsidR="00184E50">
              <w:t xml:space="preserve">. </w:t>
            </w:r>
          </w:p>
          <w:p w14:paraId="63BCEBF1" w14:textId="77777777" w:rsidR="005B3275" w:rsidRDefault="005B3275" w:rsidP="00184E50">
            <w:pPr>
              <w:ind w:left="313"/>
              <w:jc w:val="both"/>
              <w:rPr>
                <w:i/>
              </w:rPr>
            </w:pPr>
          </w:p>
          <w:p w14:paraId="2C95E7EB" w14:textId="77777777" w:rsidR="00184E50" w:rsidRPr="005B3275" w:rsidRDefault="00184E50" w:rsidP="00184E50">
            <w:pPr>
              <w:ind w:left="313"/>
              <w:jc w:val="both"/>
              <w:rPr>
                <w:i/>
              </w:rPr>
            </w:pPr>
            <w:r w:rsidRPr="005B3275">
              <w:rPr>
                <w:i/>
              </w:rPr>
              <w:t xml:space="preserve">Jakie działania na rzecz dostępności dla osób niepełnosprawnych są tutaj kwalifikowane? </w:t>
            </w:r>
          </w:p>
          <w:p w14:paraId="0DEEEEBA" w14:textId="77777777" w:rsidR="00184E50" w:rsidRPr="005B3275" w:rsidRDefault="00184E50" w:rsidP="00184E50">
            <w:pPr>
              <w:ind w:left="313"/>
              <w:jc w:val="both"/>
              <w:rPr>
                <w:i/>
              </w:rPr>
            </w:pPr>
            <w:r w:rsidRPr="005B3275">
              <w:rPr>
                <w:i/>
              </w:rPr>
              <w:t xml:space="preserve">Czy Państwo mogą podać przykładowy katalog działań, które spełniają to kryterium? </w:t>
            </w:r>
          </w:p>
          <w:p w14:paraId="75412FA7" w14:textId="77777777" w:rsidR="00551209" w:rsidRDefault="00551209" w:rsidP="00184E50">
            <w:pPr>
              <w:ind w:left="360"/>
              <w:jc w:val="both"/>
            </w:pPr>
          </w:p>
          <w:p w14:paraId="396B0059" w14:textId="52A17235" w:rsidR="00184E50" w:rsidRDefault="000E55E2" w:rsidP="000E55E2">
            <w:pPr>
              <w:ind w:left="360"/>
              <w:jc w:val="both"/>
            </w:pPr>
            <w:r>
              <w:t xml:space="preserve">Odpowiedź: </w:t>
            </w:r>
            <w:r w:rsidR="00184E50">
              <w:t>Zakres</w:t>
            </w:r>
            <w:r w:rsidR="00184E50" w:rsidRPr="00184E50">
              <w:t xml:space="preserve"> działań możliwych do realizowania na rzecz dostępności dla osób z niepełnosprawnościami jest zbyt szeroki aby tworzyć z nich zamknięty katalog. Niemniej jednak musi to być doświadczenie związane z kwestiami: podnoszenia świadomości dot. specyfiki poszczególnych grup niepełnosprawności i potrzeb wynikających z niepełnosprawności; organizacją i realizacją projektów kierowanych do osób z niepełnosprawnościami mających na celu ich włączenie społeczne (w tym np. związanych z problematyką dostępności architektonicznej, cyfrowej, aktywizacji zawodowej itd.)</w:t>
            </w:r>
            <w:r w:rsidR="00445BC3">
              <w:t xml:space="preserve">; </w:t>
            </w:r>
            <w:r w:rsidR="00445BC3" w:rsidRPr="00445BC3">
              <w:t>wsparcie administracji publicznej w zakresie poprawy dostępności (np. szkolenia, audyty dostępności, działalność monitoringowa, rzecznicza etc.)</w:t>
            </w:r>
            <w:r w:rsidR="00184E50" w:rsidRPr="00184E50">
              <w:t xml:space="preserve">. </w:t>
            </w:r>
            <w:r w:rsidR="00184E50">
              <w:t xml:space="preserve">Wykazane doświadczenie musi pozostawać w związku z zadaniami </w:t>
            </w:r>
            <w:r>
              <w:t xml:space="preserve">w projekcie </w:t>
            </w:r>
            <w:r w:rsidR="00184E50">
              <w:t xml:space="preserve">przewidzianymi </w:t>
            </w:r>
            <w:r>
              <w:t xml:space="preserve">do realizacji przez wnioskodawcę a wynikającymi m.in. z kryterium dostępu nr 4 tj. musi dać IOK rękojmię prawidłowego </w:t>
            </w:r>
            <w:r w:rsidRPr="000E55E2">
              <w:t>opracowani</w:t>
            </w:r>
            <w:r>
              <w:t>a</w:t>
            </w:r>
            <w:r w:rsidRPr="000E55E2">
              <w:t xml:space="preserve"> procedur grantowych, w tym szczegółowych zasad rekrutacji;</w:t>
            </w:r>
            <w:r>
              <w:t xml:space="preserve"> </w:t>
            </w:r>
            <w:r w:rsidRPr="000E55E2">
              <w:t>wsparci</w:t>
            </w:r>
            <w:r>
              <w:t>a</w:t>
            </w:r>
            <w:r w:rsidRPr="000E55E2">
              <w:t xml:space="preserve"> merytoryczne</w:t>
            </w:r>
            <w:r>
              <w:t>go</w:t>
            </w:r>
            <w:r w:rsidRPr="000E55E2">
              <w:t xml:space="preserve"> </w:t>
            </w:r>
            <w:r>
              <w:t xml:space="preserve">grantobiorców czy też </w:t>
            </w:r>
            <w:r w:rsidRPr="000E55E2">
              <w:t xml:space="preserve">udzielenie </w:t>
            </w:r>
            <w:r>
              <w:t>grantów.</w:t>
            </w:r>
          </w:p>
        </w:tc>
      </w:tr>
      <w:tr w:rsidR="00875BC4" w14:paraId="3898B65D" w14:textId="77777777" w:rsidTr="00184E50">
        <w:tc>
          <w:tcPr>
            <w:tcW w:w="9067" w:type="dxa"/>
          </w:tcPr>
          <w:p w14:paraId="5BC4C7AD" w14:textId="77777777" w:rsidR="00875BC4" w:rsidRDefault="00875BC4" w:rsidP="00875BC4">
            <w:pPr>
              <w:pStyle w:val="Akapitzlist"/>
              <w:numPr>
                <w:ilvl w:val="0"/>
                <w:numId w:val="4"/>
              </w:numPr>
              <w:ind w:left="313"/>
              <w:jc w:val="both"/>
            </w:pPr>
            <w:r>
              <w:t>Pytanie: Kryterium dostępu nr 6 stanowi: „</w:t>
            </w:r>
            <w:r w:rsidRPr="00875BC4">
              <w:t xml:space="preserve">Grantobiorcami są jednostki samorządu </w:t>
            </w:r>
            <w:r>
              <w:t xml:space="preserve">terytorialnego”. </w:t>
            </w:r>
          </w:p>
          <w:p w14:paraId="1D06C7F3" w14:textId="77777777" w:rsidR="00D029B6" w:rsidRDefault="00D029B6" w:rsidP="00D029B6">
            <w:pPr>
              <w:ind w:left="313"/>
              <w:jc w:val="both"/>
              <w:rPr>
                <w:i/>
              </w:rPr>
            </w:pPr>
          </w:p>
          <w:p w14:paraId="58318D8E" w14:textId="77777777" w:rsidR="00754ED1" w:rsidRDefault="00754ED1" w:rsidP="00D029B6">
            <w:pPr>
              <w:ind w:left="313"/>
              <w:jc w:val="both"/>
            </w:pPr>
            <w:r w:rsidRPr="00D029B6">
              <w:rPr>
                <w:i/>
              </w:rPr>
              <w:t xml:space="preserve">Czy </w:t>
            </w:r>
            <w:r w:rsidR="00D029B6" w:rsidRPr="00D029B6">
              <w:rPr>
                <w:i/>
              </w:rPr>
              <w:t xml:space="preserve">odbiorcami </w:t>
            </w:r>
            <w:r w:rsidRPr="00D029B6">
              <w:rPr>
                <w:i/>
              </w:rPr>
              <w:t>wsparci</w:t>
            </w:r>
            <w:r w:rsidR="00D029B6" w:rsidRPr="00D029B6">
              <w:rPr>
                <w:i/>
              </w:rPr>
              <w:t>a</w:t>
            </w:r>
            <w:r w:rsidRPr="00D029B6">
              <w:rPr>
                <w:i/>
              </w:rPr>
              <w:t xml:space="preserve"> w ramach </w:t>
            </w:r>
            <w:r w:rsidRPr="00D029B6">
              <w:rPr>
                <w:i/>
              </w:rPr>
              <w:t xml:space="preserve">grantów </w:t>
            </w:r>
            <w:r w:rsidRPr="00D029B6">
              <w:rPr>
                <w:i/>
              </w:rPr>
              <w:t xml:space="preserve">udzielanych jednostkom samorządu terytorialnego </w:t>
            </w:r>
            <w:r w:rsidR="00D029B6" w:rsidRPr="00D029B6">
              <w:rPr>
                <w:i/>
              </w:rPr>
              <w:t>mogą</w:t>
            </w:r>
            <w:r w:rsidRPr="00D029B6">
              <w:rPr>
                <w:i/>
              </w:rPr>
              <w:t xml:space="preserve"> być </w:t>
            </w:r>
            <w:r w:rsidR="00D029B6" w:rsidRPr="00D029B6">
              <w:rPr>
                <w:i/>
              </w:rPr>
              <w:t>tylko urzędy jednostek samorządu terytorialnego czy też inne jednostki organizacyjne samorządu terytorialnego?</w:t>
            </w:r>
          </w:p>
          <w:p w14:paraId="0010684A" w14:textId="77777777" w:rsidR="00D029B6" w:rsidRDefault="00D029B6" w:rsidP="00D029B6">
            <w:pPr>
              <w:ind w:left="313"/>
              <w:jc w:val="both"/>
            </w:pPr>
          </w:p>
          <w:p w14:paraId="388A9C3E" w14:textId="74F93E7D" w:rsidR="00D029B6" w:rsidRPr="00D029B6" w:rsidRDefault="00D029B6" w:rsidP="00D029B6">
            <w:pPr>
              <w:ind w:left="313"/>
              <w:jc w:val="both"/>
            </w:pPr>
            <w:r>
              <w:t>Odpowiedź: G</w:t>
            </w:r>
            <w:r w:rsidRPr="00D029B6">
              <w:t>rup</w:t>
            </w:r>
            <w:r>
              <w:t>ą</w:t>
            </w:r>
            <w:r w:rsidRPr="00D029B6">
              <w:t xml:space="preserve"> docelow</w:t>
            </w:r>
            <w:r>
              <w:t>ą</w:t>
            </w:r>
            <w:r w:rsidRPr="00D029B6">
              <w:t xml:space="preserve"> wsparcia realizowanego w ramach typu operacji </w:t>
            </w:r>
            <w:r>
              <w:t>„</w:t>
            </w:r>
            <w:r w:rsidRPr="00D029B6">
              <w:t>Wdrażanie w jednostkach samorządu terytorialnego rozwiązań poprawiających dostępność do usług publicznych dla osób z niepełnosprawnościami</w:t>
            </w:r>
            <w:r>
              <w:t xml:space="preserve">” </w:t>
            </w:r>
            <w:r w:rsidRPr="00D029B6">
              <w:t>mogą być zarówno urzęd</w:t>
            </w:r>
            <w:r>
              <w:t>y</w:t>
            </w:r>
            <w:r w:rsidRPr="00D029B6">
              <w:t xml:space="preserve"> obsługując</w:t>
            </w:r>
            <w:r>
              <w:t>e</w:t>
            </w:r>
            <w:r w:rsidRPr="00D029B6">
              <w:t xml:space="preserve"> organy wykonawcze jednostek samorządu terytorialnego, jak też inn</w:t>
            </w:r>
            <w:r>
              <w:t>e</w:t>
            </w:r>
            <w:r w:rsidRPr="00D029B6">
              <w:t xml:space="preserve"> jednostk</w:t>
            </w:r>
            <w:r>
              <w:t>i</w:t>
            </w:r>
            <w:r w:rsidRPr="00D029B6">
              <w:t xml:space="preserve"> organizacyjn</w:t>
            </w:r>
            <w:r>
              <w:t>e</w:t>
            </w:r>
            <w:r w:rsidRPr="00D029B6">
              <w:t xml:space="preserve"> samorządu terytorialnego.</w:t>
            </w:r>
            <w:r>
              <w:t xml:space="preserve"> </w:t>
            </w:r>
            <w:r w:rsidRPr="00D029B6">
              <w:t xml:space="preserve">Jednocześnie, </w:t>
            </w:r>
            <w:r>
              <w:t>należy zwrócić</w:t>
            </w:r>
            <w:r w:rsidRPr="00D029B6">
              <w:t xml:space="preserve"> uwagę, że o ile grupą docelową w konkursie grantowym na dofinansowanie przedsięwzięć z zakresu poprawy dostępności do usług świadczonych przez JST mogą być zarówno urzędy, jak i inne jednostki organizacyjne tworzone przez JST, to grantobiorcą wsparcia będzie organ władzy samorządowej, który powinien określić priorytety samorządu, jeśli chodzi o wykorzystanie grantu, ze wskazaniem konkretnych jednostek organizacyjnych, do których to wsparcie trafi.</w:t>
            </w:r>
          </w:p>
        </w:tc>
      </w:tr>
      <w:tr w:rsidR="00551209" w14:paraId="0EFC760B" w14:textId="77777777" w:rsidTr="00184E50">
        <w:tc>
          <w:tcPr>
            <w:tcW w:w="9067" w:type="dxa"/>
          </w:tcPr>
          <w:p w14:paraId="70127416" w14:textId="35D7D6FE" w:rsidR="00551209" w:rsidRPr="00875BC4" w:rsidRDefault="00551209" w:rsidP="00A26FA3">
            <w:pPr>
              <w:ind w:left="596"/>
              <w:jc w:val="both"/>
              <w:rPr>
                <w:rFonts w:cstheme="minorHAnsi"/>
                <w:bCs/>
              </w:rPr>
            </w:pPr>
            <w:bookmarkStart w:id="0" w:name="_GoBack"/>
          </w:p>
        </w:tc>
      </w:tr>
      <w:bookmarkEnd w:id="0"/>
      <w:tr w:rsidR="00A628B3" w14:paraId="709A1DBE" w14:textId="77777777" w:rsidTr="003435EC">
        <w:tc>
          <w:tcPr>
            <w:tcW w:w="9067" w:type="dxa"/>
            <w:shd w:val="clear" w:color="auto" w:fill="BDD6EE" w:themeFill="accent1" w:themeFillTint="66"/>
          </w:tcPr>
          <w:p w14:paraId="4493AE7F" w14:textId="7E3978D3" w:rsidR="00BB1C95" w:rsidRPr="003435EC" w:rsidRDefault="003435EC" w:rsidP="003435EC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TEMAT: Kryteria premiujące</w:t>
            </w:r>
          </w:p>
        </w:tc>
      </w:tr>
      <w:tr w:rsidR="00BB1C95" w14:paraId="41D0EAAF" w14:textId="77777777" w:rsidTr="00184E50">
        <w:tc>
          <w:tcPr>
            <w:tcW w:w="9067" w:type="dxa"/>
          </w:tcPr>
          <w:p w14:paraId="333EEB93" w14:textId="1E47EAEB" w:rsidR="00FF55DD" w:rsidRPr="003435EC" w:rsidRDefault="003435EC" w:rsidP="00C413E8">
            <w:pPr>
              <w:pStyle w:val="Akapitzlist"/>
              <w:numPr>
                <w:ilvl w:val="0"/>
                <w:numId w:val="4"/>
              </w:numPr>
              <w:ind w:left="313"/>
              <w:jc w:val="both"/>
            </w:pPr>
            <w:r>
              <w:t>Pytanie: Kryterium stanowi, że „</w:t>
            </w:r>
            <w:r w:rsidRPr="003435EC">
              <w:t>Wnioskodawca lub partner, jako udzielający granty, rozliczył wydatki w zatwierdzonych wnioskach o płatność finansowanych w ramach krajowych lub regionalnych programów operacyjnych realizowanych w perspektywie finansowej 2014-2020</w:t>
            </w:r>
            <w:r>
              <w:t xml:space="preserve">, przy czym </w:t>
            </w:r>
            <w:r w:rsidRPr="003435EC">
              <w:rPr>
                <w:bCs/>
              </w:rPr>
              <w:t>za każdy 1 mln zł - 1 pkt nie więcej niż 30</w:t>
            </w:r>
            <w:r>
              <w:rPr>
                <w:bCs/>
              </w:rPr>
              <w:t xml:space="preserve"> pkt</w:t>
            </w:r>
            <w:r w:rsidR="00B2287A">
              <w:rPr>
                <w:bCs/>
              </w:rPr>
              <w:t>”</w:t>
            </w:r>
            <w:r>
              <w:rPr>
                <w:bCs/>
              </w:rPr>
              <w:t>.</w:t>
            </w:r>
          </w:p>
          <w:p w14:paraId="61B4721D" w14:textId="77777777" w:rsidR="005B3275" w:rsidRDefault="005B3275" w:rsidP="00B2287A">
            <w:pPr>
              <w:ind w:left="313"/>
              <w:jc w:val="both"/>
              <w:rPr>
                <w:i/>
              </w:rPr>
            </w:pPr>
          </w:p>
          <w:p w14:paraId="098E6BC3" w14:textId="61192C44" w:rsidR="003435EC" w:rsidRPr="005B3275" w:rsidRDefault="003435EC" w:rsidP="00B2287A">
            <w:pPr>
              <w:ind w:left="313"/>
              <w:jc w:val="both"/>
              <w:rPr>
                <w:i/>
              </w:rPr>
            </w:pPr>
            <w:r w:rsidRPr="005B3275">
              <w:rPr>
                <w:i/>
              </w:rPr>
              <w:t xml:space="preserve">Czy </w:t>
            </w:r>
            <w:r w:rsidR="00B2287A" w:rsidRPr="005B3275">
              <w:rPr>
                <w:i/>
              </w:rPr>
              <w:t>w</w:t>
            </w:r>
            <w:r w:rsidRPr="005B3275">
              <w:rPr>
                <w:i/>
              </w:rPr>
              <w:t xml:space="preserve"> wartości </w:t>
            </w:r>
            <w:r w:rsidR="00B2287A" w:rsidRPr="005B3275">
              <w:rPr>
                <w:i/>
              </w:rPr>
              <w:t>zatwierdzonych wydatków należy wykazywać wartość udzielony</w:t>
            </w:r>
            <w:r w:rsidR="003A3CB1">
              <w:rPr>
                <w:i/>
              </w:rPr>
              <w:t>ch</w:t>
            </w:r>
            <w:r w:rsidR="00B2287A" w:rsidRPr="005B3275">
              <w:rPr>
                <w:i/>
              </w:rPr>
              <w:t xml:space="preserve"> grantów czy też można uwzględniać koszty pośrednie?</w:t>
            </w:r>
          </w:p>
          <w:p w14:paraId="37C8C47F" w14:textId="77777777" w:rsidR="00B2287A" w:rsidRDefault="00B2287A" w:rsidP="00B2287A">
            <w:pPr>
              <w:ind w:left="313"/>
              <w:jc w:val="both"/>
            </w:pPr>
          </w:p>
          <w:p w14:paraId="27EBDB47" w14:textId="77777777" w:rsidR="00B2287A" w:rsidRDefault="00B2287A" w:rsidP="003851A7">
            <w:pPr>
              <w:ind w:left="313"/>
              <w:jc w:val="both"/>
            </w:pPr>
            <w:r>
              <w:t xml:space="preserve">Odpowiedź: Treść kryterium premiującego </w:t>
            </w:r>
            <w:r w:rsidR="005A2BDD">
              <w:t xml:space="preserve">wskazuje, że premiowana będzie wartość </w:t>
            </w:r>
            <w:r w:rsidR="005A2BDD" w:rsidRPr="005A2BDD">
              <w:rPr>
                <w:b/>
              </w:rPr>
              <w:t>wydatków</w:t>
            </w:r>
            <w:r w:rsidR="005A2BDD">
              <w:t xml:space="preserve"> rozliczonych przez grantodawcę. </w:t>
            </w:r>
            <w:r w:rsidR="003851A7">
              <w:t>Zatem we wniosku o dofinansowanie należy zaprezentować łączną wartość rozliczonych wydatków w projektach, w których wnioskodawca działał jako udzielający granty.</w:t>
            </w:r>
          </w:p>
          <w:p w14:paraId="480BEEB8" w14:textId="77777777" w:rsidR="003851A7" w:rsidRDefault="003851A7" w:rsidP="003851A7">
            <w:pPr>
              <w:ind w:left="313"/>
              <w:jc w:val="both"/>
            </w:pPr>
          </w:p>
          <w:p w14:paraId="20CBD79E" w14:textId="144B94AF" w:rsidR="003851A7" w:rsidRDefault="003851A7" w:rsidP="003851A7">
            <w:pPr>
              <w:ind w:left="313"/>
              <w:jc w:val="both"/>
            </w:pPr>
            <w:r>
              <w:t xml:space="preserve">Pytanie: </w:t>
            </w:r>
            <w:r w:rsidRPr="005B3275">
              <w:rPr>
                <w:i/>
              </w:rPr>
              <w:t>Czy w kryterium premiującym nr 2 należy uwzględniać tylko wartość udzielonych grantów czy można np. uwzględniać wartość udzielonych dotacji albo instrumentów zwrotnych?</w:t>
            </w:r>
          </w:p>
          <w:p w14:paraId="471B86D0" w14:textId="77777777" w:rsidR="003851A7" w:rsidRDefault="003851A7" w:rsidP="003851A7">
            <w:pPr>
              <w:ind w:left="313"/>
              <w:jc w:val="both"/>
            </w:pPr>
          </w:p>
          <w:p w14:paraId="542FF1AB" w14:textId="77777777" w:rsidR="0036088A" w:rsidRDefault="003851A7" w:rsidP="0036088A">
            <w:pPr>
              <w:ind w:left="313"/>
              <w:jc w:val="both"/>
            </w:pPr>
            <w:r>
              <w:lastRenderedPageBreak/>
              <w:t xml:space="preserve">Odpowiedź: </w:t>
            </w:r>
            <w:r w:rsidR="006C75E8">
              <w:t xml:space="preserve">Treść kryterium premiującego </w:t>
            </w:r>
            <w:r w:rsidR="004409CD">
              <w:t xml:space="preserve">jednoznacznie wskazuje na premiowanie przez IOK doświadczenia wnioskodawcy „jako udzielającego </w:t>
            </w:r>
            <w:r w:rsidR="004409CD" w:rsidRPr="004409CD">
              <w:rPr>
                <w:b/>
              </w:rPr>
              <w:t>granty</w:t>
            </w:r>
            <w:r w:rsidR="004409CD">
              <w:t xml:space="preserve">” - ocenianego poprzez wartość rozliczonych wydatków w projektach grantowych. </w:t>
            </w:r>
          </w:p>
          <w:p w14:paraId="7DCB01E1" w14:textId="5207FDEE" w:rsidR="00407DF8" w:rsidRDefault="004409CD" w:rsidP="00407DF8">
            <w:pPr>
              <w:ind w:left="313"/>
              <w:jc w:val="both"/>
            </w:pPr>
            <w:r>
              <w:t xml:space="preserve">Druga część kryterium premiującego nr 2 wskazuje ponadto, że rozliczone wydatki (przekazywane jako granty) muszą być zrealizowane w krajowych i regionalnych programach operacyjnych w perspektywie finansowej 2014-2020. Należy zauważyć, że kwestię grantów w omawianym </w:t>
            </w:r>
            <w:r w:rsidR="00830647">
              <w:t>zakresie</w:t>
            </w:r>
            <w:r>
              <w:t xml:space="preserve"> normuje ustawa z dnia  </w:t>
            </w:r>
            <w:bookmarkStart w:id="1" w:name="highlightHit_24"/>
            <w:bookmarkStart w:id="2" w:name="highlightHit_25"/>
            <w:bookmarkEnd w:id="1"/>
            <w:bookmarkEnd w:id="2"/>
            <w:r>
              <w:t xml:space="preserve">11 lipca 2014 r. o </w:t>
            </w:r>
            <w:r w:rsidRPr="004409CD">
              <w:t>zasad</w:t>
            </w:r>
            <w:r>
              <w:t>ach</w:t>
            </w:r>
            <w:r w:rsidRPr="004409CD">
              <w:t xml:space="preserve"> </w:t>
            </w:r>
            <w:bookmarkStart w:id="3" w:name="highlightHit_26"/>
            <w:bookmarkEnd w:id="3"/>
            <w:r w:rsidRPr="004409CD">
              <w:t xml:space="preserve">realizacji </w:t>
            </w:r>
            <w:bookmarkStart w:id="4" w:name="highlightHit_27"/>
            <w:bookmarkEnd w:id="4"/>
            <w:r w:rsidRPr="004409CD">
              <w:t xml:space="preserve">programów </w:t>
            </w:r>
            <w:bookmarkStart w:id="5" w:name="highlightHit_28"/>
            <w:bookmarkEnd w:id="5"/>
            <w:r w:rsidRPr="004409CD">
              <w:t xml:space="preserve">w </w:t>
            </w:r>
            <w:bookmarkStart w:id="6" w:name="highlightHit_29"/>
            <w:bookmarkEnd w:id="6"/>
            <w:r w:rsidRPr="004409CD">
              <w:t xml:space="preserve">zakresie </w:t>
            </w:r>
            <w:bookmarkStart w:id="7" w:name="highlightHit_30"/>
            <w:bookmarkEnd w:id="7"/>
            <w:r w:rsidRPr="004409CD">
              <w:t xml:space="preserve">polityki </w:t>
            </w:r>
            <w:bookmarkStart w:id="8" w:name="highlightHit_31"/>
            <w:bookmarkEnd w:id="8"/>
            <w:r w:rsidRPr="004409CD">
              <w:t xml:space="preserve">spójności </w:t>
            </w:r>
            <w:bookmarkStart w:id="9" w:name="highlightHit_32"/>
            <w:bookmarkEnd w:id="9"/>
            <w:r w:rsidRPr="004409CD">
              <w:t xml:space="preserve">finansowanych </w:t>
            </w:r>
            <w:bookmarkStart w:id="10" w:name="highlightHit_33"/>
            <w:bookmarkEnd w:id="10"/>
            <w:r w:rsidRPr="004409CD">
              <w:t xml:space="preserve">w </w:t>
            </w:r>
            <w:bookmarkStart w:id="11" w:name="highlightHit_34"/>
            <w:bookmarkEnd w:id="11"/>
            <w:r w:rsidRPr="004409CD">
              <w:t xml:space="preserve">perspektywie </w:t>
            </w:r>
            <w:bookmarkStart w:id="12" w:name="highlightHit_35"/>
            <w:bookmarkEnd w:id="12"/>
            <w:r w:rsidRPr="004409CD">
              <w:t xml:space="preserve">finansowej </w:t>
            </w:r>
            <w:bookmarkStart w:id="13" w:name="highlightHit_36"/>
            <w:bookmarkEnd w:id="13"/>
            <w:r w:rsidRPr="004409CD">
              <w:t>2014-</w:t>
            </w:r>
            <w:bookmarkStart w:id="14" w:name="highlightHit_37"/>
            <w:bookmarkEnd w:id="14"/>
            <w:r w:rsidRPr="004409CD">
              <w:t>2020</w:t>
            </w:r>
            <w:r w:rsidR="006279C1">
              <w:t xml:space="preserve"> (dalej: ustawa wdrażająca)</w:t>
            </w:r>
            <w:r>
              <w:t xml:space="preserve"> (tj. </w:t>
            </w:r>
            <w:r w:rsidR="00830647">
              <w:t>Dz. U. z 2020 r., poz. 818). Art. 35 ust. 5 przywołanej ustawy stanowi: „</w:t>
            </w:r>
            <w:r w:rsidR="00830647" w:rsidRPr="00830647">
              <w:rPr>
                <w:b/>
              </w:rPr>
              <w:t>grantem</w:t>
            </w:r>
            <w:r w:rsidR="00830647" w:rsidRPr="00830647">
              <w:t xml:space="preserve"> są środki finansowe programu operacyjnego, które </w:t>
            </w:r>
            <w:r w:rsidR="00830647" w:rsidRPr="00830647">
              <w:rPr>
                <w:b/>
              </w:rPr>
              <w:t>beneficjent projektu grantowego</w:t>
            </w:r>
            <w:r w:rsidR="00830647" w:rsidRPr="00830647">
              <w:t xml:space="preserve"> powierzył grantobiorcy</w:t>
            </w:r>
            <w:r w:rsidR="00830647">
              <w:t xml:space="preserve"> (…)”. Zatem aby przekazywane środki można uznać za „granty” muszą być one powierzone grantobiorcy przez beneficjenta projektu grantowego</w:t>
            </w:r>
            <w:r w:rsidR="005B3275">
              <w:t xml:space="preserve"> (zorganizowanego na podstawie art. 35 ustawy wdrożeniowej)</w:t>
            </w:r>
            <w:r w:rsidR="00830647">
              <w:t xml:space="preserve">. Beneficjentem dany podmiot staje się w wyniku wyboru do dofinansowania projektu </w:t>
            </w:r>
            <w:r w:rsidR="0036088A">
              <w:t xml:space="preserve">grantowego </w:t>
            </w:r>
            <w:r w:rsidR="00830647">
              <w:t>wyłonionego w trybie konkursowym lub pozakonkursowym. W związku z powyższym, np. instytucje systemu wdrażania programów operacyjnych będące stronami umów o dofinansowanie projektów nie udziela</w:t>
            </w:r>
            <w:r w:rsidR="005B3275">
              <w:t>ją</w:t>
            </w:r>
            <w:r w:rsidR="00830647">
              <w:t xml:space="preserve"> grantów w rozumieniu ustawy.</w:t>
            </w:r>
            <w:r w:rsidR="0036088A">
              <w:t xml:space="preserve"> Takie instytucje przekazują beneficjentom </w:t>
            </w:r>
            <w:r w:rsidR="0036088A" w:rsidRPr="005B3275">
              <w:rPr>
                <w:b/>
              </w:rPr>
              <w:t>„dotacje”</w:t>
            </w:r>
            <w:r w:rsidR="0036088A">
              <w:t>. Zgodnie z art. 126 ustawy z dnia 27 sierpnia 2009 r. o finansach publicznych (t.j. Dz. U. z 2019r ., poz. 869 z późn. zm.) „</w:t>
            </w:r>
            <w:r w:rsidR="0036088A" w:rsidRPr="0036088A">
              <w:t>Dotacje są to podlegające szczególnym zasadom rozliczania środki z budżetu państwa, budżetu jednostek samorządu terytorialnego oraz z państwowych funduszy celowych przeznaczone na podstawie niniejszej ustawy, odrębnych ustaw lub umów międzynarodowych, na finansowanie lub dofinansowanie realizacji zadań publicznych</w:t>
            </w:r>
            <w:r w:rsidR="0036088A">
              <w:t xml:space="preserve">”. W związku z powyższym można zauważyć, że </w:t>
            </w:r>
            <w:r w:rsidR="00407DF8">
              <w:t xml:space="preserve">każdy „grant” przekazywany </w:t>
            </w:r>
            <w:r w:rsidR="00407DF8" w:rsidRPr="00407DF8">
              <w:t>z budżetu państwa, budżetu jednostek samorządu terytorialnego oraz z państwowych funduszy celowych</w:t>
            </w:r>
            <w:r w:rsidR="00407DF8">
              <w:t xml:space="preserve"> jest „dotacją” w rozumieniu ustawy o finansach publicznych – </w:t>
            </w:r>
            <w:r w:rsidR="005B3275">
              <w:t>ale</w:t>
            </w:r>
            <w:r w:rsidR="00407DF8">
              <w:t xml:space="preserve"> nie każda „dotacja” jest „grantem” (nie zawsze jest przekazywana przez beneficjenta projektu grantowego).</w:t>
            </w:r>
          </w:p>
          <w:p w14:paraId="537D4859" w14:textId="4AD74202" w:rsidR="003851A7" w:rsidRDefault="00407DF8" w:rsidP="006279C1">
            <w:pPr>
              <w:ind w:left="313"/>
              <w:jc w:val="both"/>
            </w:pPr>
            <w:r>
              <w:t xml:space="preserve">Przykład: MSWiA pełni funkcję Instytucji Pośredniczącej dla Działania 2.18 PO WER. W związku z powyższym (nie będąc beneficjentem </w:t>
            </w:r>
            <w:r w:rsidR="00732C56">
              <w:t xml:space="preserve">projektu </w:t>
            </w:r>
            <w:r>
              <w:t>grantow</w:t>
            </w:r>
            <w:r w:rsidR="00732C56">
              <w:t>ego</w:t>
            </w:r>
            <w:r>
              <w:t xml:space="preserve"> -  zadania IP realizuje na podstawie porozumienia IZ – IP) przekazuje beneficjentom „dotacje”. Jeżeli projekt MSWiA zostałby wybrany do dofinansowania (MSWiA wygrałoby konkurs grantowy albo zostałby wybrany projekt pozakonkursowy) i MSWiA jako beneficjent (grantodawca) przekazywał</w:t>
            </w:r>
            <w:r w:rsidR="006279C1">
              <w:t>by</w:t>
            </w:r>
            <w:r>
              <w:t xml:space="preserve"> środki grantobiorcom – byłyby to </w:t>
            </w:r>
            <w:r w:rsidR="006279C1">
              <w:t>„granty” w rozumieniu ustawy wdr</w:t>
            </w:r>
            <w:r w:rsidR="00677289">
              <w:t>o</w:t>
            </w:r>
            <w:r w:rsidR="006279C1">
              <w:t>ż</w:t>
            </w:r>
            <w:r w:rsidR="00853671">
              <w:t>eniowej</w:t>
            </w:r>
            <w:r w:rsidR="006279C1">
              <w:t>.</w:t>
            </w:r>
          </w:p>
          <w:p w14:paraId="5941867A" w14:textId="79564FE4" w:rsidR="006279C1" w:rsidRPr="006279C1" w:rsidRDefault="006279C1" w:rsidP="006279C1">
            <w:pPr>
              <w:ind w:left="313"/>
              <w:jc w:val="both"/>
              <w:rPr>
                <w:b/>
              </w:rPr>
            </w:pPr>
            <w:r w:rsidRPr="006279C1">
              <w:rPr>
                <w:b/>
              </w:rPr>
              <w:t>W związku z powyższym - w kryterium premiującym nr 2 IOK będzie kwalifikować tylko te środki, które zostały rozliczone przez beneficjenta działającego jako grantodawca w rozumieniu ustawy wdrażającej.</w:t>
            </w:r>
          </w:p>
        </w:tc>
      </w:tr>
    </w:tbl>
    <w:p w14:paraId="0E607E0B" w14:textId="77777777" w:rsidR="00551209" w:rsidRPr="00551209" w:rsidRDefault="00551209" w:rsidP="00D029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551209" w:rsidRPr="0055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CE1DE" w14:textId="77777777" w:rsidR="00063D9D" w:rsidRDefault="00063D9D" w:rsidP="00FF674C">
      <w:pPr>
        <w:spacing w:after="0" w:line="240" w:lineRule="auto"/>
      </w:pPr>
      <w:r>
        <w:separator/>
      </w:r>
    </w:p>
  </w:endnote>
  <w:endnote w:type="continuationSeparator" w:id="0">
    <w:p w14:paraId="7D8971F3" w14:textId="77777777" w:rsidR="00063D9D" w:rsidRDefault="00063D9D" w:rsidP="00FF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32BC6" w14:textId="77777777" w:rsidR="00063D9D" w:rsidRDefault="00063D9D" w:rsidP="00FF674C">
      <w:pPr>
        <w:spacing w:after="0" w:line="240" w:lineRule="auto"/>
      </w:pPr>
      <w:r>
        <w:separator/>
      </w:r>
    </w:p>
  </w:footnote>
  <w:footnote w:type="continuationSeparator" w:id="0">
    <w:p w14:paraId="64460FF7" w14:textId="77777777" w:rsidR="00063D9D" w:rsidRDefault="00063D9D" w:rsidP="00FF6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08" w:hanging="108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4" w:hanging="703"/>
      </w:pPr>
      <w:rPr>
        <w:rFonts w:cs="Calibri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77" w:hanging="180"/>
      </w:pPr>
    </w:lvl>
  </w:abstractNum>
  <w:abstractNum w:abstractNumId="1" w15:restartNumberingAfterBreak="0">
    <w:nsid w:val="115C2F96"/>
    <w:multiLevelType w:val="hybridMultilevel"/>
    <w:tmpl w:val="8570A51C"/>
    <w:lvl w:ilvl="0" w:tplc="8FC85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04C4"/>
    <w:multiLevelType w:val="hybridMultilevel"/>
    <w:tmpl w:val="EA8492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8E38D8"/>
    <w:multiLevelType w:val="hybridMultilevel"/>
    <w:tmpl w:val="BD5AA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05FF"/>
    <w:multiLevelType w:val="hybridMultilevel"/>
    <w:tmpl w:val="BD5A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3EEC"/>
    <w:multiLevelType w:val="hybridMultilevel"/>
    <w:tmpl w:val="53008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E10F6"/>
    <w:multiLevelType w:val="hybridMultilevel"/>
    <w:tmpl w:val="53008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13D9B"/>
    <w:multiLevelType w:val="hybridMultilevel"/>
    <w:tmpl w:val="55842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15"/>
    <w:rsid w:val="00063D9D"/>
    <w:rsid w:val="000E55E2"/>
    <w:rsid w:val="00112243"/>
    <w:rsid w:val="00184E50"/>
    <w:rsid w:val="001C3A22"/>
    <w:rsid w:val="001F6335"/>
    <w:rsid w:val="003435EC"/>
    <w:rsid w:val="0036088A"/>
    <w:rsid w:val="003851A7"/>
    <w:rsid w:val="00390390"/>
    <w:rsid w:val="003A3CB1"/>
    <w:rsid w:val="003B07D8"/>
    <w:rsid w:val="00407DF8"/>
    <w:rsid w:val="004409CD"/>
    <w:rsid w:val="00445BC3"/>
    <w:rsid w:val="00551209"/>
    <w:rsid w:val="0056602D"/>
    <w:rsid w:val="00587755"/>
    <w:rsid w:val="005A2BDD"/>
    <w:rsid w:val="005B3275"/>
    <w:rsid w:val="00625CD3"/>
    <w:rsid w:val="006279C1"/>
    <w:rsid w:val="0066766E"/>
    <w:rsid w:val="00677289"/>
    <w:rsid w:val="006C6761"/>
    <w:rsid w:val="006C75E8"/>
    <w:rsid w:val="00732C56"/>
    <w:rsid w:val="00754ED1"/>
    <w:rsid w:val="00766575"/>
    <w:rsid w:val="00766A3F"/>
    <w:rsid w:val="00830647"/>
    <w:rsid w:val="00853671"/>
    <w:rsid w:val="00864647"/>
    <w:rsid w:val="00875BC4"/>
    <w:rsid w:val="008E2DCC"/>
    <w:rsid w:val="00956965"/>
    <w:rsid w:val="00A26FA3"/>
    <w:rsid w:val="00A628B3"/>
    <w:rsid w:val="00A76280"/>
    <w:rsid w:val="00A83E7E"/>
    <w:rsid w:val="00AF1015"/>
    <w:rsid w:val="00B2287A"/>
    <w:rsid w:val="00B6740B"/>
    <w:rsid w:val="00BB1C95"/>
    <w:rsid w:val="00BB268C"/>
    <w:rsid w:val="00D029B6"/>
    <w:rsid w:val="00D80864"/>
    <w:rsid w:val="00D971B6"/>
    <w:rsid w:val="00E40B47"/>
    <w:rsid w:val="00EF66AD"/>
    <w:rsid w:val="00F348F5"/>
    <w:rsid w:val="00F941FE"/>
    <w:rsid w:val="00FF55DD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D3BD"/>
  <w15:chartTrackingRefBased/>
  <w15:docId w15:val="{94D43CD7-BC7C-4B13-BC30-CE13BE72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C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25CD3"/>
    <w:pPr>
      <w:ind w:left="720"/>
      <w:contextualSpacing/>
    </w:pPr>
  </w:style>
  <w:style w:type="table" w:styleId="Tabela-Siatka">
    <w:name w:val="Table Grid"/>
    <w:basedOn w:val="Standardowy"/>
    <w:uiPriority w:val="39"/>
    <w:rsid w:val="0055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7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7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7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7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7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7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7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7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4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locked/>
    <w:rsid w:val="00BB268C"/>
  </w:style>
  <w:style w:type="paragraph" w:styleId="Tytu">
    <w:name w:val="Title"/>
    <w:basedOn w:val="Normalny"/>
    <w:next w:val="Normalny"/>
    <w:link w:val="TytuZnak"/>
    <w:qFormat/>
    <w:rsid w:val="00390390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0390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8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8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Misiuwianiec Adam</cp:lastModifiedBy>
  <cp:revision>13</cp:revision>
  <dcterms:created xsi:type="dcterms:W3CDTF">2020-07-13T10:47:00Z</dcterms:created>
  <dcterms:modified xsi:type="dcterms:W3CDTF">2020-08-10T07:00:00Z</dcterms:modified>
</cp:coreProperties>
</file>