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0E" w:rsidRDefault="00192B0E" w:rsidP="009E369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  <w:noProof/>
        </w:rPr>
        <w:drawing>
          <wp:inline distT="0" distB="0" distL="0" distR="0" wp14:anchorId="08B9FD3D" wp14:editId="6234BF10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0E" w:rsidRPr="005B05A0" w:rsidRDefault="00192B0E" w:rsidP="009E3698">
      <w:pPr>
        <w:autoSpaceDE w:val="0"/>
        <w:autoSpaceDN w:val="0"/>
        <w:adjustRightInd w:val="0"/>
        <w:rPr>
          <w:rStyle w:val="Pogrubienie"/>
          <w:rFonts w:ascii="Calibri" w:hAnsi="Calibri" w:cs="Calibri"/>
          <w:bCs/>
          <w:color w:val="000000"/>
        </w:rPr>
      </w:pPr>
      <w:r w:rsidRPr="00A838B4">
        <w:rPr>
          <w:rStyle w:val="Pogrubienie"/>
          <w:rFonts w:ascii="Calibri" w:hAnsi="Calibri" w:cs="Calibri"/>
          <w:bCs/>
        </w:rPr>
        <w:t>WOJEWODA MAZOWIECKI</w:t>
      </w:r>
    </w:p>
    <w:p w:rsidR="00130A3B" w:rsidRDefault="00192B0E" w:rsidP="009E3698">
      <w:pPr>
        <w:tabs>
          <w:tab w:val="left" w:pos="825"/>
          <w:tab w:val="right" w:pos="9074"/>
        </w:tabs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                                                                    </w:t>
      </w:r>
      <w:r w:rsidR="00452FF8">
        <w:rPr>
          <w:rFonts w:ascii="Calibri" w:hAnsi="Calibri" w:cs="Calibri"/>
        </w:rPr>
        <w:tab/>
        <w:t xml:space="preserve">                          </w:t>
      </w:r>
      <w:r>
        <w:rPr>
          <w:rFonts w:ascii="Calibri" w:hAnsi="Calibri" w:cs="Calibri"/>
        </w:rPr>
        <w:t xml:space="preserve">          Warszawa, </w:t>
      </w:r>
      <w:r w:rsidR="00452FF8">
        <w:rPr>
          <w:rFonts w:ascii="Calibri" w:hAnsi="Calibri" w:cs="Calibri"/>
        </w:rPr>
        <w:t>25</w:t>
      </w:r>
      <w:r>
        <w:rPr>
          <w:rFonts w:ascii="Calibri" w:hAnsi="Calibri" w:cs="Calibri"/>
        </w:rPr>
        <w:t xml:space="preserve"> marca 2019 r. </w:t>
      </w:r>
    </w:p>
    <w:p w:rsidR="00130A3B" w:rsidRDefault="00130A3B" w:rsidP="009E3698">
      <w:pPr>
        <w:tabs>
          <w:tab w:val="left" w:pos="825"/>
          <w:tab w:val="right" w:pos="9074"/>
        </w:tabs>
        <w:ind w:right="-2"/>
        <w:rPr>
          <w:rFonts w:ascii="Calibri" w:hAnsi="Calibri" w:cs="Calibri"/>
        </w:rPr>
      </w:pPr>
    </w:p>
    <w:p w:rsidR="00192B0E" w:rsidRDefault="00192B0E" w:rsidP="009E3698">
      <w:pPr>
        <w:tabs>
          <w:tab w:val="left" w:pos="825"/>
          <w:tab w:val="right" w:pos="9074"/>
        </w:tabs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WNP-I.4131.</w:t>
      </w:r>
      <w:r w:rsidR="001C0C8B">
        <w:rPr>
          <w:rFonts w:ascii="Calibri" w:hAnsi="Calibri" w:cs="Calibri"/>
        </w:rPr>
        <w:t>47</w:t>
      </w:r>
      <w:r>
        <w:rPr>
          <w:rFonts w:ascii="Calibri" w:hAnsi="Calibri" w:cs="Calibri"/>
        </w:rPr>
        <w:t>.2019.DK</w:t>
      </w:r>
    </w:p>
    <w:p w:rsidR="00192B0E" w:rsidRDefault="00192B0E" w:rsidP="009E3698">
      <w:pPr>
        <w:autoSpaceDE w:val="0"/>
        <w:autoSpaceDN w:val="0"/>
        <w:adjustRightInd w:val="0"/>
        <w:ind w:left="5663" w:firstLine="1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Rada Gminy Celestynów  </w:t>
      </w:r>
    </w:p>
    <w:p w:rsidR="00192B0E" w:rsidRDefault="00192B0E" w:rsidP="009E3698">
      <w:pPr>
        <w:autoSpaceDE w:val="0"/>
        <w:autoSpaceDN w:val="0"/>
        <w:adjustRightInd w:val="0"/>
        <w:ind w:left="4955" w:firstLine="70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ul. Regucka 3</w:t>
      </w:r>
    </w:p>
    <w:p w:rsidR="00192B0E" w:rsidRDefault="00192B0E" w:rsidP="009E3698">
      <w:pPr>
        <w:autoSpaceDE w:val="0"/>
        <w:autoSpaceDN w:val="0"/>
        <w:adjustRightInd w:val="0"/>
        <w:ind w:left="4955" w:firstLine="70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05-430 Celestynów</w:t>
      </w:r>
    </w:p>
    <w:p w:rsidR="00130A3B" w:rsidRDefault="00130A3B" w:rsidP="009E3698"/>
    <w:p w:rsidR="00192B0E" w:rsidRPr="00473F8B" w:rsidRDefault="00192B0E" w:rsidP="009E369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73F8B">
        <w:rPr>
          <w:rFonts w:asciiTheme="minorHAnsi" w:hAnsiTheme="minorHAnsi" w:cstheme="minorHAnsi"/>
          <w:b/>
          <w:bCs/>
        </w:rPr>
        <w:t>Rozstrzygnięcie nadzorcze</w:t>
      </w:r>
    </w:p>
    <w:p w:rsidR="00192B0E" w:rsidRPr="00192B0E" w:rsidRDefault="00192B0E" w:rsidP="009E3698">
      <w:pPr>
        <w:pStyle w:val="Tekstpodstawowy"/>
        <w:spacing w:before="120" w:after="120" w:line="240" w:lineRule="auto"/>
        <w:ind w:firstLine="284"/>
        <w:rPr>
          <w:rFonts w:asciiTheme="minorHAnsi" w:hAnsiTheme="minorHAnsi" w:cstheme="minorHAnsi"/>
          <w:sz w:val="24"/>
        </w:rPr>
      </w:pPr>
      <w:r w:rsidRPr="00473F8B">
        <w:rPr>
          <w:rFonts w:asciiTheme="minorHAnsi" w:hAnsiTheme="minorHAnsi" w:cstheme="minorHAnsi"/>
          <w:sz w:val="24"/>
        </w:rPr>
        <w:t>Na podstawie art. 91 ust. 1 ustawy z dnia 8 marca 1990</w:t>
      </w:r>
      <w:r>
        <w:rPr>
          <w:rFonts w:asciiTheme="minorHAnsi" w:hAnsiTheme="minorHAnsi" w:cstheme="minorHAnsi"/>
          <w:sz w:val="24"/>
        </w:rPr>
        <w:t xml:space="preserve"> </w:t>
      </w:r>
      <w:r w:rsidRPr="00473F8B">
        <w:rPr>
          <w:rFonts w:asciiTheme="minorHAnsi" w:hAnsiTheme="minorHAnsi" w:cstheme="minorHAnsi"/>
          <w:sz w:val="24"/>
        </w:rPr>
        <w:t>r.</w:t>
      </w:r>
      <w:r>
        <w:rPr>
          <w:rFonts w:asciiTheme="minorHAnsi" w:hAnsiTheme="minorHAnsi" w:cstheme="minorHAnsi"/>
          <w:sz w:val="24"/>
        </w:rPr>
        <w:t xml:space="preserve"> o samorządzie gminnym (Dz.U.</w:t>
      </w:r>
      <w:r>
        <w:rPr>
          <w:rFonts w:asciiTheme="minorHAnsi" w:hAnsiTheme="minorHAnsi" w:cstheme="minorHAnsi"/>
        </w:rPr>
        <w:t> </w:t>
      </w:r>
      <w:r w:rsidRPr="00192B0E">
        <w:rPr>
          <w:rFonts w:asciiTheme="minorHAnsi" w:hAnsiTheme="minorHAnsi" w:cstheme="minorHAnsi"/>
          <w:sz w:val="24"/>
        </w:rPr>
        <w:t>z 2018 r. poz. 994, z późn. zm.</w:t>
      </w:r>
      <w:r w:rsidRPr="00192B0E">
        <w:rPr>
          <w:rFonts w:ascii="Calibri" w:hAnsi="Calibri"/>
          <w:sz w:val="24"/>
        </w:rPr>
        <w:t>)</w:t>
      </w:r>
    </w:p>
    <w:p w:rsidR="00192B0E" w:rsidRPr="00473F8B" w:rsidRDefault="00192B0E" w:rsidP="009E3698">
      <w:pPr>
        <w:pStyle w:val="Tekstpodstawowy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473F8B"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192B0E" w:rsidRDefault="00192B0E" w:rsidP="009E3698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uchwały Nr 45/19 Rady Gminy Celestynów z dnia 28 lutego 2019 r. </w:t>
      </w:r>
      <w:r>
        <w:rPr>
          <w:rFonts w:ascii="Calibri" w:hAnsi="Calibri" w:cs="Calibri"/>
          <w:i/>
        </w:rPr>
        <w:t xml:space="preserve">w sprawie uchwalenia Regulaminu przyznawania środków na dofinansowanie doskonalenia zawodowego nauczycieli zatrudnionych </w:t>
      </w:r>
      <w:r w:rsidR="002632FA">
        <w:rPr>
          <w:rFonts w:ascii="Calibri" w:hAnsi="Calibri" w:cs="Calibri"/>
          <w:i/>
        </w:rPr>
        <w:br/>
      </w:r>
      <w:r>
        <w:rPr>
          <w:rFonts w:ascii="Calibri" w:hAnsi="Calibri" w:cs="Calibri"/>
          <w:i/>
        </w:rPr>
        <w:t xml:space="preserve">w szkołach i jednostkach oświatowych Gminy Celestynów, </w:t>
      </w:r>
      <w:r>
        <w:rPr>
          <w:rFonts w:asciiTheme="minorHAnsi" w:hAnsiTheme="minorHAnsi" w:cstheme="minorHAnsi"/>
        </w:rPr>
        <w:t>w zakresie ustaleń: §</w:t>
      </w:r>
      <w:r w:rsidR="002632F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6</w:t>
      </w:r>
      <w:r w:rsidR="009E36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ust. </w:t>
      </w:r>
      <w:r w:rsidR="00130A3B">
        <w:rPr>
          <w:rFonts w:asciiTheme="minorHAnsi" w:hAnsiTheme="minorHAnsi" w:cstheme="minorHAnsi"/>
        </w:rPr>
        <w:t>5, 6 i 7</w:t>
      </w:r>
      <w:r w:rsidR="00457F25">
        <w:rPr>
          <w:rFonts w:asciiTheme="minorHAnsi" w:hAnsiTheme="minorHAnsi" w:cstheme="minorHAnsi"/>
        </w:rPr>
        <w:t>, §</w:t>
      </w:r>
      <w:r w:rsidR="002632FA">
        <w:rPr>
          <w:rFonts w:asciiTheme="minorHAnsi" w:hAnsiTheme="minorHAnsi" w:cstheme="minorHAnsi"/>
        </w:rPr>
        <w:t> </w:t>
      </w:r>
      <w:r w:rsidR="00457F25">
        <w:rPr>
          <w:rFonts w:asciiTheme="minorHAnsi" w:hAnsiTheme="minorHAnsi" w:cstheme="minorHAnsi"/>
        </w:rPr>
        <w:t>9</w:t>
      </w:r>
      <w:r w:rsidR="00105AE6">
        <w:rPr>
          <w:rFonts w:asciiTheme="minorHAnsi" w:hAnsiTheme="minorHAnsi" w:cstheme="minorHAnsi"/>
        </w:rPr>
        <w:t xml:space="preserve"> Regulaminu przyznawania środków na dofinansowanie doskonalenia zawodowego nauczycieli zatrudnionych w szkołach i jednostkach oświatowych </w:t>
      </w:r>
      <w:r w:rsidR="003E2EA9">
        <w:rPr>
          <w:rFonts w:asciiTheme="minorHAnsi" w:hAnsiTheme="minorHAnsi" w:cstheme="minorHAnsi"/>
        </w:rPr>
        <w:t>G</w:t>
      </w:r>
      <w:r w:rsidR="00105AE6">
        <w:rPr>
          <w:rFonts w:asciiTheme="minorHAnsi" w:hAnsiTheme="minorHAnsi" w:cstheme="minorHAnsi"/>
        </w:rPr>
        <w:t>miny Celestynów, stanowiąc</w:t>
      </w:r>
      <w:r w:rsidR="007152B5">
        <w:rPr>
          <w:rFonts w:asciiTheme="minorHAnsi" w:hAnsiTheme="minorHAnsi" w:cstheme="minorHAnsi"/>
        </w:rPr>
        <w:t>ego</w:t>
      </w:r>
      <w:r w:rsidR="00105AE6">
        <w:rPr>
          <w:rFonts w:asciiTheme="minorHAnsi" w:hAnsiTheme="minorHAnsi" w:cstheme="minorHAnsi"/>
        </w:rPr>
        <w:t xml:space="preserve"> załącznik do uchwały, zwan</w:t>
      </w:r>
      <w:r w:rsidR="00EC7252">
        <w:rPr>
          <w:rFonts w:asciiTheme="minorHAnsi" w:hAnsiTheme="minorHAnsi" w:cstheme="minorHAnsi"/>
        </w:rPr>
        <w:t>e</w:t>
      </w:r>
      <w:r w:rsidR="00790C97">
        <w:rPr>
          <w:rFonts w:asciiTheme="minorHAnsi" w:hAnsiTheme="minorHAnsi" w:cstheme="minorHAnsi"/>
        </w:rPr>
        <w:t>g</w:t>
      </w:r>
      <w:r w:rsidR="00EC7252">
        <w:rPr>
          <w:rFonts w:asciiTheme="minorHAnsi" w:hAnsiTheme="minorHAnsi" w:cstheme="minorHAnsi"/>
        </w:rPr>
        <w:t>o</w:t>
      </w:r>
      <w:r w:rsidR="00105AE6">
        <w:rPr>
          <w:rFonts w:asciiTheme="minorHAnsi" w:hAnsiTheme="minorHAnsi" w:cstheme="minorHAnsi"/>
        </w:rPr>
        <w:t xml:space="preserve"> dalej „</w:t>
      </w:r>
      <w:r w:rsidR="00105AE6" w:rsidRPr="00105AE6">
        <w:rPr>
          <w:rFonts w:asciiTheme="minorHAnsi" w:hAnsiTheme="minorHAnsi" w:cstheme="minorHAnsi"/>
          <w:i/>
        </w:rPr>
        <w:t>Regulaminem</w:t>
      </w:r>
      <w:r w:rsidR="00105AE6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  <w:r w:rsidR="00105AE6">
        <w:rPr>
          <w:rFonts w:asciiTheme="minorHAnsi" w:hAnsiTheme="minorHAnsi" w:cstheme="minorHAnsi"/>
        </w:rPr>
        <w:t xml:space="preserve">oraz załącznika </w:t>
      </w:r>
      <w:r w:rsidR="00174EBF">
        <w:rPr>
          <w:rFonts w:asciiTheme="minorHAnsi" w:hAnsiTheme="minorHAnsi" w:cstheme="minorHAnsi"/>
        </w:rPr>
        <w:t>Nr 4</w:t>
      </w:r>
      <w:r w:rsidR="00EC7252">
        <w:rPr>
          <w:rFonts w:asciiTheme="minorHAnsi" w:hAnsiTheme="minorHAnsi" w:cstheme="minorHAnsi"/>
        </w:rPr>
        <w:t xml:space="preserve"> do</w:t>
      </w:r>
      <w:r w:rsidR="00105AE6">
        <w:rPr>
          <w:rFonts w:asciiTheme="minorHAnsi" w:hAnsiTheme="minorHAnsi" w:cstheme="minorHAnsi"/>
        </w:rPr>
        <w:t xml:space="preserve"> Regulami</w:t>
      </w:r>
      <w:r w:rsidR="002F3E5C">
        <w:rPr>
          <w:rFonts w:asciiTheme="minorHAnsi" w:hAnsiTheme="minorHAnsi" w:cstheme="minorHAnsi"/>
        </w:rPr>
        <w:t>nu.</w:t>
      </w:r>
    </w:p>
    <w:p w:rsidR="00192B0E" w:rsidRPr="00473F8B" w:rsidRDefault="00192B0E" w:rsidP="009E3698">
      <w:pPr>
        <w:pStyle w:val="Tekstpodstawowy"/>
        <w:spacing w:before="120" w:after="120" w:line="240" w:lineRule="auto"/>
        <w:ind w:right="-1"/>
        <w:jc w:val="center"/>
        <w:rPr>
          <w:rFonts w:asciiTheme="minorHAnsi" w:hAnsiTheme="minorHAnsi" w:cstheme="minorHAnsi"/>
          <w:b/>
          <w:sz w:val="24"/>
        </w:rPr>
      </w:pPr>
      <w:r w:rsidRPr="00473F8B">
        <w:rPr>
          <w:rFonts w:asciiTheme="minorHAnsi" w:hAnsiTheme="minorHAnsi" w:cstheme="minorHAnsi"/>
          <w:b/>
          <w:sz w:val="24"/>
        </w:rPr>
        <w:t>Uzasadnienie</w:t>
      </w:r>
    </w:p>
    <w:p w:rsidR="00192B0E" w:rsidRDefault="00192B0E" w:rsidP="009E3698">
      <w:pPr>
        <w:suppressAutoHyphens/>
        <w:spacing w:before="120" w:after="120"/>
        <w:ind w:firstLine="284"/>
        <w:jc w:val="both"/>
        <w:rPr>
          <w:rFonts w:asciiTheme="minorHAnsi" w:hAnsiTheme="minorHAnsi" w:cstheme="minorHAnsi"/>
          <w:i/>
        </w:rPr>
      </w:pPr>
      <w:r w:rsidRPr="00473F8B">
        <w:rPr>
          <w:rFonts w:asciiTheme="minorHAnsi" w:hAnsiTheme="minorHAnsi" w:cstheme="minorHAnsi"/>
        </w:rPr>
        <w:t xml:space="preserve">Rada </w:t>
      </w:r>
      <w:r>
        <w:rPr>
          <w:rFonts w:asciiTheme="minorHAnsi" w:hAnsiTheme="minorHAnsi" w:cstheme="minorHAnsi"/>
        </w:rPr>
        <w:t>Gminy Celestynów</w:t>
      </w:r>
      <w:r w:rsidRPr="00473F8B">
        <w:rPr>
          <w:rFonts w:asciiTheme="minorHAnsi" w:hAnsiTheme="minorHAnsi" w:cstheme="minorHAnsi"/>
        </w:rPr>
        <w:t xml:space="preserve"> w dniu </w:t>
      </w:r>
      <w:r w:rsidR="00174EBF">
        <w:rPr>
          <w:rFonts w:ascii="Calibri" w:hAnsi="Calibri" w:cs="Calibri"/>
        </w:rPr>
        <w:t>28 lutego 2019</w:t>
      </w:r>
      <w:r>
        <w:rPr>
          <w:rFonts w:ascii="Calibri" w:hAnsi="Calibri" w:cs="Calibri"/>
        </w:rPr>
        <w:t xml:space="preserve"> </w:t>
      </w:r>
      <w:r w:rsidRPr="00473F8B">
        <w:rPr>
          <w:rFonts w:asciiTheme="minorHAnsi" w:hAnsiTheme="minorHAnsi" w:cstheme="minorHAnsi"/>
        </w:rPr>
        <w:t xml:space="preserve">r. podjęła uchwałę </w:t>
      </w:r>
      <w:r>
        <w:rPr>
          <w:rFonts w:ascii="Calibri" w:hAnsi="Calibri" w:cs="Calibri"/>
        </w:rPr>
        <w:t xml:space="preserve">Nr </w:t>
      </w:r>
      <w:r w:rsidR="00174EBF">
        <w:rPr>
          <w:rFonts w:ascii="Calibri" w:hAnsi="Calibri" w:cs="Calibri"/>
        </w:rPr>
        <w:t xml:space="preserve">45/19 </w:t>
      </w:r>
      <w:r w:rsidR="00174EBF">
        <w:rPr>
          <w:rFonts w:ascii="Calibri" w:hAnsi="Calibri" w:cs="Calibri"/>
          <w:i/>
        </w:rPr>
        <w:t>w sprawie uchwalenia Regulaminu przyznawania środków na dofinansowanie doskonalenia zawodowego nauczycieli zatrudnionych w szkołach i jednostkach oświatowych Gminy Celestynów.</w:t>
      </w:r>
    </w:p>
    <w:p w:rsidR="00130A3B" w:rsidRDefault="00192B0E" w:rsidP="009E3698">
      <w:pPr>
        <w:suppressAutoHyphens/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473F8B">
        <w:rPr>
          <w:rFonts w:asciiTheme="minorHAnsi" w:hAnsiTheme="minorHAnsi" w:cstheme="minorHAnsi"/>
        </w:rPr>
        <w:t>W uchwale wskazano, że podstawę prawną do</w:t>
      </w:r>
      <w:r>
        <w:rPr>
          <w:rFonts w:asciiTheme="minorHAnsi" w:hAnsiTheme="minorHAnsi" w:cstheme="minorHAnsi"/>
        </w:rPr>
        <w:t xml:space="preserve"> jej</w:t>
      </w:r>
      <w:r w:rsidRPr="00473F8B">
        <w:rPr>
          <w:rFonts w:asciiTheme="minorHAnsi" w:hAnsiTheme="minorHAnsi" w:cstheme="minorHAnsi"/>
        </w:rPr>
        <w:t xml:space="preserve"> podjęcia stanowią przepisy:</w:t>
      </w:r>
      <w:r>
        <w:rPr>
          <w:rFonts w:asciiTheme="minorHAnsi" w:hAnsiTheme="minorHAnsi" w:cstheme="minorHAnsi"/>
        </w:rPr>
        <w:t xml:space="preserve"> art. </w:t>
      </w:r>
      <w:r w:rsidR="00174EBF">
        <w:rPr>
          <w:rFonts w:asciiTheme="minorHAnsi" w:hAnsiTheme="minorHAnsi" w:cstheme="minorHAnsi"/>
        </w:rPr>
        <w:t xml:space="preserve">18 ust. 2 pkt 15 </w:t>
      </w:r>
      <w:r>
        <w:rPr>
          <w:rFonts w:asciiTheme="minorHAnsi" w:hAnsiTheme="minorHAnsi" w:cstheme="minorHAnsi"/>
        </w:rPr>
        <w:t>ustawy z dnia 8 marca</w:t>
      </w:r>
      <w:r w:rsidR="00174EBF">
        <w:rPr>
          <w:rFonts w:asciiTheme="minorHAnsi" w:hAnsiTheme="minorHAnsi" w:cstheme="minorHAnsi"/>
        </w:rPr>
        <w:t xml:space="preserve"> 1990 r. o samorządzie gminnym, art. 70 a ust. 1 w zw. z art. 91d pkt 1 ustawy </w:t>
      </w:r>
      <w:r w:rsidR="00452FF8">
        <w:rPr>
          <w:rFonts w:asciiTheme="minorHAnsi" w:hAnsiTheme="minorHAnsi" w:cstheme="minorHAnsi"/>
        </w:rPr>
        <w:br/>
      </w:r>
      <w:r w:rsidR="00174EBF">
        <w:rPr>
          <w:rFonts w:asciiTheme="minorHAnsi" w:hAnsiTheme="minorHAnsi" w:cstheme="minorHAnsi"/>
        </w:rPr>
        <w:t xml:space="preserve">z dnia 26 stycznia 1982 r. Karta Nauczyciela (Dz. U. z 2018 r. poz. 967, z późn. zm.) oraz rozporządzenie </w:t>
      </w:r>
      <w:r w:rsidR="00130A3B">
        <w:rPr>
          <w:rFonts w:asciiTheme="minorHAnsi" w:hAnsiTheme="minorHAnsi" w:cstheme="minorHAnsi"/>
        </w:rPr>
        <w:t>M</w:t>
      </w:r>
      <w:r w:rsidR="00174EBF">
        <w:rPr>
          <w:rFonts w:asciiTheme="minorHAnsi" w:hAnsiTheme="minorHAnsi" w:cstheme="minorHAnsi"/>
        </w:rPr>
        <w:t>inistra Edukacji Narodowej z dnia 18 stycznia 2019 r.</w:t>
      </w:r>
      <w:r w:rsidR="00447391">
        <w:rPr>
          <w:rFonts w:asciiTheme="minorHAnsi" w:hAnsiTheme="minorHAnsi" w:cstheme="minorHAnsi"/>
        </w:rPr>
        <w:t xml:space="preserve"> w sprawie</w:t>
      </w:r>
      <w:r w:rsidR="00130A3B">
        <w:rPr>
          <w:rFonts w:asciiTheme="minorHAnsi" w:hAnsiTheme="minorHAnsi" w:cstheme="minorHAnsi"/>
        </w:rPr>
        <w:t xml:space="preserve"> dofinansowania doskonalenia zawodowego nauczycieli</w:t>
      </w:r>
      <w:r w:rsidR="00447391">
        <w:rPr>
          <w:rFonts w:asciiTheme="minorHAnsi" w:hAnsiTheme="minorHAnsi" w:cstheme="minorHAnsi"/>
        </w:rPr>
        <w:t xml:space="preserve"> (Dz. U. z 2018 r. poz. 136</w:t>
      </w:r>
      <w:r w:rsidR="00130A3B">
        <w:rPr>
          <w:rFonts w:asciiTheme="minorHAnsi" w:hAnsiTheme="minorHAnsi" w:cstheme="minorHAnsi"/>
        </w:rPr>
        <w:t>).</w:t>
      </w:r>
    </w:p>
    <w:p w:rsidR="00130A3B" w:rsidRDefault="00130A3B" w:rsidP="009E3698">
      <w:pPr>
        <w:suppressAutoHyphens/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 została podjęta po zasięgnięciu opinii związków zawodowych nauczycieli.</w:t>
      </w:r>
    </w:p>
    <w:p w:rsidR="00192B0E" w:rsidRPr="00192B0E" w:rsidRDefault="00130A3B" w:rsidP="009E3698">
      <w:pPr>
        <w:suppressAutoHyphens/>
        <w:spacing w:before="120" w:after="120"/>
        <w:ind w:firstLine="28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W </w:t>
      </w:r>
      <w:r w:rsidR="002632FA">
        <w:rPr>
          <w:rFonts w:asciiTheme="minorHAnsi" w:hAnsiTheme="minorHAnsi" w:cstheme="minorHAnsi"/>
        </w:rPr>
        <w:t>§ </w:t>
      </w:r>
      <w:r w:rsidR="00105AE6">
        <w:rPr>
          <w:rFonts w:asciiTheme="minorHAnsi" w:hAnsiTheme="minorHAnsi" w:cstheme="minorHAnsi"/>
        </w:rPr>
        <w:t>6 ust. 5, 6 i 7 kwestionowanego Regulaminu</w:t>
      </w:r>
      <w:r>
        <w:rPr>
          <w:rFonts w:asciiTheme="minorHAnsi" w:hAnsiTheme="minorHAnsi" w:cstheme="minorHAnsi"/>
        </w:rPr>
        <w:t xml:space="preserve"> Rada Gminy Celestynów zawarła następujące postanowienia:</w:t>
      </w:r>
      <w:r w:rsidR="00447391">
        <w:rPr>
          <w:rFonts w:asciiTheme="minorHAnsi" w:hAnsiTheme="minorHAnsi" w:cstheme="minorHAnsi"/>
        </w:rPr>
        <w:t xml:space="preserve"> </w:t>
      </w:r>
      <w:r w:rsidR="00174EBF">
        <w:rPr>
          <w:rFonts w:asciiTheme="minorHAnsi" w:hAnsiTheme="minorHAnsi" w:cstheme="minorHAnsi"/>
        </w:rPr>
        <w:t xml:space="preserve"> </w:t>
      </w:r>
    </w:p>
    <w:p w:rsidR="00FE0A63" w:rsidRPr="00105AE6" w:rsidRDefault="00105AE6" w:rsidP="00BC7184">
      <w:pPr>
        <w:pStyle w:val="Teksttreci20"/>
        <w:widowControl/>
        <w:numPr>
          <w:ilvl w:val="0"/>
          <w:numId w:val="4"/>
        </w:numPr>
        <w:shd w:val="clear" w:color="auto" w:fill="auto"/>
        <w:tabs>
          <w:tab w:val="left" w:pos="351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„</w:t>
      </w:r>
      <w:r w:rsidR="00FE0A63" w:rsidRPr="00105AE6">
        <w:rPr>
          <w:rFonts w:asciiTheme="minorHAnsi" w:hAnsiTheme="minorHAnsi" w:cstheme="minorHAnsi"/>
          <w:i/>
          <w:sz w:val="24"/>
          <w:szCs w:val="24"/>
        </w:rPr>
        <w:t>Nauczyciel który otrzymał dofinansowanie na studia zobowiązany jest przepracować w szkole, dla której organem prowadzącym jest Gmina Celestynów okres co najmniej dwóch lat od ukończenia studiów.</w:t>
      </w:r>
    </w:p>
    <w:p w:rsidR="00FE0A63" w:rsidRPr="00105AE6" w:rsidRDefault="00FE0A63" w:rsidP="00BC7184">
      <w:pPr>
        <w:pStyle w:val="Teksttreci20"/>
        <w:widowControl/>
        <w:numPr>
          <w:ilvl w:val="0"/>
          <w:numId w:val="4"/>
        </w:numPr>
        <w:shd w:val="clear" w:color="auto" w:fill="auto"/>
        <w:tabs>
          <w:tab w:val="left" w:pos="351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05AE6">
        <w:rPr>
          <w:rFonts w:asciiTheme="minorHAnsi" w:hAnsiTheme="minorHAnsi" w:cstheme="minorHAnsi"/>
          <w:i/>
          <w:sz w:val="24"/>
          <w:szCs w:val="24"/>
        </w:rPr>
        <w:t>Rozwiązanie stosunku pracy przez nauczyciela przed upływem dwóch lat od daty ukończenia studiów, kursu kwalifikacyjnego, innych form nadających kwalifikacje powoduje obowiązek zwrotu otrzymanej kwoty dofina</w:t>
      </w:r>
      <w:r w:rsidR="00105AE6" w:rsidRPr="00105AE6">
        <w:rPr>
          <w:rFonts w:asciiTheme="minorHAnsi" w:hAnsiTheme="minorHAnsi" w:cstheme="minorHAnsi"/>
          <w:i/>
          <w:sz w:val="24"/>
          <w:szCs w:val="24"/>
        </w:rPr>
        <w:t>nsowania z zastrzeżeniem ust. 7.</w:t>
      </w:r>
    </w:p>
    <w:p w:rsidR="00FA7251" w:rsidRPr="00105AE6" w:rsidRDefault="00FE0A63" w:rsidP="00BC7184">
      <w:pPr>
        <w:pStyle w:val="Teksttreci20"/>
        <w:widowControl/>
        <w:numPr>
          <w:ilvl w:val="0"/>
          <w:numId w:val="4"/>
        </w:numPr>
        <w:shd w:val="clear" w:color="auto" w:fill="auto"/>
        <w:tabs>
          <w:tab w:val="left" w:pos="351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05AE6">
        <w:rPr>
          <w:rFonts w:asciiTheme="minorHAnsi" w:hAnsiTheme="minorHAnsi" w:cstheme="minorHAnsi"/>
          <w:i/>
          <w:sz w:val="24"/>
          <w:szCs w:val="24"/>
        </w:rPr>
        <w:t xml:space="preserve"> Przyznane dofinansowanie nie podlega zwrotowi, jeżeli nauczyciel kontynuuje zatrudnienie </w:t>
      </w:r>
      <w:r w:rsidR="009E3698">
        <w:rPr>
          <w:rFonts w:asciiTheme="minorHAnsi" w:hAnsiTheme="minorHAnsi" w:cstheme="minorHAnsi"/>
          <w:i/>
          <w:sz w:val="24"/>
          <w:szCs w:val="24"/>
        </w:rPr>
        <w:br/>
      </w:r>
      <w:r w:rsidRPr="00105AE6">
        <w:rPr>
          <w:rFonts w:asciiTheme="minorHAnsi" w:hAnsiTheme="minorHAnsi" w:cstheme="minorHAnsi"/>
          <w:i/>
          <w:sz w:val="24"/>
          <w:szCs w:val="24"/>
        </w:rPr>
        <w:t xml:space="preserve">w wymiarze co najmniej </w:t>
      </w:r>
      <w:r w:rsidRPr="00105AE6">
        <w:rPr>
          <w:rStyle w:val="Teksttreci2KursywaOdstpy0pt"/>
          <w:rFonts w:asciiTheme="minorHAnsi" w:hAnsiTheme="minorHAnsi" w:cstheme="minorHAnsi"/>
          <w:i w:val="0"/>
        </w:rPr>
        <w:t>1/2</w:t>
      </w:r>
      <w:r w:rsidRPr="00105AE6">
        <w:rPr>
          <w:rFonts w:asciiTheme="minorHAnsi" w:hAnsiTheme="minorHAnsi" w:cstheme="minorHAnsi"/>
          <w:i/>
          <w:sz w:val="24"/>
          <w:szCs w:val="24"/>
        </w:rPr>
        <w:t xml:space="preserve"> etatu w szkole lub innej placówce prowadzonej przez Gminę Celestynów lub rozwiązanie stosunku pracy nastąpiło z przyczyn leżących po stronie pracodawcy</w:t>
      </w:r>
      <w:r w:rsidR="00105AE6">
        <w:rPr>
          <w:rFonts w:asciiTheme="minorHAnsi" w:hAnsiTheme="minorHAnsi" w:cstheme="minorHAnsi"/>
          <w:i/>
          <w:sz w:val="24"/>
          <w:szCs w:val="24"/>
        </w:rPr>
        <w:t>.</w:t>
      </w:r>
      <w:r w:rsidR="00105AE6" w:rsidRPr="00105AE6">
        <w:rPr>
          <w:rFonts w:asciiTheme="minorHAnsi" w:hAnsiTheme="minorHAnsi" w:cstheme="minorHAnsi"/>
          <w:i/>
          <w:sz w:val="24"/>
          <w:szCs w:val="24"/>
        </w:rPr>
        <w:t>”</w:t>
      </w:r>
    </w:p>
    <w:p w:rsidR="00457F25" w:rsidRDefault="00FE0A63" w:rsidP="009E3698">
      <w:pPr>
        <w:pStyle w:val="Teksttreci20"/>
        <w:widowControl/>
        <w:shd w:val="clear" w:color="auto" w:fill="auto"/>
        <w:suppressAutoHyphens/>
        <w:spacing w:before="120" w:after="12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Przed</w:t>
      </w:r>
      <w:r w:rsidR="00365AC5">
        <w:rPr>
          <w:rFonts w:asciiTheme="minorHAnsi" w:hAnsiTheme="minorHAnsi" w:cstheme="minorHAnsi"/>
          <w:sz w:val="24"/>
          <w:szCs w:val="24"/>
        </w:rPr>
        <w:t>e wszystkim, z przepisu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A7251">
        <w:rPr>
          <w:rFonts w:asciiTheme="minorHAnsi" w:hAnsiTheme="minorHAnsi" w:cstheme="minorHAnsi"/>
          <w:sz w:val="24"/>
          <w:szCs w:val="24"/>
        </w:rPr>
        <w:t>art. 70a</w:t>
      </w:r>
      <w:r w:rsidR="00105AE6">
        <w:rPr>
          <w:rFonts w:asciiTheme="minorHAnsi" w:hAnsiTheme="minorHAnsi" w:cstheme="minorHAnsi"/>
          <w:sz w:val="24"/>
          <w:szCs w:val="24"/>
        </w:rPr>
        <w:t xml:space="preserve"> Karty Nauczyciela</w:t>
      </w:r>
      <w:r w:rsidR="00FA7251">
        <w:rPr>
          <w:rFonts w:asciiTheme="minorHAnsi" w:hAnsiTheme="minorHAnsi" w:cstheme="minorHAnsi"/>
          <w:sz w:val="24"/>
          <w:szCs w:val="24"/>
        </w:rPr>
        <w:t xml:space="preserve"> </w:t>
      </w:r>
      <w:r w:rsidR="00365AC5">
        <w:rPr>
          <w:rFonts w:asciiTheme="minorHAnsi" w:hAnsiTheme="minorHAnsi" w:cstheme="minorHAnsi"/>
          <w:sz w:val="24"/>
          <w:szCs w:val="24"/>
        </w:rPr>
        <w:t>nie wynika możliwość sformułowania</w:t>
      </w:r>
      <w:r w:rsidR="004468E6">
        <w:rPr>
          <w:rFonts w:asciiTheme="minorHAnsi" w:hAnsiTheme="minorHAnsi" w:cstheme="minorHAnsi"/>
          <w:sz w:val="24"/>
          <w:szCs w:val="24"/>
        </w:rPr>
        <w:t xml:space="preserve"> obowiązków</w:t>
      </w:r>
      <w:r w:rsidR="00327A80">
        <w:rPr>
          <w:rFonts w:asciiTheme="minorHAnsi" w:hAnsiTheme="minorHAnsi" w:cstheme="minorHAnsi"/>
          <w:sz w:val="24"/>
          <w:szCs w:val="24"/>
        </w:rPr>
        <w:t xml:space="preserve"> </w:t>
      </w:r>
      <w:r w:rsidR="00457F25">
        <w:rPr>
          <w:rFonts w:asciiTheme="minorHAnsi" w:hAnsiTheme="minorHAnsi" w:cstheme="minorHAnsi"/>
          <w:sz w:val="24"/>
          <w:szCs w:val="24"/>
        </w:rPr>
        <w:t>jakich musi dopełnić nauczyciel po otrzymaniu dofinansowania.</w:t>
      </w:r>
      <w:r w:rsidR="00E45FCF">
        <w:rPr>
          <w:rFonts w:asciiTheme="minorHAnsi" w:hAnsiTheme="minorHAnsi" w:cstheme="minorHAnsi"/>
          <w:sz w:val="24"/>
          <w:szCs w:val="24"/>
        </w:rPr>
        <w:t xml:space="preserve"> </w:t>
      </w:r>
      <w:r w:rsidR="00105AE6">
        <w:rPr>
          <w:rFonts w:asciiTheme="minorHAnsi" w:hAnsiTheme="minorHAnsi" w:cstheme="minorHAnsi"/>
          <w:sz w:val="24"/>
          <w:szCs w:val="24"/>
        </w:rPr>
        <w:t>Delegacja upoważnia jedynie do ustalenia</w:t>
      </w:r>
      <w:r w:rsidR="00E45FCF">
        <w:rPr>
          <w:rFonts w:asciiTheme="minorHAnsi" w:hAnsiTheme="minorHAnsi" w:cstheme="minorHAnsi"/>
          <w:sz w:val="24"/>
          <w:szCs w:val="24"/>
        </w:rPr>
        <w:t xml:space="preserve"> przesłanek, które należy spełnić by otrzymać dofinansowanie, zatem dotycz</w:t>
      </w:r>
      <w:r w:rsidR="00105AE6">
        <w:rPr>
          <w:rFonts w:asciiTheme="minorHAnsi" w:hAnsiTheme="minorHAnsi" w:cstheme="minorHAnsi"/>
          <w:sz w:val="24"/>
          <w:szCs w:val="24"/>
        </w:rPr>
        <w:t>y</w:t>
      </w:r>
      <w:r w:rsidR="00E45FCF">
        <w:rPr>
          <w:rFonts w:asciiTheme="minorHAnsi" w:hAnsiTheme="minorHAnsi" w:cstheme="minorHAnsi"/>
          <w:sz w:val="24"/>
          <w:szCs w:val="24"/>
        </w:rPr>
        <w:t xml:space="preserve"> czynności chronologicznie wcześniejszych.</w:t>
      </w:r>
      <w:r w:rsidR="00457F2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7F25" w:rsidRDefault="00457F25" w:rsidP="009E3698">
      <w:pPr>
        <w:pStyle w:val="Teksttreci20"/>
        <w:widowControl/>
        <w:shd w:val="clear" w:color="auto" w:fill="auto"/>
        <w:suppressAutoHyphens/>
        <w:spacing w:before="120" w:after="12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Zapisy dotyczące obowiązków związanych z pobieraniem dofinansowania można ewentualnie zawrzeć w umowie z pracodawcą</w:t>
      </w:r>
      <w:r w:rsidR="00E45FCF">
        <w:rPr>
          <w:rFonts w:asciiTheme="minorHAnsi" w:hAnsiTheme="minorHAnsi" w:cstheme="minorHAnsi"/>
          <w:sz w:val="24"/>
          <w:szCs w:val="24"/>
        </w:rPr>
        <w:t xml:space="preserve"> określającą prawa i obowiązki stron</w:t>
      </w:r>
      <w:r w:rsidR="00105AE6">
        <w:rPr>
          <w:rFonts w:asciiTheme="minorHAnsi" w:hAnsiTheme="minorHAnsi" w:cstheme="minorHAnsi"/>
          <w:sz w:val="24"/>
          <w:szCs w:val="24"/>
        </w:rPr>
        <w:t>, a nie w uchwale Rady Gminy.</w:t>
      </w:r>
    </w:p>
    <w:p w:rsidR="00C7343A" w:rsidRDefault="00457F25" w:rsidP="009E3698">
      <w:pPr>
        <w:pStyle w:val="Teksttreci20"/>
        <w:widowControl/>
        <w:shd w:val="clear" w:color="auto" w:fill="auto"/>
        <w:suppressAutoHyphens/>
        <w:spacing w:before="120" w:after="12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Jak wynika z powyższego, rada gminy po pierwsze przekroczyła delegację ustawową</w:t>
      </w:r>
      <w:r w:rsidR="00E45FCF">
        <w:rPr>
          <w:rFonts w:asciiTheme="minorHAnsi" w:hAnsiTheme="minorHAnsi" w:cstheme="minorHAnsi"/>
          <w:sz w:val="24"/>
          <w:szCs w:val="24"/>
        </w:rPr>
        <w:t xml:space="preserve">, ponieważ przepis delegujący do wydania uchwały nie przewiduje nałożenia na nauczyciela obowiązków związanych z już otrzymanym dofinansowaniem. Po drugie wkroczyła w sferę stosunków cywilnoprawnych, kształtując w drodze aktu prawa miejscowego sytuację prywatnoprawną adresata normy prawa publicznego, co bez wyraźnej podstawy ustawowej jest niedopuszczalne.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FA7251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C7343A" w:rsidRDefault="004E7CC8" w:rsidP="009E3698">
      <w:pPr>
        <w:pStyle w:val="Teksttreci20"/>
        <w:widowControl/>
        <w:shd w:val="clear" w:color="auto" w:fill="auto"/>
        <w:suppressAutoHyphens/>
        <w:spacing w:before="120" w:after="12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Organ nadzoru zwraca również uwagę na </w:t>
      </w:r>
      <w:r w:rsidRPr="004E7CC8">
        <w:rPr>
          <w:rFonts w:asciiTheme="minorHAnsi" w:hAnsiTheme="minorHAnsi" w:cstheme="minorHAnsi"/>
          <w:sz w:val="24"/>
          <w:szCs w:val="24"/>
        </w:rPr>
        <w:t>przepis § 8</w:t>
      </w:r>
      <w:r>
        <w:rPr>
          <w:rFonts w:asciiTheme="minorHAnsi" w:hAnsiTheme="minorHAnsi" w:cstheme="minorHAnsi"/>
          <w:sz w:val="24"/>
          <w:szCs w:val="24"/>
        </w:rPr>
        <w:t xml:space="preserve"> rozporządzenia</w:t>
      </w:r>
      <w:r w:rsidRPr="004E7CC8">
        <w:rPr>
          <w:rFonts w:asciiTheme="minorHAnsi" w:hAnsiTheme="minorHAnsi" w:cstheme="minorHAnsi"/>
          <w:sz w:val="24"/>
          <w:szCs w:val="24"/>
        </w:rPr>
        <w:t xml:space="preserve"> Ministra Edukacji Narodowej z dnia 18 stycznia 2019 r. w sprawie dofinansowania doskonalenia zawodowego nauczycieli</w:t>
      </w:r>
      <w:r>
        <w:rPr>
          <w:rFonts w:asciiTheme="minorHAnsi" w:hAnsiTheme="minorHAnsi" w:cstheme="minorHAnsi"/>
          <w:sz w:val="24"/>
          <w:szCs w:val="24"/>
        </w:rPr>
        <w:t>, zgodnie z którym</w:t>
      </w:r>
      <w:r w:rsidR="00C7343A">
        <w:rPr>
          <w:rFonts w:asciiTheme="minorHAnsi" w:hAnsiTheme="minorHAnsi" w:cstheme="minorHAnsi"/>
          <w:sz w:val="24"/>
          <w:szCs w:val="24"/>
        </w:rPr>
        <w:t xml:space="preserve"> o</w:t>
      </w:r>
      <w:r w:rsidR="00C7343A" w:rsidRPr="00C7343A">
        <w:rPr>
          <w:rFonts w:asciiTheme="minorHAnsi" w:hAnsiTheme="minorHAnsi" w:cstheme="minorHAnsi"/>
          <w:sz w:val="24"/>
          <w:szCs w:val="24"/>
        </w:rPr>
        <w:t xml:space="preserve">rgan prowadzący, w porozumieniu z dyrektorami szkół i placówek, ustala corocznie maksymalną kwotę dofinansowania opłat, o których mowa w </w:t>
      </w:r>
      <w:hyperlink r:id="rId9" w:history="1">
        <w:r w:rsidR="00C7343A" w:rsidRPr="00C7343A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§ 2 ust. 3 pkt 1</w:t>
        </w:r>
      </w:hyperlink>
      <w:r w:rsidR="00C7343A" w:rsidRPr="00C7343A">
        <w:rPr>
          <w:rFonts w:asciiTheme="minorHAnsi" w:hAnsiTheme="minorHAnsi" w:cstheme="minorHAnsi"/>
          <w:sz w:val="24"/>
          <w:szCs w:val="24"/>
        </w:rPr>
        <w:t xml:space="preserve">, oraz specjalności </w:t>
      </w:r>
      <w:r w:rsidR="00452FF8">
        <w:rPr>
          <w:rFonts w:asciiTheme="minorHAnsi" w:hAnsiTheme="minorHAnsi" w:cstheme="minorHAnsi"/>
          <w:sz w:val="24"/>
          <w:szCs w:val="24"/>
        </w:rPr>
        <w:br/>
      </w:r>
      <w:r w:rsidR="00C7343A" w:rsidRPr="00C7343A">
        <w:rPr>
          <w:rFonts w:asciiTheme="minorHAnsi" w:hAnsiTheme="minorHAnsi" w:cstheme="minorHAnsi"/>
          <w:sz w:val="24"/>
          <w:szCs w:val="24"/>
        </w:rPr>
        <w:t>i formy kształcenia nauczycieli prowadzone przez uczelnie, na które dofinansowanie jest przyznawane.</w:t>
      </w:r>
    </w:p>
    <w:p w:rsidR="004E7CC8" w:rsidRPr="004E7CC8" w:rsidRDefault="00C7343A" w:rsidP="009E3698">
      <w:pPr>
        <w:pStyle w:val="Teksttreci20"/>
        <w:widowControl/>
        <w:shd w:val="clear" w:color="auto" w:fill="auto"/>
        <w:suppressAutoHyphens/>
        <w:spacing w:before="120" w:after="12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powyższego przepisu również nie wynika delegacja do </w:t>
      </w:r>
      <w:r w:rsidR="009F4626">
        <w:rPr>
          <w:rFonts w:asciiTheme="minorHAnsi" w:hAnsiTheme="minorHAnsi" w:cstheme="minorHAnsi"/>
          <w:sz w:val="24"/>
          <w:szCs w:val="24"/>
        </w:rPr>
        <w:t xml:space="preserve">zobowiązywania nauczyciela </w:t>
      </w:r>
      <w:r w:rsidR="002632FA">
        <w:rPr>
          <w:rFonts w:asciiTheme="minorHAnsi" w:hAnsiTheme="minorHAnsi" w:cstheme="minorHAnsi"/>
          <w:sz w:val="24"/>
          <w:szCs w:val="24"/>
        </w:rPr>
        <w:br/>
      </w:r>
      <w:r w:rsidR="009F4626">
        <w:rPr>
          <w:rFonts w:asciiTheme="minorHAnsi" w:hAnsiTheme="minorHAnsi" w:cstheme="minorHAnsi"/>
          <w:sz w:val="24"/>
          <w:szCs w:val="24"/>
        </w:rPr>
        <w:t xml:space="preserve">do </w:t>
      </w:r>
      <w:r w:rsidR="00B37042">
        <w:rPr>
          <w:rFonts w:asciiTheme="minorHAnsi" w:hAnsiTheme="minorHAnsi" w:cstheme="minorHAnsi"/>
          <w:sz w:val="24"/>
          <w:szCs w:val="24"/>
        </w:rPr>
        <w:t>wykonywania pracy po otrzymaniu dofinansowania przez określony czas.</w:t>
      </w:r>
    </w:p>
    <w:p w:rsidR="00F24E25" w:rsidRDefault="00AC0D52" w:rsidP="009E3698">
      <w:pPr>
        <w:suppressAutoHyphens/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Zapisy zawarte w </w:t>
      </w:r>
      <w:r w:rsidRPr="004E7CC8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6 ust. 6 i 7 </w:t>
      </w:r>
      <w:r w:rsidR="00105AE6">
        <w:rPr>
          <w:rFonts w:asciiTheme="minorHAnsi" w:hAnsiTheme="minorHAnsi" w:cstheme="minorHAnsi"/>
        </w:rPr>
        <w:t>Regulaminu</w:t>
      </w:r>
      <w:r>
        <w:rPr>
          <w:rFonts w:asciiTheme="minorHAnsi" w:hAnsiTheme="minorHAnsi" w:cstheme="minorHAnsi"/>
        </w:rPr>
        <w:t xml:space="preserve"> podlegają unieważnieniu z uwagi na</w:t>
      </w:r>
      <w:r w:rsidR="00F24E25">
        <w:rPr>
          <w:rFonts w:asciiTheme="minorHAnsi" w:hAnsiTheme="minorHAnsi" w:cstheme="minorHAnsi"/>
        </w:rPr>
        <w:t xml:space="preserve"> </w:t>
      </w:r>
      <w:r w:rsidR="00C2006D">
        <w:rPr>
          <w:rFonts w:asciiTheme="minorHAnsi" w:hAnsiTheme="minorHAnsi" w:cstheme="minorHAnsi"/>
        </w:rPr>
        <w:t xml:space="preserve">wewnętrzne </w:t>
      </w:r>
      <w:r w:rsidR="00F24E25">
        <w:rPr>
          <w:rFonts w:asciiTheme="minorHAnsi" w:hAnsiTheme="minorHAnsi" w:cstheme="minorHAnsi"/>
        </w:rPr>
        <w:t xml:space="preserve">odwołanie do </w:t>
      </w:r>
      <w:r w:rsidR="00105AE6">
        <w:rPr>
          <w:rFonts w:asciiTheme="minorHAnsi" w:hAnsiTheme="minorHAnsi" w:cstheme="minorHAnsi"/>
        </w:rPr>
        <w:t>przepisu</w:t>
      </w:r>
      <w:r w:rsidR="00F24E25">
        <w:rPr>
          <w:rFonts w:asciiTheme="minorHAnsi" w:hAnsiTheme="minorHAnsi" w:cstheme="minorHAnsi"/>
        </w:rPr>
        <w:t xml:space="preserve">, który podlega stwierdzeniu nieważności. Konieczne jest zatem unieważnienie zapisów zależnych z racji ich funkcjonalnego powiązania.        </w:t>
      </w:r>
    </w:p>
    <w:p w:rsidR="00AC0D52" w:rsidRDefault="00F24E25" w:rsidP="009E3698">
      <w:pPr>
        <w:suppressAutoHyphens/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mamy do czynienia z sekwencją zdarzeń wywołanych danymi </w:t>
      </w:r>
      <w:r w:rsidR="008A368B">
        <w:rPr>
          <w:rFonts w:asciiTheme="minorHAnsi" w:hAnsiTheme="minorHAnsi" w:cstheme="minorHAnsi"/>
        </w:rPr>
        <w:t>przepisam</w:t>
      </w:r>
      <w:r>
        <w:rPr>
          <w:rFonts w:asciiTheme="minorHAnsi" w:hAnsiTheme="minorHAnsi" w:cstheme="minorHAnsi"/>
        </w:rPr>
        <w:t xml:space="preserve">i, które są ze </w:t>
      </w:r>
      <w:r w:rsidR="00105AE6">
        <w:rPr>
          <w:rFonts w:asciiTheme="minorHAnsi" w:hAnsiTheme="minorHAnsi" w:cstheme="minorHAnsi"/>
        </w:rPr>
        <w:t>sobą powiązane, zaś przepis</w:t>
      </w:r>
      <w:r>
        <w:rPr>
          <w:rFonts w:asciiTheme="minorHAnsi" w:hAnsiTheme="minorHAnsi" w:cstheme="minorHAnsi"/>
        </w:rPr>
        <w:t xml:space="preserve"> zależny oparty jest na uregulowaniu pierwotnym, którego nieważność została stwierdzona, bądź jest przedmiotem postępowania w sprawie stwierdzenia nieważności, </w:t>
      </w:r>
      <w:r w:rsidR="009E369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którego skutki prawne zostały zniesione, przyjąć należy, że </w:t>
      </w:r>
      <w:r w:rsidR="00105AE6">
        <w:rPr>
          <w:rFonts w:asciiTheme="minorHAnsi" w:hAnsiTheme="minorHAnsi" w:cstheme="minorHAnsi"/>
        </w:rPr>
        <w:t>przepis</w:t>
      </w:r>
      <w:r>
        <w:rPr>
          <w:rFonts w:asciiTheme="minorHAnsi" w:hAnsiTheme="minorHAnsi" w:cstheme="minorHAnsi"/>
        </w:rPr>
        <w:t xml:space="preserve"> zależny również został podjęty </w:t>
      </w:r>
      <w:r w:rsidR="009E369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sposób sprzeczny z prawem. Z tego powodu </w:t>
      </w:r>
      <w:r w:rsidR="00105AE6">
        <w:rPr>
          <w:rFonts w:asciiTheme="minorHAnsi" w:hAnsiTheme="minorHAnsi" w:cstheme="minorHAnsi"/>
        </w:rPr>
        <w:t>przepis</w:t>
      </w:r>
      <w:r>
        <w:rPr>
          <w:rFonts w:asciiTheme="minorHAnsi" w:hAnsiTheme="minorHAnsi" w:cstheme="minorHAnsi"/>
        </w:rPr>
        <w:t xml:space="preserve"> podstawowy wpływa w sposób bezpośredni na ocenę prawną </w:t>
      </w:r>
      <w:r w:rsidR="00105AE6">
        <w:rPr>
          <w:rFonts w:asciiTheme="minorHAnsi" w:hAnsiTheme="minorHAnsi" w:cstheme="minorHAnsi"/>
        </w:rPr>
        <w:t xml:space="preserve">przepisu </w:t>
      </w:r>
      <w:r>
        <w:rPr>
          <w:rFonts w:asciiTheme="minorHAnsi" w:hAnsiTheme="minorHAnsi" w:cstheme="minorHAnsi"/>
        </w:rPr>
        <w:t>zależnego. Stąd stwierdzenie nieważności</w:t>
      </w:r>
      <w:r w:rsidR="00105AE6">
        <w:rPr>
          <w:rFonts w:asciiTheme="minorHAnsi" w:hAnsiTheme="minorHAnsi" w:cstheme="minorHAnsi"/>
        </w:rPr>
        <w:t xml:space="preserve"> przepisów </w:t>
      </w:r>
      <w:r w:rsidR="00105AE6" w:rsidRPr="004E7CC8">
        <w:rPr>
          <w:rFonts w:asciiTheme="minorHAnsi" w:hAnsiTheme="minorHAnsi" w:cstheme="minorHAnsi"/>
        </w:rPr>
        <w:t>§</w:t>
      </w:r>
      <w:r w:rsidR="00105AE6">
        <w:rPr>
          <w:rFonts w:asciiTheme="minorHAnsi" w:hAnsiTheme="minorHAnsi" w:cstheme="minorHAnsi"/>
        </w:rPr>
        <w:t xml:space="preserve"> 6 ust. 6 i 7 Regulaminu</w:t>
      </w:r>
      <w:r w:rsidR="004B7286">
        <w:rPr>
          <w:rFonts w:asciiTheme="minorHAnsi" w:hAnsiTheme="minorHAnsi" w:cstheme="minorHAnsi"/>
        </w:rPr>
        <w:t xml:space="preserve">.  </w:t>
      </w:r>
    </w:p>
    <w:p w:rsidR="006E21B4" w:rsidRPr="006E21B4" w:rsidRDefault="00AC0D52" w:rsidP="009E3698">
      <w:pPr>
        <w:suppressAutoHyphens/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4E7CC8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9</w:t>
      </w:r>
      <w:r w:rsidR="008A368B">
        <w:rPr>
          <w:rFonts w:asciiTheme="minorHAnsi" w:hAnsiTheme="minorHAnsi" w:cstheme="minorHAnsi"/>
        </w:rPr>
        <w:t xml:space="preserve"> kwestionowanego Regulaminu</w:t>
      </w:r>
      <w:r w:rsidR="00885899">
        <w:rPr>
          <w:rFonts w:asciiTheme="minorHAnsi" w:hAnsiTheme="minorHAnsi" w:cstheme="minorHAnsi"/>
        </w:rPr>
        <w:t xml:space="preserve"> </w:t>
      </w:r>
      <w:r w:rsidR="008A368B">
        <w:rPr>
          <w:rFonts w:asciiTheme="minorHAnsi" w:hAnsiTheme="minorHAnsi" w:cstheme="minorHAnsi"/>
        </w:rPr>
        <w:t>Rada G</w:t>
      </w:r>
      <w:r w:rsidR="00885899">
        <w:rPr>
          <w:rFonts w:asciiTheme="minorHAnsi" w:hAnsiTheme="minorHAnsi" w:cstheme="minorHAnsi"/>
        </w:rPr>
        <w:t xml:space="preserve">miny postanowiła, że </w:t>
      </w:r>
      <w:r>
        <w:rPr>
          <w:rFonts w:asciiTheme="minorHAnsi" w:hAnsiTheme="minorHAnsi" w:cstheme="minorHAnsi"/>
        </w:rPr>
        <w:t xml:space="preserve"> </w:t>
      </w:r>
    </w:p>
    <w:p w:rsidR="006E21B4" w:rsidRPr="00105AE6" w:rsidRDefault="00105AE6" w:rsidP="009E3698">
      <w:pPr>
        <w:pStyle w:val="Teksttreci20"/>
        <w:widowControl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„</w:t>
      </w:r>
      <w:r w:rsidR="006E21B4" w:rsidRPr="00105AE6">
        <w:rPr>
          <w:rFonts w:asciiTheme="minorHAnsi" w:hAnsiTheme="minorHAnsi" w:cstheme="minorHAnsi"/>
          <w:i/>
          <w:sz w:val="24"/>
          <w:szCs w:val="24"/>
        </w:rPr>
        <w:t>Z nauczycielem, który korzysta z dofinansowania opłat za studia lub naukę w zakładach kształcenia nauczycieli - dyrektor szkoły zawiera umowę określająca szczegółowe prawa i obowiązki zarówno pracodawcy jak i pracownika - zgodnie ze wzorem stanowiącym załącznik nr 4 do regulaminu.</w:t>
      </w:r>
    </w:p>
    <w:p w:rsidR="006E21B4" w:rsidRPr="00105AE6" w:rsidRDefault="006E21B4" w:rsidP="009E3698">
      <w:pPr>
        <w:pStyle w:val="Teksttreci20"/>
        <w:widowControl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05AE6">
        <w:rPr>
          <w:rFonts w:asciiTheme="minorHAnsi" w:hAnsiTheme="minorHAnsi" w:cstheme="minorHAnsi"/>
          <w:i/>
          <w:sz w:val="24"/>
          <w:szCs w:val="24"/>
        </w:rPr>
        <w:t xml:space="preserve">Uregulowanie zawarte w ust. 1 dotyczy również dyrektorów szkół, a umowa zawierana jest </w:t>
      </w:r>
      <w:r w:rsidR="009E3698">
        <w:rPr>
          <w:rFonts w:asciiTheme="minorHAnsi" w:hAnsiTheme="minorHAnsi" w:cstheme="minorHAnsi"/>
          <w:i/>
          <w:sz w:val="24"/>
          <w:szCs w:val="24"/>
        </w:rPr>
        <w:br/>
      </w:r>
      <w:r w:rsidRPr="00105AE6">
        <w:rPr>
          <w:rFonts w:asciiTheme="minorHAnsi" w:hAnsiTheme="minorHAnsi" w:cstheme="minorHAnsi"/>
          <w:i/>
          <w:sz w:val="24"/>
          <w:szCs w:val="24"/>
        </w:rPr>
        <w:t>z Wójtem Gminy Celestynów</w:t>
      </w:r>
      <w:r w:rsidR="00105AE6">
        <w:rPr>
          <w:rFonts w:asciiTheme="minorHAnsi" w:hAnsiTheme="minorHAnsi" w:cstheme="minorHAnsi"/>
          <w:i/>
          <w:sz w:val="24"/>
          <w:szCs w:val="24"/>
        </w:rPr>
        <w:t>”</w:t>
      </w:r>
      <w:r w:rsidR="00D73992" w:rsidRPr="00105AE6">
        <w:rPr>
          <w:rFonts w:asciiTheme="minorHAnsi" w:hAnsiTheme="minorHAnsi" w:cstheme="minorHAnsi"/>
          <w:i/>
          <w:sz w:val="24"/>
          <w:szCs w:val="24"/>
        </w:rPr>
        <w:t>.</w:t>
      </w:r>
    </w:p>
    <w:p w:rsidR="0083661A" w:rsidRPr="00A16304" w:rsidRDefault="00192B0E" w:rsidP="009E3698">
      <w:pPr>
        <w:suppressAutoHyphens/>
        <w:spacing w:before="120" w:after="120"/>
        <w:ind w:firstLine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Należy zaznaczyć, że </w:t>
      </w:r>
      <w:r w:rsidR="00365AC5">
        <w:rPr>
          <w:rFonts w:asciiTheme="minorHAnsi" w:hAnsiTheme="minorHAnsi" w:cstheme="minorHAnsi"/>
        </w:rPr>
        <w:t>delegacja zawarta dla organu prowadzącego w art. 70a Karty Nauczyciela</w:t>
      </w:r>
      <w:r w:rsidR="004C4F85">
        <w:rPr>
          <w:rFonts w:asciiTheme="minorHAnsi" w:hAnsiTheme="minorHAnsi" w:cstheme="minorHAnsi"/>
        </w:rPr>
        <w:t xml:space="preserve">, jak również w </w:t>
      </w:r>
      <w:r w:rsidR="004C4F85" w:rsidRPr="004E7CC8">
        <w:rPr>
          <w:rFonts w:asciiTheme="minorHAnsi" w:hAnsiTheme="minorHAnsi" w:cstheme="minorHAnsi"/>
        </w:rPr>
        <w:t>§ 8</w:t>
      </w:r>
      <w:r w:rsidR="004C4F85">
        <w:rPr>
          <w:rFonts w:asciiTheme="minorHAnsi" w:hAnsiTheme="minorHAnsi" w:cstheme="minorHAnsi"/>
        </w:rPr>
        <w:t xml:space="preserve"> rozporządzenia</w:t>
      </w:r>
      <w:r w:rsidR="004C4F85" w:rsidRPr="004E7CC8">
        <w:rPr>
          <w:rFonts w:asciiTheme="minorHAnsi" w:hAnsiTheme="minorHAnsi" w:cstheme="minorHAnsi"/>
        </w:rPr>
        <w:t xml:space="preserve"> Ministra Edukacji Narodowej z dnia 18 stycznia 2019 r. w sprawie dofinansowania doskonalenia zawodowego nauczycieli</w:t>
      </w:r>
      <w:r>
        <w:rPr>
          <w:rFonts w:asciiTheme="minorHAnsi" w:hAnsiTheme="minorHAnsi" w:cstheme="minorHAnsi"/>
        </w:rPr>
        <w:t xml:space="preserve"> nie</w:t>
      </w:r>
      <w:r>
        <w:rPr>
          <w:rFonts w:ascii="Calibri" w:hAnsi="Calibri" w:cs="Calibri"/>
        </w:rPr>
        <w:t xml:space="preserve"> </w:t>
      </w:r>
      <w:r w:rsidR="00365AC5">
        <w:rPr>
          <w:rFonts w:ascii="Calibri" w:hAnsi="Calibri" w:cs="Calibri"/>
        </w:rPr>
        <w:t>obejmuje</w:t>
      </w:r>
      <w:r>
        <w:rPr>
          <w:rFonts w:ascii="Calibri" w:hAnsi="Calibri" w:cs="Calibri"/>
        </w:rPr>
        <w:t xml:space="preserve"> możliwości ustalenia wzoru formularza wniosku, od wypełnienia którego zależeć będzie przyznanie świadczenia.</w:t>
      </w:r>
      <w:r w:rsidR="00A16304">
        <w:rPr>
          <w:rFonts w:ascii="Calibri" w:hAnsi="Calibri" w:cs="Calibri"/>
        </w:rPr>
        <w:t xml:space="preserve"> </w:t>
      </w:r>
      <w:r w:rsidR="0083661A">
        <w:rPr>
          <w:rFonts w:ascii="Calibri" w:hAnsi="Calibri" w:cs="Calibri"/>
        </w:rPr>
        <w:t>Poza tym brak delegacji by nakładać na nauczyciela</w:t>
      </w:r>
      <w:r w:rsidR="00105AE6">
        <w:rPr>
          <w:rFonts w:ascii="Calibri" w:hAnsi="Calibri" w:cs="Calibri"/>
        </w:rPr>
        <w:t>,</w:t>
      </w:r>
      <w:r w:rsidR="0083661A">
        <w:rPr>
          <w:rFonts w:ascii="Calibri" w:hAnsi="Calibri" w:cs="Calibri"/>
        </w:rPr>
        <w:t xml:space="preserve"> czy dyrektora szkoły obowiązku zawarcia umowy w akcie prawa miejscowego</w:t>
      </w:r>
      <w:r w:rsidR="00173A00">
        <w:rPr>
          <w:rFonts w:ascii="Calibri" w:hAnsi="Calibri" w:cs="Calibri"/>
        </w:rPr>
        <w:t>.</w:t>
      </w:r>
      <w:r w:rsidR="0083661A">
        <w:rPr>
          <w:rFonts w:ascii="Calibri" w:hAnsi="Calibri" w:cs="Calibri"/>
        </w:rPr>
        <w:t xml:space="preserve"> </w:t>
      </w:r>
      <w:r w:rsidR="00A16304">
        <w:rPr>
          <w:rFonts w:ascii="Calibri" w:hAnsi="Calibri" w:cs="Calibri"/>
        </w:rPr>
        <w:t xml:space="preserve">Aktualność zachowują tezy dotyczące </w:t>
      </w:r>
      <w:r w:rsidR="00DF346E">
        <w:rPr>
          <w:rFonts w:ascii="Calibri" w:hAnsi="Calibri" w:cs="Calibri"/>
        </w:rPr>
        <w:t>ukształtowania sytuacji prywatnoprawnej uczynione powyżej.</w:t>
      </w:r>
    </w:p>
    <w:p w:rsidR="00192B0E" w:rsidRDefault="00192B0E" w:rsidP="009E3698">
      <w:pPr>
        <w:tabs>
          <w:tab w:val="left" w:pos="851"/>
        </w:tabs>
        <w:suppressAutoHyphens/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Trybunał Konstytucyjny konsekwentnie podkreślał, że brak stanowiska ustawodawcy w jakiejś sprawie, choćby przejawiający się w nieprecyzyjności upoważnienia, musi być interpretowany jako nieudzielenie kompetencji prawotwórczej, tak np. wyrok Trybunału Konstytucyjnego z 31 marca </w:t>
      </w:r>
      <w:r w:rsidR="009E369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t xml:space="preserve">2009 r., sygn. K 28/08 i powołane tam orzecznictwo. [por. Opinia prawna w zakresie zgodności rządowego projektu ustawy o zmianie ustaw regulujących wykonywanie niektórych zawodów wraz </w:t>
      </w:r>
      <w:r w:rsidR="00452FF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projektami aktów wykonawczych (druk nr 806) z zasadami formułowania delegacji do wydania aktów wykonawczych oraz ideą i celem projektu ustawy].</w:t>
      </w:r>
    </w:p>
    <w:p w:rsidR="00192B0E" w:rsidRDefault="00192B0E" w:rsidP="009E3698">
      <w:pPr>
        <w:tabs>
          <w:tab w:val="left" w:pos="851"/>
        </w:tabs>
        <w:suppressAutoHyphens/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Przytoczona opinia odnosi się wprawdzie do rozporządzeń wydanych w celu wykonania przepisów ustawy, należy jednak zaznaczyć, że zgodnie z art. 94 Konstytucji RP </w:t>
      </w:r>
      <w:r w:rsidR="00105AE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rgany samorządu terytorialnego oraz terenowe organy administracji rządowej, na podstawie i w granicach upoważnień </w:t>
      </w:r>
      <w:r w:rsidRPr="00AC0D52">
        <w:rPr>
          <w:rFonts w:asciiTheme="minorHAnsi" w:hAnsiTheme="minorHAnsi" w:cstheme="minorHAnsi"/>
          <w:u w:val="single"/>
        </w:rPr>
        <w:t xml:space="preserve">zawartych </w:t>
      </w:r>
      <w:r w:rsidR="009E3698">
        <w:rPr>
          <w:rFonts w:asciiTheme="minorHAnsi" w:hAnsiTheme="minorHAnsi" w:cstheme="minorHAnsi"/>
          <w:u w:val="single"/>
        </w:rPr>
        <w:br/>
      </w:r>
      <w:r w:rsidRPr="00AC0D52">
        <w:rPr>
          <w:rFonts w:asciiTheme="minorHAnsi" w:hAnsiTheme="minorHAnsi" w:cstheme="minorHAnsi"/>
          <w:u w:val="single"/>
        </w:rPr>
        <w:t>w ustawie</w:t>
      </w:r>
      <w:r>
        <w:rPr>
          <w:rFonts w:asciiTheme="minorHAnsi" w:hAnsiTheme="minorHAnsi" w:cstheme="minorHAnsi"/>
        </w:rPr>
        <w:t>, ustanawiają akty prawa miejscowego obowiązujące na obszarze działania tych organów.</w:t>
      </w:r>
    </w:p>
    <w:p w:rsidR="00192B0E" w:rsidRDefault="00192B0E" w:rsidP="009E3698">
      <w:pPr>
        <w:tabs>
          <w:tab w:val="left" w:pos="851"/>
        </w:tabs>
        <w:suppressAutoHyphens/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utrwalonym w orzecznictwie sądowym poglądem „</w:t>
      </w:r>
      <w:r>
        <w:rPr>
          <w:rFonts w:asciiTheme="minorHAnsi" w:hAnsiTheme="minorHAnsi" w:cstheme="minorHAnsi"/>
          <w:i/>
        </w:rPr>
        <w:t>akty prawa miejscowego stanowione przez organu jednostek samorządu terytorialnego mogą być wydawane wyłącznie na podstawie upoważnienia ustawowego i w graniach tego upoważnienia. Wadliwe są zatem zarówno akty, które zostały wydane bez wyraźnego upoważnienia ustawowego, jak i takie, które opierały się na upoważnieniu, ale wykroczyły poza jego granice</w:t>
      </w:r>
      <w:r>
        <w:rPr>
          <w:rFonts w:asciiTheme="minorHAnsi" w:hAnsiTheme="minorHAnsi" w:cstheme="minorHAnsi"/>
        </w:rPr>
        <w:t xml:space="preserve">.” (Wyrok WSA w Lublinie z dnia 28 kwietnia 2014 r. </w:t>
      </w:r>
      <w:r w:rsidR="009E369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III SA/Lu 107/14).</w:t>
      </w:r>
    </w:p>
    <w:p w:rsidR="00192B0E" w:rsidRDefault="00192B0E" w:rsidP="009E3698">
      <w:pPr>
        <w:tabs>
          <w:tab w:val="left" w:pos="851"/>
        </w:tabs>
        <w:suppressAutoHyphens/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 wynika z powyższego, brak podstaw do domniemywania właściwości organu prowadzącego szkołę w zakresie spraw nie przekazanych do uregulowania w ramach delegacji ustawowej. Tym bardziej brak podstaw do tworzenia w ramach warunków przyznawania </w:t>
      </w:r>
      <w:r w:rsidR="00AC0D52">
        <w:rPr>
          <w:rFonts w:asciiTheme="minorHAnsi" w:hAnsiTheme="minorHAnsi" w:cstheme="minorHAnsi"/>
        </w:rPr>
        <w:t>dofinansowania</w:t>
      </w:r>
      <w:r w:rsidR="008A368B">
        <w:rPr>
          <w:rFonts w:asciiTheme="minorHAnsi" w:hAnsiTheme="minorHAnsi" w:cstheme="minorHAnsi"/>
        </w:rPr>
        <w:t xml:space="preserve"> wzoru</w:t>
      </w:r>
      <w:r>
        <w:rPr>
          <w:rFonts w:asciiTheme="minorHAnsi" w:hAnsiTheme="minorHAnsi" w:cstheme="minorHAnsi"/>
        </w:rPr>
        <w:t xml:space="preserve"> formularza wniosku, od którego wypełnienia uzależnia się przyznanie świadczenia. Co więcej, tak sformułowany warunek uniemożliwia otrzymanie świadczenia, </w:t>
      </w:r>
      <w:r w:rsidR="00695CBA">
        <w:rPr>
          <w:rFonts w:asciiTheme="minorHAnsi" w:hAnsiTheme="minorHAnsi" w:cstheme="minorHAnsi"/>
        </w:rPr>
        <w:t>wobec braku przewidzenia w uchwale możliwości złożenia</w:t>
      </w:r>
      <w:r>
        <w:rPr>
          <w:rFonts w:asciiTheme="minorHAnsi" w:hAnsiTheme="minorHAnsi" w:cstheme="minorHAnsi"/>
        </w:rPr>
        <w:t xml:space="preserve"> wniosku w innej formie</w:t>
      </w:r>
      <w:r w:rsidR="00695CBA">
        <w:rPr>
          <w:rFonts w:asciiTheme="minorHAnsi" w:hAnsiTheme="minorHAnsi" w:cstheme="minorHAnsi"/>
        </w:rPr>
        <w:t>.</w:t>
      </w:r>
      <w:r w:rsidR="007152B5">
        <w:rPr>
          <w:rFonts w:asciiTheme="minorHAnsi" w:hAnsiTheme="minorHAnsi" w:cstheme="minorHAnsi"/>
        </w:rPr>
        <w:t xml:space="preserve"> Stąd stwierdzenie nieważności załącznika Nr 4 </w:t>
      </w:r>
      <w:r w:rsidR="002632FA">
        <w:rPr>
          <w:rFonts w:asciiTheme="minorHAnsi" w:hAnsiTheme="minorHAnsi" w:cstheme="minorHAnsi"/>
        </w:rPr>
        <w:br/>
      </w:r>
      <w:bookmarkStart w:id="0" w:name="_GoBack"/>
      <w:bookmarkEnd w:id="0"/>
      <w:r w:rsidR="007152B5">
        <w:rPr>
          <w:rFonts w:asciiTheme="minorHAnsi" w:hAnsiTheme="minorHAnsi" w:cstheme="minorHAnsi"/>
        </w:rPr>
        <w:t>do Regulaminu.</w:t>
      </w:r>
    </w:p>
    <w:p w:rsidR="00192B0E" w:rsidRDefault="00192B0E" w:rsidP="009E3698">
      <w:pPr>
        <w:tabs>
          <w:tab w:val="left" w:pos="851"/>
        </w:tabs>
        <w:suppressAutoHyphens/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Przyjęta regulacja, zakwestionowana w niniejszym orzeczeniu, powoduje że nauczyciel spełniający wymagania merytoryczne do otrzymania świadczenia zostanie pozbawiony tegoż świadczenia wyłącznie na mocy uchwały i wyłącznie z powodu złożenia wniosku na innym niż ustalony formularz.</w:t>
      </w:r>
      <w:r w:rsidR="007152B5">
        <w:rPr>
          <w:rFonts w:asciiTheme="minorHAnsi" w:hAnsiTheme="minorHAnsi" w:cstheme="minorHAnsi"/>
        </w:rPr>
        <w:t xml:space="preserve"> </w:t>
      </w:r>
    </w:p>
    <w:p w:rsidR="00192B0E" w:rsidRDefault="00192B0E" w:rsidP="009E3698">
      <w:pPr>
        <w:suppressAutoHyphens/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na uwadze powyższe, stwierdzenie nieważności przedmiotowej </w:t>
      </w:r>
      <w:r>
        <w:rPr>
          <w:rFonts w:asciiTheme="minorHAnsi" w:hAnsiTheme="minorHAnsi" w:cstheme="minorHAnsi"/>
          <w:bCs/>
        </w:rPr>
        <w:t xml:space="preserve">uchwały </w:t>
      </w:r>
      <w:r>
        <w:rPr>
          <w:rFonts w:asciiTheme="minorHAnsi" w:hAnsiTheme="minorHAnsi" w:cstheme="minorHAnsi"/>
        </w:rPr>
        <w:t xml:space="preserve">Rady </w:t>
      </w:r>
      <w:r w:rsidR="009B4FA2">
        <w:rPr>
          <w:rFonts w:asciiTheme="minorHAnsi" w:hAnsiTheme="minorHAnsi" w:cstheme="minorHAnsi"/>
        </w:rPr>
        <w:t>Gminy</w:t>
      </w:r>
      <w:r>
        <w:rPr>
          <w:rFonts w:asciiTheme="minorHAnsi" w:hAnsiTheme="minorHAnsi" w:cstheme="minorHAnsi"/>
        </w:rPr>
        <w:t>, we wskazanej w petitum części, jest w pełni uzasadnione.</w:t>
      </w:r>
    </w:p>
    <w:p w:rsidR="00192B0E" w:rsidRDefault="00192B0E" w:rsidP="009E3698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niniejsze rozstrzygnięcie nadzorcze </w:t>
      </w:r>
      <w:r w:rsidR="006C2CD4">
        <w:rPr>
          <w:rFonts w:asciiTheme="minorHAnsi" w:hAnsiTheme="minorHAnsi" w:cstheme="minorHAnsi"/>
        </w:rPr>
        <w:t xml:space="preserve">Gminie </w:t>
      </w:r>
      <w:r>
        <w:rPr>
          <w:rFonts w:asciiTheme="minorHAnsi" w:hAnsiTheme="minorHAnsi" w:cstheme="minorHAnsi"/>
        </w:rPr>
        <w:t xml:space="preserve">przysługuje skarga do Wojewódzkiego Sądu Administracyjnego w Warszawie w terminie 30 dni od daty jego doręczenia, wnoszona </w:t>
      </w:r>
      <w:r w:rsidR="002632F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pośrednictwem organu, który skarżone orzeczenie wydał.</w:t>
      </w:r>
    </w:p>
    <w:p w:rsidR="00C7343A" w:rsidRPr="006E21B4" w:rsidRDefault="00192B0E" w:rsidP="009E3698">
      <w:pPr>
        <w:pStyle w:val="Tekstpodstawowy"/>
        <w:spacing w:before="120" w:after="120" w:line="240" w:lineRule="auto"/>
        <w:ind w:firstLine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Informuję, że rozstrzygnięcie nadzorcze wstrzymuje wykonanie uchwały z mocy prawa, w części objętej orzeczeniem, z dniem jego doręczenia.</w:t>
      </w:r>
    </w:p>
    <w:p w:rsidR="00C7343A" w:rsidRPr="009E3698" w:rsidRDefault="00C7343A" w:rsidP="009E3698">
      <w:pPr>
        <w:spacing w:before="120" w:after="120"/>
        <w:jc w:val="right"/>
        <w:rPr>
          <w:rFonts w:ascii="Calibri" w:hAnsi="Calibri" w:cs="Calibri"/>
        </w:rPr>
      </w:pPr>
    </w:p>
    <w:p w:rsidR="00452FF8" w:rsidRPr="009E3698" w:rsidRDefault="00452FF8" w:rsidP="009E3698">
      <w:pPr>
        <w:spacing w:before="120" w:after="120"/>
        <w:jc w:val="right"/>
        <w:rPr>
          <w:rFonts w:ascii="Calibri" w:hAnsi="Calibri" w:cs="Calibri"/>
          <w:i/>
        </w:rPr>
      </w:pPr>
      <w:r w:rsidRPr="009E3698">
        <w:rPr>
          <w:rFonts w:ascii="Calibri" w:hAnsi="Calibri" w:cs="Calibri"/>
        </w:rPr>
        <w:t>Wojewoda Mazowiecki:</w:t>
      </w:r>
      <w:r w:rsidRPr="009E3698">
        <w:rPr>
          <w:rFonts w:ascii="Calibri" w:hAnsi="Calibri" w:cs="Calibri"/>
        </w:rPr>
        <w:br/>
      </w:r>
      <w:r w:rsidRPr="009E3698">
        <w:rPr>
          <w:rFonts w:ascii="Calibri" w:hAnsi="Calibri" w:cs="Calibri"/>
          <w:i/>
        </w:rPr>
        <w:t>Zdzisław Sipiera</w:t>
      </w:r>
    </w:p>
    <w:sectPr w:rsidR="00452FF8" w:rsidRPr="009E3698" w:rsidSect="00452FF8">
      <w:footerReference w:type="default" r:id="rId10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AA" w:rsidRDefault="005B57AA" w:rsidP="00457F25">
      <w:r>
        <w:separator/>
      </w:r>
    </w:p>
  </w:endnote>
  <w:endnote w:type="continuationSeparator" w:id="0">
    <w:p w:rsidR="005B57AA" w:rsidRDefault="005B57AA" w:rsidP="0045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62153"/>
      <w:docPartObj>
        <w:docPartGallery w:val="Page Numbers (Bottom of Page)"/>
        <w:docPartUnique/>
      </w:docPartObj>
    </w:sdtPr>
    <w:sdtEndPr/>
    <w:sdtContent>
      <w:p w:rsidR="00457F25" w:rsidRDefault="00457F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2FA">
          <w:rPr>
            <w:noProof/>
          </w:rPr>
          <w:t>3</w:t>
        </w:r>
        <w:r>
          <w:fldChar w:fldCharType="end"/>
        </w:r>
      </w:p>
    </w:sdtContent>
  </w:sdt>
  <w:p w:rsidR="00457F25" w:rsidRDefault="00457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AA" w:rsidRDefault="005B57AA" w:rsidP="00457F25">
      <w:r>
        <w:separator/>
      </w:r>
    </w:p>
  </w:footnote>
  <w:footnote w:type="continuationSeparator" w:id="0">
    <w:p w:rsidR="005B57AA" w:rsidRDefault="005B57AA" w:rsidP="0045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BAE"/>
    <w:multiLevelType w:val="multilevel"/>
    <w:tmpl w:val="29143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232B7"/>
    <w:multiLevelType w:val="multilevel"/>
    <w:tmpl w:val="B310F6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5758F7"/>
    <w:multiLevelType w:val="multilevel"/>
    <w:tmpl w:val="ADE6BDB6"/>
    <w:lvl w:ilvl="0">
      <w:start w:val="1"/>
      <w:numFmt w:val="decimal"/>
      <w:lvlText w:val="%1."/>
      <w:lvlJc w:val="left"/>
      <w:rPr>
        <w:rFonts w:asciiTheme="majorHAnsi" w:eastAsia="Times New Roman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8C7238"/>
    <w:multiLevelType w:val="multilevel"/>
    <w:tmpl w:val="61DC95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4253905"/>
    <w:multiLevelType w:val="hybridMultilevel"/>
    <w:tmpl w:val="066494A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E8"/>
    <w:rsid w:val="000E5B3D"/>
    <w:rsid w:val="00105AE6"/>
    <w:rsid w:val="00130A3B"/>
    <w:rsid w:val="00173A00"/>
    <w:rsid w:val="00174EBF"/>
    <w:rsid w:val="00192B0E"/>
    <w:rsid w:val="001C0C8B"/>
    <w:rsid w:val="001E4BDE"/>
    <w:rsid w:val="002632FA"/>
    <w:rsid w:val="002878D8"/>
    <w:rsid w:val="002F3E5C"/>
    <w:rsid w:val="00327A80"/>
    <w:rsid w:val="0034471F"/>
    <w:rsid w:val="00365AC5"/>
    <w:rsid w:val="00373391"/>
    <w:rsid w:val="003E2EA9"/>
    <w:rsid w:val="004468E6"/>
    <w:rsid w:val="00447391"/>
    <w:rsid w:val="00452FF8"/>
    <w:rsid w:val="00457F25"/>
    <w:rsid w:val="004934C6"/>
    <w:rsid w:val="004A3887"/>
    <w:rsid w:val="004B7286"/>
    <w:rsid w:val="004C4F85"/>
    <w:rsid w:val="004E7CC8"/>
    <w:rsid w:val="005B57AA"/>
    <w:rsid w:val="00695CBA"/>
    <w:rsid w:val="006C2CD4"/>
    <w:rsid w:val="006E21B4"/>
    <w:rsid w:val="007152B5"/>
    <w:rsid w:val="00790C97"/>
    <w:rsid w:val="007C76E8"/>
    <w:rsid w:val="007F0051"/>
    <w:rsid w:val="0083661A"/>
    <w:rsid w:val="008541FA"/>
    <w:rsid w:val="00885899"/>
    <w:rsid w:val="008A368B"/>
    <w:rsid w:val="009738A5"/>
    <w:rsid w:val="009B4FA2"/>
    <w:rsid w:val="009E3698"/>
    <w:rsid w:val="009E5443"/>
    <w:rsid w:val="009F4626"/>
    <w:rsid w:val="00A16304"/>
    <w:rsid w:val="00AC0D52"/>
    <w:rsid w:val="00B37042"/>
    <w:rsid w:val="00BC4C9F"/>
    <w:rsid w:val="00BC7184"/>
    <w:rsid w:val="00C2006D"/>
    <w:rsid w:val="00C338B0"/>
    <w:rsid w:val="00C47408"/>
    <w:rsid w:val="00C7343A"/>
    <w:rsid w:val="00CB6F1C"/>
    <w:rsid w:val="00CD7CFF"/>
    <w:rsid w:val="00D73992"/>
    <w:rsid w:val="00DD5772"/>
    <w:rsid w:val="00DE6D92"/>
    <w:rsid w:val="00DF18FD"/>
    <w:rsid w:val="00DF346E"/>
    <w:rsid w:val="00E05E64"/>
    <w:rsid w:val="00E45FCF"/>
    <w:rsid w:val="00EC7252"/>
    <w:rsid w:val="00F24E25"/>
    <w:rsid w:val="00F949C6"/>
    <w:rsid w:val="00FA7251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69AF"/>
  <w15:docId w15:val="{B160228A-64DA-4F8F-BBEE-275FF86A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92B0E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92B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locked/>
    <w:rsid w:val="00192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B0E"/>
    <w:pPr>
      <w:widowControl w:val="0"/>
      <w:shd w:val="clear" w:color="auto" w:fill="FFFFFF"/>
      <w:spacing w:line="331" w:lineRule="exact"/>
      <w:ind w:hanging="280"/>
    </w:pPr>
    <w:rPr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192B0E"/>
  </w:style>
  <w:style w:type="character" w:styleId="Pogrubienie">
    <w:name w:val="Strong"/>
    <w:aliases w:val="Czarny,Interl...,Normalny + 12 pt,Po:  0 pt,Wyrównany do środka"/>
    <w:basedOn w:val="Domylnaczcionkaakapitu"/>
    <w:uiPriority w:val="99"/>
    <w:qFormat/>
    <w:rsid w:val="00192B0E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KursywaOdstpy0pt">
    <w:name w:val="Tekst treści (2) + Kursywa;Odstępy 0 pt"/>
    <w:basedOn w:val="Teksttreci2"/>
    <w:rsid w:val="00FE0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57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F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7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F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3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mrrhaztgltqmfyc4nbwhe3tsnbv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826C-9098-4563-9037-3A85737B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Dorota Bujak</cp:lastModifiedBy>
  <cp:revision>2</cp:revision>
  <cp:lastPrinted>2019-09-05T08:54:00Z</cp:lastPrinted>
  <dcterms:created xsi:type="dcterms:W3CDTF">2019-10-15T08:39:00Z</dcterms:created>
  <dcterms:modified xsi:type="dcterms:W3CDTF">2019-10-15T08:39:00Z</dcterms:modified>
</cp:coreProperties>
</file>