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B5347" w14:textId="77777777" w:rsidR="00841F8B" w:rsidRPr="00234D41" w:rsidRDefault="00841F8B" w:rsidP="00234D41">
      <w:pPr>
        <w:pStyle w:val="Nagwek1"/>
        <w:spacing w:before="1080" w:after="1080"/>
        <w:jc w:val="center"/>
        <w:rPr>
          <w:rFonts w:ascii="Open Sans" w:hAnsi="Open Sans" w:cs="Open Sans"/>
          <w:b/>
          <w:bCs/>
          <w:color w:val="auto"/>
          <w:sz w:val="24"/>
          <w:szCs w:val="24"/>
        </w:rPr>
      </w:pPr>
      <w:r w:rsidRPr="00234D41">
        <w:rPr>
          <w:rFonts w:ascii="Open Sans" w:hAnsi="Open Sans" w:cs="Open Sans"/>
          <w:b/>
          <w:bCs/>
          <w:color w:val="auto"/>
          <w:sz w:val="24"/>
          <w:szCs w:val="24"/>
        </w:rPr>
        <w:t>Załącznik nr 10 do Regulaminu naboru nr FENX.01.01-IW.01-001/24</w:t>
      </w:r>
    </w:p>
    <w:p w14:paraId="0E5F8E6E" w14:textId="6FD369CE" w:rsidR="00841F8B" w:rsidRPr="006F1E80" w:rsidRDefault="00841F8B" w:rsidP="006F1E80">
      <w:pPr>
        <w:spacing w:after="120" w:line="276" w:lineRule="auto"/>
        <w:jc w:val="center"/>
        <w:rPr>
          <w:rFonts w:ascii="Open Sans" w:eastAsiaTheme="majorEastAsia" w:hAnsi="Open Sans" w:cs="Open Sans"/>
          <w:sz w:val="24"/>
          <w:szCs w:val="24"/>
        </w:rPr>
      </w:pPr>
      <w:r w:rsidRPr="006F1E80">
        <w:rPr>
          <w:rFonts w:ascii="Open Sans" w:eastAsiaTheme="majorEastAsia" w:hAnsi="Open Sans" w:cs="Open Sans"/>
          <w:b/>
          <w:bCs/>
          <w:sz w:val="24"/>
          <w:szCs w:val="24"/>
        </w:rPr>
        <w:t xml:space="preserve">RAMOWY </w:t>
      </w:r>
      <w:r w:rsidR="00234D41" w:rsidRPr="006F1E80">
        <w:rPr>
          <w:rFonts w:ascii="Open Sans" w:eastAsiaTheme="majorEastAsia" w:hAnsi="Open Sans" w:cs="Open Sans"/>
          <w:b/>
          <w:bCs/>
          <w:sz w:val="24"/>
          <w:szCs w:val="24"/>
        </w:rPr>
        <w:t>KATALOG KOSZTÓW</w:t>
      </w:r>
      <w:r w:rsidRPr="006F1E80">
        <w:rPr>
          <w:rFonts w:ascii="Open Sans" w:eastAsiaTheme="majorEastAsia" w:hAnsi="Open Sans" w:cs="Open Sans"/>
          <w:b/>
          <w:bCs/>
          <w:sz w:val="24"/>
          <w:szCs w:val="24"/>
        </w:rPr>
        <w:t>/WYDATKÓW</w:t>
      </w:r>
    </w:p>
    <w:p w14:paraId="02E7BC86" w14:textId="77777777" w:rsidR="00841F8B" w:rsidRPr="006F1E80" w:rsidRDefault="00841F8B" w:rsidP="006F1E80">
      <w:pPr>
        <w:spacing w:after="120" w:line="276" w:lineRule="auto"/>
        <w:jc w:val="center"/>
        <w:rPr>
          <w:rFonts w:ascii="Open Sans" w:eastAsiaTheme="majorEastAsia" w:hAnsi="Open Sans" w:cs="Open Sans"/>
          <w:sz w:val="24"/>
          <w:szCs w:val="24"/>
        </w:rPr>
      </w:pPr>
      <w:r w:rsidRPr="006F1E80">
        <w:rPr>
          <w:rFonts w:ascii="Open Sans" w:eastAsiaTheme="majorEastAsia" w:hAnsi="Open Sans" w:cs="Open Sans"/>
          <w:b/>
          <w:bCs/>
          <w:sz w:val="24"/>
          <w:szCs w:val="24"/>
        </w:rPr>
        <w:t>KWALIFIKOWANYCH</w:t>
      </w:r>
    </w:p>
    <w:p w14:paraId="0F381AC1" w14:textId="77777777" w:rsidR="00841F8B" w:rsidRPr="006F1E80" w:rsidRDefault="00841F8B" w:rsidP="006F1E80">
      <w:pPr>
        <w:spacing w:after="120" w:line="276" w:lineRule="auto"/>
        <w:jc w:val="center"/>
        <w:rPr>
          <w:rFonts w:ascii="Open Sans" w:eastAsiaTheme="majorEastAsia" w:hAnsi="Open Sans" w:cs="Open Sans"/>
          <w:sz w:val="24"/>
          <w:szCs w:val="24"/>
        </w:rPr>
      </w:pPr>
    </w:p>
    <w:p w14:paraId="69CA65A9" w14:textId="6E2D571F" w:rsidR="00841F8B" w:rsidRPr="006F1E80" w:rsidRDefault="00841F8B" w:rsidP="006F1E80">
      <w:pPr>
        <w:spacing w:after="120" w:line="276" w:lineRule="auto"/>
        <w:jc w:val="center"/>
        <w:rPr>
          <w:rFonts w:ascii="Open Sans" w:eastAsiaTheme="majorEastAsia" w:hAnsi="Open Sans" w:cs="Open Sans"/>
          <w:b/>
          <w:bCs/>
          <w:sz w:val="24"/>
          <w:szCs w:val="24"/>
        </w:rPr>
      </w:pPr>
      <w:r w:rsidRPr="006F1E80">
        <w:rPr>
          <w:rFonts w:ascii="Open Sans" w:eastAsiaTheme="majorEastAsia" w:hAnsi="Open Sans" w:cs="Open Sans"/>
          <w:b/>
          <w:bCs/>
          <w:sz w:val="24"/>
          <w:szCs w:val="24"/>
        </w:rPr>
        <w:t>Programu Fundusze Europejskie na Infrastrukturę, Klimat,</w:t>
      </w:r>
    </w:p>
    <w:p w14:paraId="14AAEA86" w14:textId="77777777" w:rsidR="00841F8B" w:rsidRPr="006F1E80" w:rsidRDefault="00841F8B" w:rsidP="006F1E80">
      <w:pPr>
        <w:spacing w:after="120" w:line="276" w:lineRule="auto"/>
        <w:jc w:val="center"/>
        <w:rPr>
          <w:rFonts w:ascii="Open Sans" w:eastAsiaTheme="majorEastAsia" w:hAnsi="Open Sans" w:cs="Open Sans"/>
          <w:b/>
          <w:bCs/>
          <w:sz w:val="24"/>
          <w:szCs w:val="24"/>
        </w:rPr>
      </w:pPr>
      <w:r w:rsidRPr="006F1E80">
        <w:rPr>
          <w:rFonts w:ascii="Open Sans" w:eastAsiaTheme="majorEastAsia" w:hAnsi="Open Sans" w:cs="Open Sans"/>
          <w:b/>
          <w:bCs/>
          <w:sz w:val="24"/>
          <w:szCs w:val="24"/>
        </w:rPr>
        <w:t>Środowisko 2021-2027</w:t>
      </w:r>
    </w:p>
    <w:p w14:paraId="7BF3E042" w14:textId="77777777" w:rsidR="00841F8B" w:rsidRPr="006F1E80" w:rsidRDefault="00841F8B" w:rsidP="006F1E80">
      <w:pPr>
        <w:spacing w:after="120" w:line="276" w:lineRule="auto"/>
        <w:jc w:val="center"/>
        <w:rPr>
          <w:rFonts w:ascii="Open Sans" w:eastAsiaTheme="majorEastAsia" w:hAnsi="Open Sans" w:cs="Open Sans"/>
          <w:b/>
          <w:bCs/>
          <w:sz w:val="24"/>
          <w:szCs w:val="24"/>
        </w:rPr>
      </w:pPr>
    </w:p>
    <w:p w14:paraId="55EF2C0D" w14:textId="77777777" w:rsidR="00841F8B" w:rsidRPr="006F1E80" w:rsidRDefault="00841F8B" w:rsidP="006F1E80">
      <w:pPr>
        <w:spacing w:after="120" w:line="276" w:lineRule="auto"/>
        <w:jc w:val="center"/>
        <w:rPr>
          <w:rFonts w:ascii="Open Sans" w:eastAsiaTheme="majorEastAsia" w:hAnsi="Open Sans" w:cs="Open Sans"/>
          <w:b/>
          <w:bCs/>
          <w:sz w:val="24"/>
          <w:szCs w:val="24"/>
        </w:rPr>
      </w:pPr>
      <w:r w:rsidRPr="006F1E80">
        <w:rPr>
          <w:rFonts w:ascii="Open Sans" w:eastAsiaTheme="majorEastAsia" w:hAnsi="Open Sans" w:cs="Open Sans"/>
          <w:b/>
          <w:bCs/>
          <w:sz w:val="24"/>
          <w:szCs w:val="24"/>
        </w:rPr>
        <w:t>Priorytet FENX.01</w:t>
      </w:r>
    </w:p>
    <w:p w14:paraId="5379D41A" w14:textId="77777777" w:rsidR="00841F8B" w:rsidRPr="006F1E80" w:rsidRDefault="00841F8B" w:rsidP="006F1E80">
      <w:pPr>
        <w:spacing w:after="120" w:line="276" w:lineRule="auto"/>
        <w:jc w:val="center"/>
        <w:rPr>
          <w:rFonts w:ascii="Open Sans" w:eastAsiaTheme="majorEastAsia" w:hAnsi="Open Sans" w:cs="Open Sans"/>
          <w:b/>
          <w:bCs/>
          <w:sz w:val="24"/>
          <w:szCs w:val="24"/>
        </w:rPr>
      </w:pPr>
      <w:r w:rsidRPr="006F1E80">
        <w:rPr>
          <w:rFonts w:ascii="Open Sans" w:eastAsiaTheme="majorEastAsia" w:hAnsi="Open Sans" w:cs="Open Sans"/>
          <w:b/>
          <w:bCs/>
          <w:sz w:val="24"/>
          <w:szCs w:val="24"/>
        </w:rPr>
        <w:t>Wsparcie sektorów energetyka i środowisko</w:t>
      </w:r>
    </w:p>
    <w:p w14:paraId="03CABA12" w14:textId="77777777" w:rsidR="00841F8B" w:rsidRPr="006F1E80" w:rsidRDefault="00841F8B" w:rsidP="006F1E80">
      <w:pPr>
        <w:spacing w:after="120" w:line="276" w:lineRule="auto"/>
        <w:jc w:val="center"/>
        <w:rPr>
          <w:rFonts w:ascii="Open Sans" w:eastAsiaTheme="majorEastAsia" w:hAnsi="Open Sans" w:cs="Open Sans"/>
          <w:b/>
          <w:bCs/>
          <w:sz w:val="24"/>
          <w:szCs w:val="24"/>
        </w:rPr>
      </w:pPr>
      <w:r w:rsidRPr="006F1E80">
        <w:rPr>
          <w:rFonts w:ascii="Open Sans" w:eastAsiaTheme="majorEastAsia" w:hAnsi="Open Sans" w:cs="Open Sans"/>
          <w:b/>
          <w:bCs/>
          <w:sz w:val="24"/>
          <w:szCs w:val="24"/>
        </w:rPr>
        <w:t>z Funduszu Spójności</w:t>
      </w:r>
    </w:p>
    <w:p w14:paraId="1351091A" w14:textId="77777777" w:rsidR="00841F8B" w:rsidRPr="006F1E80" w:rsidRDefault="00841F8B" w:rsidP="006F1E80">
      <w:pPr>
        <w:spacing w:after="120" w:line="276" w:lineRule="auto"/>
        <w:jc w:val="center"/>
        <w:rPr>
          <w:rFonts w:ascii="Open Sans" w:eastAsiaTheme="majorEastAsia" w:hAnsi="Open Sans" w:cs="Open Sans"/>
          <w:b/>
          <w:bCs/>
          <w:sz w:val="24"/>
          <w:szCs w:val="24"/>
        </w:rPr>
      </w:pPr>
    </w:p>
    <w:p w14:paraId="26D6E5A4" w14:textId="77777777" w:rsidR="00841F8B" w:rsidRPr="006F1E80" w:rsidRDefault="00841F8B" w:rsidP="006F1E80">
      <w:pPr>
        <w:spacing w:after="120" w:line="276" w:lineRule="auto"/>
        <w:jc w:val="center"/>
        <w:rPr>
          <w:rFonts w:ascii="Open Sans" w:eastAsiaTheme="majorEastAsia" w:hAnsi="Open Sans" w:cs="Open Sans"/>
          <w:b/>
          <w:bCs/>
          <w:sz w:val="24"/>
          <w:szCs w:val="24"/>
        </w:rPr>
      </w:pPr>
      <w:r w:rsidRPr="006F1E80">
        <w:rPr>
          <w:rFonts w:ascii="Open Sans" w:eastAsiaTheme="majorEastAsia" w:hAnsi="Open Sans" w:cs="Open Sans"/>
          <w:b/>
          <w:bCs/>
          <w:sz w:val="24"/>
          <w:szCs w:val="24"/>
        </w:rPr>
        <w:t>Działanie FENX.01.01 Efektywność energetyczna</w:t>
      </w:r>
    </w:p>
    <w:p w14:paraId="2ED7F6A3" w14:textId="705E95E7" w:rsidR="00234D41" w:rsidRDefault="00841F8B" w:rsidP="00234D41">
      <w:pPr>
        <w:spacing w:before="1800" w:after="120" w:line="276" w:lineRule="auto"/>
        <w:jc w:val="center"/>
        <w:rPr>
          <w:rFonts w:ascii="Open Sans" w:eastAsiaTheme="majorEastAsia" w:hAnsi="Open Sans" w:cs="Open Sans"/>
          <w:b/>
          <w:bCs/>
          <w:sz w:val="24"/>
          <w:szCs w:val="24"/>
        </w:rPr>
      </w:pPr>
      <w:r w:rsidRPr="006F1E80">
        <w:rPr>
          <w:rFonts w:ascii="Open Sans" w:eastAsiaTheme="majorEastAsia" w:hAnsi="Open Sans" w:cs="Open Sans"/>
          <w:b/>
          <w:bCs/>
          <w:sz w:val="24"/>
          <w:szCs w:val="24"/>
        </w:rPr>
        <w:t>Warszawa, styczeń 2024 r.</w:t>
      </w:r>
    </w:p>
    <w:p w14:paraId="77A9B441" w14:textId="77777777" w:rsidR="00234D41" w:rsidRDefault="00234D41">
      <w:pPr>
        <w:rPr>
          <w:rFonts w:ascii="Open Sans" w:eastAsiaTheme="majorEastAsia" w:hAnsi="Open Sans" w:cs="Open Sans"/>
          <w:b/>
          <w:bCs/>
          <w:sz w:val="24"/>
          <w:szCs w:val="24"/>
        </w:rPr>
      </w:pPr>
      <w:r>
        <w:rPr>
          <w:rFonts w:ascii="Open Sans" w:eastAsiaTheme="majorEastAsia" w:hAnsi="Open Sans" w:cs="Open Sans"/>
          <w:b/>
          <w:bCs/>
          <w:sz w:val="24"/>
          <w:szCs w:val="24"/>
        </w:rPr>
        <w:br w:type="page"/>
      </w:r>
    </w:p>
    <w:p w14:paraId="41D64152"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lastRenderedPageBreak/>
        <w:t>NARODOWY FUNDUSZ OCHRONY ŚRODOWISKA I GOSPODARKI WODNEJ</w:t>
      </w:r>
    </w:p>
    <w:p w14:paraId="5394B191" w14:textId="77777777" w:rsidR="00841F8B" w:rsidRPr="006F1E80" w:rsidRDefault="00841F8B" w:rsidP="006F1E80">
      <w:pPr>
        <w:pBdr>
          <w:top w:val="single" w:sz="4" w:space="1" w:color="auto"/>
          <w:left w:val="single" w:sz="4" w:space="4" w:color="auto"/>
          <w:bottom w:val="single" w:sz="4" w:space="1" w:color="auto"/>
          <w:right w:val="single" w:sz="4" w:space="4" w:color="auto"/>
        </w:pBdr>
        <w:spacing w:after="120" w:line="276" w:lineRule="auto"/>
        <w:rPr>
          <w:rFonts w:ascii="Open Sans" w:eastAsiaTheme="majorEastAsia" w:hAnsi="Open Sans" w:cs="Open Sans"/>
          <w:b/>
          <w:bCs/>
        </w:rPr>
      </w:pPr>
      <w:r w:rsidRPr="006F1E80">
        <w:rPr>
          <w:rFonts w:ascii="Open Sans" w:eastAsiaTheme="majorEastAsia" w:hAnsi="Open Sans" w:cs="Open Sans"/>
          <w:b/>
          <w:bCs/>
        </w:rPr>
        <w:t>Wstęp</w:t>
      </w:r>
    </w:p>
    <w:p w14:paraId="0A6CEC29" w14:textId="5C742BB5"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Katalog obejmuje zakres robót stanowiących integralną część projektu, służących do osiągnięcia celu projektu w postaci oszczędności energii, redukcji emisji CO2, osiągnięcia lepszego standardu energetycznego budynku i podwyższenia standardu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 xml:space="preserve"> – użytkowego budynku, uwzględnionych w audycie energetycznym </w:t>
      </w:r>
      <w:proofErr w:type="spellStart"/>
      <w:r w:rsidRPr="006F1E80">
        <w:rPr>
          <w:rFonts w:ascii="Open Sans" w:eastAsiaTheme="majorEastAsia" w:hAnsi="Open Sans" w:cs="Open Sans"/>
        </w:rPr>
        <w:t>ax-ante</w:t>
      </w:r>
      <w:proofErr w:type="spellEnd"/>
      <w:r w:rsidRPr="006F1E80">
        <w:rPr>
          <w:rFonts w:ascii="Open Sans" w:eastAsiaTheme="majorEastAsia" w:hAnsi="Open Sans" w:cs="Open Sans"/>
        </w:rPr>
        <w:t xml:space="preserve"> i wskazanych we wniosku o dofinansowanie w</w:t>
      </w:r>
      <w:r w:rsidR="00802665" w:rsidRPr="006F1E80">
        <w:rPr>
          <w:rFonts w:ascii="Open Sans" w:eastAsiaTheme="majorEastAsia" w:hAnsi="Open Sans" w:cs="Open Sans"/>
        </w:rPr>
        <w:t xml:space="preserve"> </w:t>
      </w:r>
      <w:r w:rsidRPr="006F1E80">
        <w:rPr>
          <w:rFonts w:ascii="Open Sans" w:eastAsiaTheme="majorEastAsia" w:hAnsi="Open Sans" w:cs="Open Sans"/>
        </w:rPr>
        <w:t xml:space="preserve">ramach Programu Fundusze Europejskie na Infrastrukturę, Klimat, Środowisko 2021-2027. </w:t>
      </w:r>
    </w:p>
    <w:p w14:paraId="0FAC8444"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Wszystkie prace mające wpływ na zapotrzebowanie budynku na energię końcową powinny zostać wykonane zgodnie z Audytem energetycznym ex-ante, dokumentacją projektową (o ile była wymagana w ogólnych przepisach prawa budowlanego) i wymaganiami NFOŚiGW. </w:t>
      </w:r>
    </w:p>
    <w:p w14:paraId="685ACDFD" w14:textId="47019E78"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Zmodernizowane obiekty powinny spełniać standardy określone w rozporządzeniu Ministra Infrastruktury z dnia 12 kwietnia 2002 r. w sprawie warunków technicznych, jakim powinny odpowiadać budynki i ich usytuowanie (Obwieszczenie Ministra Rozwoju </w:t>
      </w:r>
      <w:r w:rsidR="006F1E80">
        <w:rPr>
          <w:rFonts w:ascii="Open Sans" w:eastAsiaTheme="majorEastAsia" w:hAnsi="Open Sans" w:cs="Open Sans"/>
        </w:rPr>
        <w:br/>
      </w:r>
      <w:r w:rsidRPr="006F1E80">
        <w:rPr>
          <w:rFonts w:ascii="Open Sans" w:eastAsiaTheme="majorEastAsia" w:hAnsi="Open Sans" w:cs="Open Sans"/>
        </w:rPr>
        <w:t>i Technologii z dnia 15 kwietnia 2022 r. w sprawie ogłoszenia jednolitego tekstu rozporządzenia Ministra Infrastruktury w</w:t>
      </w:r>
      <w:r w:rsidR="00802665" w:rsidRPr="006F1E80">
        <w:rPr>
          <w:rFonts w:ascii="Open Sans" w:eastAsiaTheme="majorEastAsia" w:hAnsi="Open Sans" w:cs="Open Sans"/>
        </w:rPr>
        <w:t xml:space="preserve"> </w:t>
      </w:r>
      <w:r w:rsidRPr="006F1E80">
        <w:rPr>
          <w:rFonts w:ascii="Open Sans" w:eastAsiaTheme="majorEastAsia" w:hAnsi="Open Sans" w:cs="Open Sans"/>
        </w:rPr>
        <w:t xml:space="preserve">sprawie warunków technicznych, jakim powinny odpowiadać budynki i ich usytuowanie - Dz.U. z dnia 9 czerwca 2022 r., poz.1225) oraz w normach tam przywołanych. </w:t>
      </w:r>
    </w:p>
    <w:p w14:paraId="7E9D3FF8"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Podatek od towarów i usług (VAT) jest kosztem kwalifikowanym tylko wówczas, gdy jest on faktycznie i</w:t>
      </w:r>
      <w:r w:rsidR="00802665" w:rsidRPr="006F1E80">
        <w:rPr>
          <w:rFonts w:ascii="Open Sans" w:eastAsiaTheme="majorEastAsia" w:hAnsi="Open Sans" w:cs="Open Sans"/>
        </w:rPr>
        <w:t xml:space="preserve"> </w:t>
      </w:r>
      <w:r w:rsidRPr="006F1E80">
        <w:rPr>
          <w:rFonts w:ascii="Open Sans" w:eastAsiaTheme="majorEastAsia" w:hAnsi="Open Sans" w:cs="Open Sans"/>
        </w:rPr>
        <w:t>ostatecznie ponoszony przez Beneficjenta, a Beneficjent nie ma prawnej możliwości odliczenia podatku naliczonego od podatku należnego w jakiejkolwiek części, zgodnie z przepisami ustawy o</w:t>
      </w:r>
      <w:r w:rsidR="00802665" w:rsidRPr="006F1E80">
        <w:rPr>
          <w:rFonts w:ascii="Open Sans" w:eastAsiaTheme="majorEastAsia" w:hAnsi="Open Sans" w:cs="Open Sans"/>
        </w:rPr>
        <w:t xml:space="preserve"> </w:t>
      </w:r>
      <w:r w:rsidRPr="006F1E80">
        <w:rPr>
          <w:rFonts w:ascii="Open Sans" w:eastAsiaTheme="majorEastAsia" w:hAnsi="Open Sans" w:cs="Open Sans"/>
        </w:rPr>
        <w:t>podatku od towarów i usług. Podatek VAT, który można odliczyć, nie może być uznany zakwalifikowany, nawet jeżeli nie został faktycznie odzyskany przez Beneficjenta. Oznacza to, że</w:t>
      </w:r>
      <w:r w:rsidR="00802665" w:rsidRPr="006F1E80">
        <w:rPr>
          <w:rFonts w:ascii="Open Sans" w:eastAsiaTheme="majorEastAsia" w:hAnsi="Open Sans" w:cs="Open Sans"/>
        </w:rPr>
        <w:t xml:space="preserve"> </w:t>
      </w:r>
      <w:r w:rsidRPr="006F1E80">
        <w:rPr>
          <w:rFonts w:ascii="Open Sans" w:eastAsiaTheme="majorEastAsia" w:hAnsi="Open Sans" w:cs="Open Sans"/>
        </w:rPr>
        <w:t>w</w:t>
      </w:r>
      <w:r w:rsidR="00802665" w:rsidRPr="006F1E80">
        <w:rPr>
          <w:rFonts w:ascii="Open Sans" w:eastAsiaTheme="majorEastAsia" w:hAnsi="Open Sans" w:cs="Open Sans"/>
        </w:rPr>
        <w:t xml:space="preserve"> </w:t>
      </w:r>
      <w:r w:rsidRPr="006F1E80">
        <w:rPr>
          <w:rFonts w:ascii="Open Sans" w:eastAsiaTheme="majorEastAsia" w:hAnsi="Open Sans" w:cs="Open Sans"/>
        </w:rPr>
        <w:t>przypadkach, gdy Beneficjent może odliczyć podatek VAT, ale rezygnuje z tej możliwości, podatek VAT nie jest kosztem kwalifikowanym.</w:t>
      </w:r>
    </w:p>
    <w:p w14:paraId="71ABFDDC"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Wyliczenia bilansowe, energetyczne i emisyjne, powinny być zgodne z ogólnymi przepisami prawa budowlanego, powinny być przeprowadzone zgodnie z zapisami Rozporządzenia Ministra Infrastruktury i Rozwoju z dnia 27 lutego 2015 r. w sprawie metodologii wyznaczania charakterystyki energetycznej budynku lub części budynku oraz świadectw charakterystyki energetycznej (wraz z</w:t>
      </w:r>
      <w:r w:rsidR="00802665" w:rsidRPr="006F1E80">
        <w:rPr>
          <w:rFonts w:ascii="Open Sans" w:eastAsiaTheme="majorEastAsia" w:hAnsi="Open Sans" w:cs="Open Sans"/>
        </w:rPr>
        <w:t xml:space="preserve"> </w:t>
      </w:r>
      <w:r w:rsidRPr="006F1E80">
        <w:rPr>
          <w:rFonts w:ascii="Open Sans" w:eastAsiaTheme="majorEastAsia" w:hAnsi="Open Sans" w:cs="Open Sans"/>
        </w:rPr>
        <w:t>późniejszymi zmianami – aktualne na czas składania wniosku o dofinansowanie).</w:t>
      </w:r>
    </w:p>
    <w:p w14:paraId="6E36C8FF"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Co do zasady, porównywana ma być charakterystyka energetyczna budynku przed i po modernizacją z uwzględnieniem wybranego przez audytora docelowego scenariusza usprawnień na podstawie audytu energetycznego wykonanego zgodnie z Rozporządzeniem Ministra Infrastruktury z dnia 17 marca 2009 r. (Dz.U. z 2009 r. nr 43, poz. 346) z późn. zm., przy użyciu tej samej metodologii i zasad pracy/obciążenia budynku (liczba użytkowników budynku, ta sama funkcja, ten sam czas pracy oświetlenia wbudowanego, te same wymagania wymian strumieni powietrza itp.). Poprawność prezentowania danych będzie weryfikowana na etapie oceny wniosku o dofinansowanie, na podstawie przygotowanych dokumentów naborowych (opracowanych przez NFOŚiGW – w całości nazywane dalej jako „Audyt energetyczny ex-ante”), które narzucają ujednolicone (w celach umożliwiających wiarygodne porównanie inwestycji pomiędzy sobą) metodologię prezentowania podstawowych parametrów inwestycji.</w:t>
      </w:r>
    </w:p>
    <w:p w14:paraId="46C9C404" w14:textId="77777777" w:rsidR="00841F8B" w:rsidRPr="006F1E80" w:rsidRDefault="00841F8B" w:rsidP="006F1E80">
      <w:pPr>
        <w:spacing w:after="120" w:line="276" w:lineRule="auto"/>
        <w:rPr>
          <w:rFonts w:ascii="Open Sans" w:eastAsiaTheme="majorEastAsia" w:hAnsi="Open Sans" w:cs="Open Sans"/>
        </w:rPr>
      </w:pPr>
    </w:p>
    <w:p w14:paraId="7EF9CF19" w14:textId="77777777" w:rsidR="00841F8B" w:rsidRPr="006F1E80" w:rsidRDefault="00841F8B" w:rsidP="006F1E80">
      <w:pPr>
        <w:pBdr>
          <w:top w:val="single" w:sz="4" w:space="1" w:color="auto"/>
          <w:left w:val="single" w:sz="4" w:space="4" w:color="auto"/>
          <w:bottom w:val="single" w:sz="4" w:space="1" w:color="auto"/>
          <w:right w:val="single" w:sz="4" w:space="4" w:color="auto"/>
        </w:pBdr>
        <w:spacing w:after="120" w:line="276" w:lineRule="auto"/>
        <w:rPr>
          <w:rFonts w:ascii="Open Sans" w:eastAsiaTheme="majorEastAsia" w:hAnsi="Open Sans" w:cs="Open Sans"/>
          <w:b/>
          <w:bCs/>
        </w:rPr>
      </w:pPr>
      <w:r w:rsidRPr="006F1E80">
        <w:rPr>
          <w:rFonts w:ascii="Open Sans" w:eastAsiaTheme="majorEastAsia" w:hAnsi="Open Sans" w:cs="Open Sans"/>
          <w:b/>
          <w:bCs/>
        </w:rPr>
        <w:t>Podstawowe definicje i pojęcia</w:t>
      </w:r>
    </w:p>
    <w:p w14:paraId="508ADF54"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Budynek zabytkowy</w:t>
      </w:r>
      <w:r w:rsidRPr="006F1E80">
        <w:rPr>
          <w:rFonts w:ascii="Open Sans" w:eastAsiaTheme="majorEastAsia" w:hAnsi="Open Sans" w:cs="Open Sans"/>
        </w:rPr>
        <w:t>, jest to budynek wpisany do Rejestru zabytków lub znajdującego się w ewidencji wojewódzkiej lub gminnej, zgodnie z ustawą z dnia 23 lipca 2003 r. o ochronie zabytków i opiece nad zabytkami.</w:t>
      </w:r>
    </w:p>
    <w:p w14:paraId="7AA66D0F" w14:textId="6FBDAADF"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Audyt energetyczny ex-ante</w:t>
      </w:r>
      <w:r w:rsidRPr="006F1E80">
        <w:rPr>
          <w:rFonts w:ascii="Open Sans" w:eastAsiaTheme="majorEastAsia" w:hAnsi="Open Sans" w:cs="Open Sans"/>
        </w:rPr>
        <w:t>, jest to audyt wykonany zgodnie z przyjętą Metodyką sporządzania audytów energetycznych w zakresie głębokiej kompleksowej modernizacji energetycznej budynków finansowanych w ramach Programu Fundusze Europejskie na Infrastrukturę, Klimat, Środowisko 2021-2027, Priorytet FENX.01 Wsparcie sektorów energetyka i środowisko z Funduszu Spójności Działanie FENX.01.01 Efektywność energetyczna, stanowiący załącznik do Regulaminu naboru</w:t>
      </w:r>
      <w:r w:rsidR="003D711B" w:rsidRPr="006F1E80">
        <w:rPr>
          <w:rStyle w:val="Odwoanieprzypisudolnego"/>
          <w:rFonts w:ascii="Open Sans" w:eastAsiaTheme="majorEastAsia" w:hAnsi="Open Sans" w:cs="Open Sans"/>
        </w:rPr>
        <w:footnoteReference w:id="1"/>
      </w:r>
      <w:r w:rsidRPr="006F1E80">
        <w:rPr>
          <w:rFonts w:ascii="Open Sans" w:eastAsiaTheme="majorEastAsia" w:hAnsi="Open Sans" w:cs="Open Sans"/>
        </w:rPr>
        <w:t xml:space="preserve">. </w:t>
      </w:r>
    </w:p>
    <w:p w14:paraId="5DB2C698"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Audyt energetyczny ex-post</w:t>
      </w:r>
      <w:r w:rsidRPr="006F1E80">
        <w:rPr>
          <w:rFonts w:ascii="Open Sans" w:eastAsiaTheme="majorEastAsia" w:hAnsi="Open Sans" w:cs="Open Sans"/>
        </w:rPr>
        <w:t>, jest to audyt powykonawczy, wykonany po zakończeniu realizacji przedsięwzięcia, zgodnie z metodologią przyjętą na etapie audytu ex-ante – wykonanego dla faktycznie zrealizowanych usprawnień na podstawie odebranej dokumentacji powykonawczej</w:t>
      </w:r>
      <w:r w:rsidR="00D41A6E" w:rsidRPr="006F1E80">
        <w:rPr>
          <w:rFonts w:ascii="Open Sans" w:eastAsiaTheme="majorEastAsia" w:hAnsi="Open Sans" w:cs="Open Sans"/>
          <w:vertAlign w:val="superscript"/>
        </w:rPr>
        <w:t>1</w:t>
      </w:r>
      <w:r w:rsidRPr="006F1E80">
        <w:rPr>
          <w:rFonts w:ascii="Open Sans" w:eastAsiaTheme="majorEastAsia" w:hAnsi="Open Sans" w:cs="Open Sans"/>
        </w:rPr>
        <w:t>.</w:t>
      </w:r>
    </w:p>
    <w:p w14:paraId="2E798FA9" w14:textId="5D0AC0CC"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Firma ESCO</w:t>
      </w:r>
      <w:r w:rsidRPr="006F1E80">
        <w:rPr>
          <w:rFonts w:ascii="Open Sans" w:eastAsiaTheme="majorEastAsia" w:hAnsi="Open Sans" w:cs="Open Sans"/>
        </w:rPr>
        <w:t xml:space="preserve">, jest to podmiot, o którym mowa w przepisie art. 7 ust. 4 Ustawy o Efektywności Energetycznej (Obwieszczenie Marszałka Sejmu RP z dnia 14 października 2021 r. w sprawie ogłoszenia jednolitego tekstu ustawy o efektywności energetycznej (Dz.U.2021 poz. 2166)), który realizuje Projekt EPC. Przedsiębiorstwo oszczędzania energii typu ESCO (skrót od Energy Service Company) to firma świadcząca usługi energetyczne lub dostarczająca innych środków poprawy efektywności energetycznej dla użytkownika/odbiorcy energii, biorąc przy tym na siebie pewną część ryzyka finansowego. Zapłata za wykonane usługi jest oparta (w całości lub w części) </w:t>
      </w:r>
      <w:r w:rsidR="006F1E80">
        <w:rPr>
          <w:rFonts w:ascii="Open Sans" w:eastAsiaTheme="majorEastAsia" w:hAnsi="Open Sans" w:cs="Open Sans"/>
        </w:rPr>
        <w:br/>
      </w:r>
      <w:r w:rsidRPr="006F1E80">
        <w:rPr>
          <w:rFonts w:ascii="Open Sans" w:eastAsiaTheme="majorEastAsia" w:hAnsi="Open Sans" w:cs="Open Sans"/>
        </w:rPr>
        <w:t xml:space="preserve">na osiągnięciu poprawy efektywności energetycznej oraz spełnieniu innych uzgodnionych kryteriów efektywności. </w:t>
      </w:r>
    </w:p>
    <w:p w14:paraId="08890317" w14:textId="24293CB5"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Umowa EPC</w:t>
      </w:r>
      <w:r w:rsidRPr="006F1E80">
        <w:rPr>
          <w:rFonts w:ascii="Open Sans" w:eastAsiaTheme="majorEastAsia" w:hAnsi="Open Sans" w:cs="Open Sans"/>
        </w:rPr>
        <w:t xml:space="preserve">, jest to umowa o poprawę efektywności energetycznej w rozumieniu przepisu art. 7 ust. 2 Ustawy o Efektywności Energetycznej. Umowy z gwarancją oszczędności tzw. umowy EPC (ang. Energy Performance </w:t>
      </w:r>
      <w:proofErr w:type="spellStart"/>
      <w:r w:rsidRPr="006F1E80">
        <w:rPr>
          <w:rFonts w:ascii="Open Sans" w:eastAsiaTheme="majorEastAsia" w:hAnsi="Open Sans" w:cs="Open Sans"/>
        </w:rPr>
        <w:t>Contracting</w:t>
      </w:r>
      <w:proofErr w:type="spellEnd"/>
      <w:r w:rsidRPr="006F1E80">
        <w:rPr>
          <w:rFonts w:ascii="Open Sans" w:eastAsiaTheme="majorEastAsia" w:hAnsi="Open Sans" w:cs="Open Sans"/>
        </w:rPr>
        <w:t xml:space="preserve">) opierają się </w:t>
      </w:r>
      <w:r w:rsidR="006F1E80">
        <w:rPr>
          <w:rFonts w:ascii="Open Sans" w:eastAsiaTheme="majorEastAsia" w:hAnsi="Open Sans" w:cs="Open Sans"/>
        </w:rPr>
        <w:br/>
      </w:r>
      <w:r w:rsidRPr="006F1E80">
        <w:rPr>
          <w:rFonts w:ascii="Open Sans" w:eastAsiaTheme="majorEastAsia" w:hAnsi="Open Sans" w:cs="Open Sans"/>
        </w:rPr>
        <w:t>o zasadę zwrotu kosztów inwestycji bezpośrednio z zaoszczędzonych kosztów energii.</w:t>
      </w:r>
    </w:p>
    <w:p w14:paraId="0B4841C8"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GOE</w:t>
      </w:r>
      <w:r w:rsidRPr="006F1E80">
        <w:rPr>
          <w:rFonts w:ascii="Open Sans" w:eastAsiaTheme="majorEastAsia" w:hAnsi="Open Sans" w:cs="Open Sans"/>
        </w:rPr>
        <w:t xml:space="preserve"> - Gwarantowana Oszczędność Energii przez firmę ESCO w Umowie EPC.</w:t>
      </w:r>
    </w:p>
    <w:p w14:paraId="6E104083" w14:textId="0093322C"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Zasada DNSH</w:t>
      </w:r>
      <w:r w:rsidRPr="006F1E80">
        <w:rPr>
          <w:rFonts w:ascii="Open Sans" w:eastAsiaTheme="majorEastAsia" w:hAnsi="Open Sans" w:cs="Open Sans"/>
        </w:rPr>
        <w:t xml:space="preserve"> (ang. Do No </w:t>
      </w:r>
      <w:proofErr w:type="spellStart"/>
      <w:r w:rsidRPr="006F1E80">
        <w:rPr>
          <w:rFonts w:ascii="Open Sans" w:eastAsiaTheme="majorEastAsia" w:hAnsi="Open Sans" w:cs="Open Sans"/>
        </w:rPr>
        <w:t>Significant</w:t>
      </w:r>
      <w:proofErr w:type="spellEnd"/>
      <w:r w:rsidRPr="006F1E80">
        <w:rPr>
          <w:rFonts w:ascii="Open Sans" w:eastAsiaTheme="majorEastAsia" w:hAnsi="Open Sans" w:cs="Open Sans"/>
        </w:rPr>
        <w:t xml:space="preserve"> </w:t>
      </w:r>
      <w:proofErr w:type="spellStart"/>
      <w:r w:rsidRPr="006F1E80">
        <w:rPr>
          <w:rFonts w:ascii="Open Sans" w:eastAsiaTheme="majorEastAsia" w:hAnsi="Open Sans" w:cs="Open Sans"/>
        </w:rPr>
        <w:t>Harm</w:t>
      </w:r>
      <w:proofErr w:type="spellEnd"/>
      <w:r w:rsidRPr="006F1E80">
        <w:rPr>
          <w:rFonts w:ascii="Open Sans" w:eastAsiaTheme="majorEastAsia" w:hAnsi="Open Sans" w:cs="Open Sans"/>
        </w:rPr>
        <w:t xml:space="preserve">), jest to zasada „nie czyń poważnych szkód” </w:t>
      </w:r>
      <w:r w:rsidR="006F1E80">
        <w:rPr>
          <w:rFonts w:ascii="Open Sans" w:eastAsiaTheme="majorEastAsia" w:hAnsi="Open Sans" w:cs="Open Sans"/>
        </w:rPr>
        <w:br/>
      </w:r>
      <w:r w:rsidRPr="006F1E80">
        <w:rPr>
          <w:rFonts w:ascii="Open Sans" w:eastAsiaTheme="majorEastAsia" w:hAnsi="Open Sans" w:cs="Open Sans"/>
        </w:rPr>
        <w:t>i oznacza niewspieranie ani nieprowadzenie działalności gospodarczej, która czyni znaczące szkody dla któregokolwiek z celów środowiskowych, w stosownych przypadkach, w rozumieniu art. 17 rozporządzenia Parlamentu Europejskiego i Rady (UE) 2020/852 z dnia 18 czerwca 2020 r. w sprawie ustanowienia ram ułatwiających zrównoważone inwestycje, zmieniające rozporządzenie (UE) 2019/2088 (Dz. Urz. UE L 198 z 22.6.2020, s. 13). Zgodność z zasadą DNSH oceniana jest w</w:t>
      </w:r>
      <w:r w:rsidR="00802665" w:rsidRPr="006F1E80">
        <w:rPr>
          <w:rFonts w:ascii="Open Sans" w:eastAsiaTheme="majorEastAsia" w:hAnsi="Open Sans" w:cs="Open Sans"/>
        </w:rPr>
        <w:t xml:space="preserve"> </w:t>
      </w:r>
      <w:r w:rsidRPr="006F1E80">
        <w:rPr>
          <w:rFonts w:ascii="Open Sans" w:eastAsiaTheme="majorEastAsia" w:hAnsi="Open Sans" w:cs="Open Sans"/>
        </w:rPr>
        <w:t>odniesieniu do następujących sześciu celów środowiskowych, wynikających z art. 9 ww. rozporządzenia:</w:t>
      </w:r>
    </w:p>
    <w:p w14:paraId="0087DDE6"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łagodzenie zmian klimatu;</w:t>
      </w:r>
    </w:p>
    <w:p w14:paraId="7758813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adaptacja do zmian klimatu;</w:t>
      </w:r>
    </w:p>
    <w:p w14:paraId="196211D2"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odpowiednie użytkowanie i ochrona zasobów wodnych i morskich;</w:t>
      </w:r>
    </w:p>
    <w:p w14:paraId="62526773"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gospodarka o obiegu zamkniętym, w tym zapobieganie powstawaniu odpadów i recykling;</w:t>
      </w:r>
    </w:p>
    <w:p w14:paraId="0E578F88"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zapobieganie i kontrola zanieczyszczeń powietrza, wody lub ziemi;</w:t>
      </w:r>
    </w:p>
    <w:p w14:paraId="502A0555"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ochrona i odtwarzanie bioróżnorodności i ekosystemów.</w:t>
      </w:r>
    </w:p>
    <w:p w14:paraId="771B7F2B"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Działalność gospodarcza może kwalifikować się jako wnosząca istotny wkład w realizację jednego z sześciu celów środowiskowych oraz spełniać zasadę „nie czyń znaczącej szkody” względem pozostałych celów środowiskowych.</w:t>
      </w:r>
    </w:p>
    <w:p w14:paraId="74EA8709" w14:textId="77777777" w:rsidR="00841F8B" w:rsidRPr="006F1E80" w:rsidRDefault="00841F8B" w:rsidP="006F1E80">
      <w:pPr>
        <w:spacing w:after="120" w:line="276" w:lineRule="auto"/>
        <w:rPr>
          <w:rFonts w:ascii="Open Sans" w:eastAsiaTheme="majorEastAsia" w:hAnsi="Open Sans" w:cs="Open Sans"/>
        </w:rPr>
      </w:pPr>
    </w:p>
    <w:p w14:paraId="644B4C31" w14:textId="77777777" w:rsidR="00841F8B" w:rsidRPr="006F1E80" w:rsidRDefault="00841F8B" w:rsidP="006F1E80">
      <w:pPr>
        <w:pBdr>
          <w:top w:val="single" w:sz="4" w:space="1" w:color="auto"/>
          <w:left w:val="single" w:sz="4" w:space="4" w:color="auto"/>
          <w:bottom w:val="single" w:sz="4" w:space="1" w:color="auto"/>
          <w:right w:val="single" w:sz="4" w:space="4" w:color="auto"/>
        </w:pBdr>
        <w:spacing w:after="120" w:line="276" w:lineRule="auto"/>
        <w:rPr>
          <w:rFonts w:ascii="Open Sans" w:eastAsiaTheme="majorEastAsia" w:hAnsi="Open Sans" w:cs="Open Sans"/>
          <w:b/>
          <w:bCs/>
        </w:rPr>
      </w:pPr>
      <w:r w:rsidRPr="006F1E80">
        <w:rPr>
          <w:rFonts w:ascii="Open Sans" w:eastAsiaTheme="majorEastAsia" w:hAnsi="Open Sans" w:cs="Open Sans"/>
          <w:b/>
          <w:bCs/>
        </w:rPr>
        <w:t xml:space="preserve">Katalog Kosztów kwalifikowanych prac wynikających z opracowania audytu energetycznego ex-ante </w:t>
      </w:r>
    </w:p>
    <w:p w14:paraId="37B6F19B"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1. Ściany zewnętrzne.</w:t>
      </w:r>
    </w:p>
    <w:p w14:paraId="005FA02E"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(stykające się powietrzem zewnętrznym, niezależnie od rodzaju ściany, stanowiące osłonę bilansową budynku) </w:t>
      </w:r>
    </w:p>
    <w:p w14:paraId="6F90A228" w14:textId="29F87038"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ocieplanie ścian zewnętrznych – technologie ocieplania, w wyniku których uzyskuje się</w:t>
      </w:r>
      <w:r w:rsidR="00802665" w:rsidRPr="006F1E80">
        <w:rPr>
          <w:rFonts w:ascii="Open Sans" w:eastAsiaTheme="majorEastAsia" w:hAnsi="Open Sans" w:cs="Open Sans"/>
        </w:rPr>
        <w:t xml:space="preserve"> </w:t>
      </w:r>
      <w:r w:rsidRPr="006F1E80">
        <w:rPr>
          <w:rFonts w:ascii="Open Sans" w:eastAsiaTheme="majorEastAsia" w:hAnsi="Open Sans" w:cs="Open Sans"/>
        </w:rPr>
        <w:t xml:space="preserve">zmniejszenie strat ciepła przez przenikanie, polegające na umieszczeniu warstwy izolacji termicznej po stronie zewnętrznej lub w uzasadnionych przypadkach (np. wynikających </w:t>
      </w:r>
      <w:r w:rsidR="006F1E80">
        <w:rPr>
          <w:rFonts w:ascii="Open Sans" w:eastAsiaTheme="majorEastAsia" w:hAnsi="Open Sans" w:cs="Open Sans"/>
        </w:rPr>
        <w:br/>
      </w:r>
      <w:r w:rsidRPr="006F1E80">
        <w:rPr>
          <w:rFonts w:ascii="Open Sans" w:eastAsiaTheme="majorEastAsia" w:hAnsi="Open Sans" w:cs="Open Sans"/>
        </w:rPr>
        <w:t>z uzgodnień z</w:t>
      </w:r>
      <w:r w:rsidR="00802665" w:rsidRPr="006F1E80">
        <w:rPr>
          <w:rFonts w:ascii="Open Sans" w:eastAsiaTheme="majorEastAsia" w:hAnsi="Open Sans" w:cs="Open Sans"/>
        </w:rPr>
        <w:t xml:space="preserve"> </w:t>
      </w:r>
      <w:r w:rsidRPr="006F1E80">
        <w:rPr>
          <w:rFonts w:ascii="Open Sans" w:eastAsiaTheme="majorEastAsia" w:hAnsi="Open Sans" w:cs="Open Sans"/>
        </w:rPr>
        <w:t xml:space="preserve">Konserwatorem Zabytków) po stronie wewnętrznej po wykonaniu obliczeń cieplno-wilgotnościowych mających na celu zapobieganie występowania „punktu rosy” w ocieplanej przegrodzie, prowadzące do uzyskania odpowiednich współczynników przenikania ciepła, zgodnych 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 xml:space="preserve"> – budowlanymi), w tym również obejmujące technologie, polegające natworzeniu tzw. „żyjących, zielonych ścian”; </w:t>
      </w:r>
    </w:p>
    <w:p w14:paraId="1AA9C123" w14:textId="3AF5CA98"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W ramach robót związanych z modernizacją ścian zewnętrznych, do kosztów kwalifikowanych zalicza się wszelkie roboty związane z rozbiórką dotychczasowej elewacji (jeżeli wynika to z Audytu energetycznego ex-ante), w tym w szczególności rozbiórką (obejmującą demontaż, transport i unieszkodliwianie) elewacji zawierającej </w:t>
      </w:r>
      <w:r w:rsidR="006F1E80">
        <w:rPr>
          <w:rFonts w:ascii="Open Sans" w:eastAsiaTheme="majorEastAsia" w:hAnsi="Open Sans" w:cs="Open Sans"/>
        </w:rPr>
        <w:br/>
      </w:r>
      <w:r w:rsidRPr="006F1E80">
        <w:rPr>
          <w:rFonts w:ascii="Open Sans" w:eastAsiaTheme="majorEastAsia" w:hAnsi="Open Sans" w:cs="Open Sans"/>
        </w:rPr>
        <w:t xml:space="preserve">w swym składzie azbest (m.in. takie wyroby jak chryzotyl – tzw. azbest biały, krokidolit – tzw. azbest niebieski, </w:t>
      </w:r>
      <w:proofErr w:type="spellStart"/>
      <w:r w:rsidRPr="006F1E80">
        <w:rPr>
          <w:rFonts w:ascii="Open Sans" w:eastAsiaTheme="majorEastAsia" w:hAnsi="Open Sans" w:cs="Open Sans"/>
        </w:rPr>
        <w:t>amozyt</w:t>
      </w:r>
      <w:proofErr w:type="spellEnd"/>
      <w:r w:rsidRPr="006F1E80">
        <w:rPr>
          <w:rFonts w:ascii="Open Sans" w:eastAsiaTheme="majorEastAsia" w:hAnsi="Open Sans" w:cs="Open Sans"/>
        </w:rPr>
        <w:t xml:space="preserve"> – tzw. azbest brązowy lub inne). Roboty związane z usuwaniem azbestu są kwalifikowane wyłącznie pod warunkiem, że są prowadzone z uwzględnieniem specjalnych zasad bezpieczeństwa określonych w odpowiednich przepisach, a w szczególności w: </w:t>
      </w:r>
    </w:p>
    <w:p w14:paraId="7D630D1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Ustawie z dnia 19 czerwca </w:t>
      </w:r>
      <w:proofErr w:type="gramStart"/>
      <w:r w:rsidRPr="006F1E80">
        <w:rPr>
          <w:rFonts w:ascii="Open Sans" w:eastAsiaTheme="majorEastAsia" w:hAnsi="Open Sans" w:cs="Open Sans"/>
        </w:rPr>
        <w:t>1997r.</w:t>
      </w:r>
      <w:proofErr w:type="gramEnd"/>
      <w:r w:rsidRPr="006F1E80">
        <w:rPr>
          <w:rFonts w:ascii="Open Sans" w:eastAsiaTheme="majorEastAsia" w:hAnsi="Open Sans" w:cs="Open Sans"/>
        </w:rPr>
        <w:t xml:space="preserve"> o zakazie stosowania wyrobów zawierających azbest (Dz. U. nr 3 z 2003r., poz. 20 z późn. zm.), </w:t>
      </w:r>
    </w:p>
    <w:p w14:paraId="5BFA2018"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Rozporządzeniu Ministra Gospodarki, Pracy i Polityki Społecznej z dnia 2 kwietnia 2004 r. w sprawie sposobów i warunków bezpiecznego użytkowania i usuwania wyrobów zawierających azbest (Dz. U. nr 71 z 2004 r., poz. 649), </w:t>
      </w:r>
    </w:p>
    <w:p w14:paraId="25AE128F"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Rozporządzeniu Ministra Gospodarki, Pracy i Polityki Socjalnej z dnia 14 października 2005 r. w</w:t>
      </w:r>
      <w:r w:rsidR="00802665" w:rsidRPr="006F1E80">
        <w:rPr>
          <w:rFonts w:ascii="Open Sans" w:eastAsiaTheme="majorEastAsia" w:hAnsi="Open Sans" w:cs="Open Sans"/>
        </w:rPr>
        <w:t xml:space="preserve"> </w:t>
      </w:r>
      <w:r w:rsidRPr="006F1E80">
        <w:rPr>
          <w:rFonts w:ascii="Open Sans" w:eastAsiaTheme="majorEastAsia" w:hAnsi="Open Sans" w:cs="Open Sans"/>
        </w:rPr>
        <w:t xml:space="preserve">sprawie zasad bezpieczeństwa i higieny pracy przy zabezpieczeniu i usuwaniu wyrobów zawierających azbest (Dz. U. nr 216 z 2015 r., poz. 1824), </w:t>
      </w:r>
    </w:p>
    <w:p w14:paraId="220AC9A0"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Rozporządzeniu Ministra Gospodarki z dnia 13 grudnia 2010 r. w sprawie wymogów w zakresie wykorzystywania wyrobów zawierających azbest oraz wykorzystywania i oczyszczania instalacji lub urządzeń, w których były lub są wykorzystywane wyroby zawierające azbest (Dz. U. nr 8 z 2011 r., poz.31), </w:t>
      </w:r>
    </w:p>
    <w:p w14:paraId="12E5B22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Rozporządzeniu Ministra Gospodarki, Pracy i Polityki Socjalnej z dnia 23 października 2003 r. w</w:t>
      </w:r>
      <w:r w:rsidR="00802665" w:rsidRPr="006F1E80">
        <w:rPr>
          <w:rFonts w:ascii="Open Sans" w:eastAsiaTheme="majorEastAsia" w:hAnsi="Open Sans" w:cs="Open Sans"/>
        </w:rPr>
        <w:t xml:space="preserve"> </w:t>
      </w:r>
      <w:r w:rsidRPr="006F1E80">
        <w:rPr>
          <w:rFonts w:ascii="Open Sans" w:eastAsiaTheme="majorEastAsia" w:hAnsi="Open Sans" w:cs="Open Sans"/>
        </w:rPr>
        <w:t>sprawie wymagań w zakresie wykorzystywania i przemieszczania azbestu oraz wykorzystywania i</w:t>
      </w:r>
      <w:r w:rsidR="00802665" w:rsidRPr="006F1E80">
        <w:rPr>
          <w:rFonts w:ascii="Open Sans" w:eastAsiaTheme="majorEastAsia" w:hAnsi="Open Sans" w:cs="Open Sans"/>
        </w:rPr>
        <w:t xml:space="preserve"> </w:t>
      </w:r>
      <w:r w:rsidRPr="006F1E80">
        <w:rPr>
          <w:rFonts w:ascii="Open Sans" w:eastAsiaTheme="majorEastAsia" w:hAnsi="Open Sans" w:cs="Open Sans"/>
        </w:rPr>
        <w:t xml:space="preserve">oczyszczania instalacji lub urządzeń, w których był lub jest wykorzystywany azbest (Dz. U. nr 192 z2003 r., poz. 1876); </w:t>
      </w:r>
    </w:p>
    <w:p w14:paraId="10F05065" w14:textId="0269FBAE"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usuwanie wilgoci oraz przyczyn jej powstawania metodami uzależnionymi </w:t>
      </w:r>
      <w:r w:rsidR="006F1E80">
        <w:rPr>
          <w:rFonts w:ascii="Open Sans" w:eastAsiaTheme="majorEastAsia" w:hAnsi="Open Sans" w:cs="Open Sans"/>
        </w:rPr>
        <w:br/>
      </w:r>
      <w:r w:rsidRPr="006F1E80">
        <w:rPr>
          <w:rFonts w:ascii="Open Sans" w:eastAsiaTheme="majorEastAsia" w:hAnsi="Open Sans" w:cs="Open Sans"/>
        </w:rPr>
        <w:t>od charakteru, wielkości i</w:t>
      </w:r>
      <w:r w:rsidR="00802665" w:rsidRPr="006F1E80">
        <w:rPr>
          <w:rFonts w:ascii="Open Sans" w:eastAsiaTheme="majorEastAsia" w:hAnsi="Open Sans" w:cs="Open Sans"/>
        </w:rPr>
        <w:t xml:space="preserve"> </w:t>
      </w:r>
      <w:r w:rsidRPr="006F1E80">
        <w:rPr>
          <w:rFonts w:ascii="Open Sans" w:eastAsiaTheme="majorEastAsia" w:hAnsi="Open Sans" w:cs="Open Sans"/>
        </w:rPr>
        <w:t xml:space="preserve">miejsca zawilgocenia oraz warunków miejscowych, obejmujące m.in. takie roboty jak suszenie murów, uszczelnianie ścian murowanych (w tym ścian fundamentowych) od wilgoci kapilarnej, uszczelnianie spodu płyty dennej, odtwarzanie izolacji poziomych, wykonywanie tynków renowacyjnych i izolacji pionowych, roboty </w:t>
      </w:r>
      <w:proofErr w:type="spellStart"/>
      <w:r w:rsidRPr="006F1E80">
        <w:rPr>
          <w:rFonts w:ascii="Open Sans" w:eastAsiaTheme="majorEastAsia" w:hAnsi="Open Sans" w:cs="Open Sans"/>
        </w:rPr>
        <w:t>hydroizolacyjne</w:t>
      </w:r>
      <w:proofErr w:type="spellEnd"/>
      <w:r w:rsidRPr="006F1E80">
        <w:rPr>
          <w:rFonts w:ascii="Open Sans" w:eastAsiaTheme="majorEastAsia" w:hAnsi="Open Sans" w:cs="Open Sans"/>
        </w:rPr>
        <w:t xml:space="preserve"> na balkonach i loggiach oraz inne roboty związane z usuwaniem wilgoci.</w:t>
      </w:r>
    </w:p>
    <w:p w14:paraId="01562765" w14:textId="36E904E6"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 xml:space="preserve"> 2. Ściany wewnętrzne.</w:t>
      </w:r>
    </w:p>
    <w:p w14:paraId="6132085C"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(pomiędzy pomieszczeniami ogrzewanymi i nieogrzewanymi, klatkami schodowymi lub korytarzami) </w:t>
      </w:r>
    </w:p>
    <w:p w14:paraId="577793E1"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ocieplanie ścian wewnętrznych – technologie ocieplania, w wyniku których uzyskuje się</w:t>
      </w:r>
      <w:r w:rsidR="00802665" w:rsidRPr="006F1E80">
        <w:rPr>
          <w:rFonts w:ascii="Open Sans" w:eastAsiaTheme="majorEastAsia" w:hAnsi="Open Sans" w:cs="Open Sans"/>
        </w:rPr>
        <w:t xml:space="preserve"> </w:t>
      </w:r>
      <w:r w:rsidRPr="006F1E80">
        <w:rPr>
          <w:rFonts w:ascii="Open Sans" w:eastAsiaTheme="majorEastAsia" w:hAnsi="Open Sans" w:cs="Open Sans"/>
        </w:rPr>
        <w:t>zmniejszenie strat ciepła przez przenikanie, obejmujące m.in. ściany przylegające do szczelin dylatacyjnych, ściany nieogrzewanych kondygnacji podziemnych – przylegające do gruntu, ściany wewnętrzne oddzielające pomieszczenia ogrzewane od nieogrzewanych, w tym oddzielające pomieszczenia, w których różnica temperatur jest większa niż 4 K.</w:t>
      </w:r>
    </w:p>
    <w:p w14:paraId="2170F79B"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Jeżeli w przypadku przegród wewnętrznych zachodzi taka konieczność i wynika to z audytu energetycznego ex-ante, do kosztów kwalifikowanych zalicza się wszelkie roboty związane z rozbiórką dotychczasowego wykończenia lub konstrukcji, w tym w szczególności rozbiórkę elementów zawierających w swym składzie azbest. Roboty te są kwalifikowane wyłącznie, jeżeli są prowadzone zgodnie z obowiązującymi przepisami prawa budowlanego</w:t>
      </w:r>
      <w:r w:rsidRPr="006F1E80">
        <w:rPr>
          <w:rStyle w:val="Odwoanieprzypisudolnego"/>
          <w:rFonts w:ascii="Open Sans" w:eastAsiaTheme="majorEastAsia" w:hAnsi="Open Sans" w:cs="Open Sans"/>
        </w:rPr>
        <w:footnoteReference w:id="2"/>
      </w:r>
      <w:r w:rsidRPr="006F1E80">
        <w:rPr>
          <w:rFonts w:ascii="Open Sans" w:eastAsiaTheme="majorEastAsia" w:hAnsi="Open Sans" w:cs="Open Sans"/>
        </w:rPr>
        <w:t>.</w:t>
      </w:r>
    </w:p>
    <w:p w14:paraId="3FE59C80" w14:textId="204672DF"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3. Stropy, dachy, stropodachy, podłogi na gruncie itp.</w:t>
      </w:r>
    </w:p>
    <w:p w14:paraId="66B1A3DA"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dach i stropodach – technologie ocieplania, w wyniku których uzyskuje się zmniejszenie strat ciepła przez przenikanie, prowadzące do uzyskania odpowiednich współczynników przenikania ciepła, zgodnych 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 xml:space="preserve">–budowlanymi, w tym również obejmujące technologie, polegające na tworzeniu tzw. „zielonych dachów”. Roboty mogą obejmować wymianę konstrukcji dachów lub stropodachów, jeżeli będzie taka konieczność i będzie to wynikać z audytu energetycznego ex-ante. </w:t>
      </w:r>
    </w:p>
    <w:p w14:paraId="47E7DBBB"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W ramach robót związanych z modernizacją dachów i stropodachów, do kosztów kwalifikowanych zalicza się wszelkie roboty związane z rozbiórką dotychczasowego pokrycia dachu (jeżeli wynika to z audytu energetycznego ex-ante), w tym w szczególności rozbiórka pokryć zawierających w swym składzie azbest (np. tzw. eternit, chryzotyl – tzw. azbest biały, krokidolit – tzw. azbest niebieski, </w:t>
      </w:r>
      <w:proofErr w:type="spellStart"/>
      <w:r w:rsidRPr="006F1E80">
        <w:rPr>
          <w:rFonts w:ascii="Open Sans" w:eastAsiaTheme="majorEastAsia" w:hAnsi="Open Sans" w:cs="Open Sans"/>
        </w:rPr>
        <w:t>amozyt</w:t>
      </w:r>
      <w:proofErr w:type="spellEnd"/>
      <w:r w:rsidRPr="006F1E80">
        <w:rPr>
          <w:rFonts w:ascii="Open Sans" w:eastAsiaTheme="majorEastAsia" w:hAnsi="Open Sans" w:cs="Open Sans"/>
        </w:rPr>
        <w:t xml:space="preserve"> – tzw. azbest brązowy lub inne), jak również koszty transportu i utylizacji. Roboty te</w:t>
      </w:r>
      <w:r w:rsidR="00802665" w:rsidRPr="006F1E80">
        <w:rPr>
          <w:rFonts w:ascii="Open Sans" w:eastAsiaTheme="majorEastAsia" w:hAnsi="Open Sans" w:cs="Open Sans"/>
        </w:rPr>
        <w:t xml:space="preserve"> </w:t>
      </w:r>
      <w:r w:rsidRPr="006F1E80">
        <w:rPr>
          <w:rFonts w:ascii="Open Sans" w:eastAsiaTheme="majorEastAsia" w:hAnsi="Open Sans" w:cs="Open Sans"/>
        </w:rPr>
        <w:t>są</w:t>
      </w:r>
      <w:r w:rsidR="00802665" w:rsidRPr="006F1E80">
        <w:rPr>
          <w:rFonts w:ascii="Open Sans" w:eastAsiaTheme="majorEastAsia" w:hAnsi="Open Sans" w:cs="Open Sans"/>
        </w:rPr>
        <w:t xml:space="preserve"> </w:t>
      </w:r>
      <w:r w:rsidRPr="006F1E80">
        <w:rPr>
          <w:rFonts w:ascii="Open Sans" w:eastAsiaTheme="majorEastAsia" w:hAnsi="Open Sans" w:cs="Open Sans"/>
        </w:rPr>
        <w:t xml:space="preserve">kwalifikowane wyłącznie, jeżeli są prowadzone zgodnie z obowiązującymi przepisami prawa budowlanego, regulującymi ten rodzaj robót. </w:t>
      </w:r>
    </w:p>
    <w:p w14:paraId="24E5603D"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strop pod nieogrzewanym poddaszem – ocieplanie stropu poddasza, technologie ocieplania, w wyniku których uzyskuje się zmniejszenie strat ciepła przez przenikanie, prowadzące do uzyskania odpowiednich współczynników przenikania ciepła, zgodnych 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 xml:space="preserve"> – budowlanymi. Roboty mogą obejmować wymianę stropu, jeżeli zachodzi taka konieczność; </w:t>
      </w:r>
    </w:p>
    <w:p w14:paraId="0EA9CCB2"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strop nad piwnicą – ocieplanie stropu nad piwnicą - technologie ocieplania, w wyniku których uzyskuje się zmniejszenie strat ciepła przez przenikanie, prowadzące do uzyskania odpowiednich współczynników przenikania ciepła, zgodnych 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 xml:space="preserve">–budowlanymi. Roboty mogą obejmować wymianę stropu, jeżeli wynika to z audytu ex-ante; </w:t>
      </w:r>
    </w:p>
    <w:p w14:paraId="231E758C"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podłoga na gruncie – ocieplanie podłogi na gruncie - technologie ocieplania, w wyniku których uzyskuje się zmniejszenie strat ciepła przez przenikanie, prowadzące do uzyskania odpowiednich współczynników przenikania ciepła, zgodnych 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 xml:space="preserve">– budowlanymi. Roboty mogą obejmować wymianę podłogi na gruncie, jeżeli wynika z audytu ex-ante, pod warunkiem sfinansowania kosztów podłogi o standardzie nie wyższym niż przed ociepleniem; </w:t>
      </w:r>
    </w:p>
    <w:p w14:paraId="62904E21"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stropy nad przejazdami – ocieplanie stropów nad przejazdami, technologie ocieplania, w wyniku których uzyskuje się zmniejszenie strat ciepła przez przenikanie, prowadzące do uzyskania odpowiednich współczynników przenikania ciepła, zgodnych 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 xml:space="preserve">–budowlanymi. Roboty mogą obejmować również wymianę stropu, jeżeli zachodzi taka konieczność; </w:t>
      </w:r>
    </w:p>
    <w:p w14:paraId="551232C3"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stropy nad zamkniętymi przestrzeniami podpodłogowymi – ocieplanie stropów nad zamkniętymi przestrzeniami podpodłogowymi, technologie ocieplania, w wyniku których uzyskuje się zmniejszenie strat ciepła przez przenikanie, prowadzące do uzyskania odpowiednich współczynników przenikania ciepła, zgodnych 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–budowlanymi</w:t>
      </w:r>
      <w:r w:rsidRPr="006F1E80">
        <w:rPr>
          <w:rStyle w:val="Odwoanieprzypisudolnego"/>
          <w:rFonts w:ascii="Open Sans" w:eastAsiaTheme="majorEastAsia" w:hAnsi="Open Sans" w:cs="Open Sans"/>
        </w:rPr>
        <w:footnoteReference w:id="3"/>
      </w:r>
      <w:r w:rsidRPr="006F1E80">
        <w:rPr>
          <w:rFonts w:ascii="Open Sans" w:eastAsiaTheme="majorEastAsia" w:hAnsi="Open Sans" w:cs="Open Sans"/>
        </w:rPr>
        <w:t xml:space="preserve">.  Roboty mogą obejmować wymianę stropu, jeżeli zachodzi taka konieczność; </w:t>
      </w:r>
    </w:p>
    <w:p w14:paraId="36323676"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stropy na gruncie – ocieplanie stropów na gruncie, technologie ocieplania, w wyniku których uzyskuje się zmniejszenie strat ciepła przez przenikanie, prowadzące do uzyskania odpowiednich współczynników przenikania ciepła, zgodnych 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 xml:space="preserve">–budowlanymi.  Roboty mogą obejmować wymianę stropu, jeżeli zachodzi taka konieczność; </w:t>
      </w:r>
    </w:p>
    <w:p w14:paraId="3F601B9E"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stropy nad kondygnacjami podziemnymi – ocieplanie stropów nad kondygnacjami podziemnymi, technologie ocieplania, w wyniku których uzyskuje się zmniejszenie strat ciepła przez przenikanie, prowadzące do uzyskania odpowiednich współczynników przenikania ciepła, zgodnych 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 xml:space="preserve">–budowlanymi. Roboty mogą obejmować wymianę stropu, jeżeli zachodzi taka konieczność; </w:t>
      </w:r>
    </w:p>
    <w:p w14:paraId="65105290"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izolacje transparentne, pod warunkiem, że wynika to z audytu energetycznego ex-ante; </w:t>
      </w:r>
    </w:p>
    <w:p w14:paraId="3E3C5A2B"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natryskowe tynki ciepłochronne; </w:t>
      </w:r>
    </w:p>
    <w:p w14:paraId="2C5C0721"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uszczelnianie zielonych dachów. </w:t>
      </w:r>
    </w:p>
    <w:p w14:paraId="0EB4086C" w14:textId="49B1997F"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 xml:space="preserve"> 4. Stolarka okienna i drzwiowa, przegrody przezroczyste.  </w:t>
      </w:r>
    </w:p>
    <w:p w14:paraId="2BB3C910" w14:textId="3D5A77BA"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 xml:space="preserve">− </w:t>
      </w:r>
      <w:r w:rsidRPr="006F1E80">
        <w:rPr>
          <w:rFonts w:ascii="Open Sans" w:eastAsiaTheme="majorEastAsia" w:hAnsi="Open Sans" w:cs="Open Sans"/>
        </w:rPr>
        <w:t xml:space="preserve">wymiana okien i drzwi zewnętrznych wejściowych na nowe – wymiana powinna prowadzić do uzyskania odpowiednich współczynników przenikania ciepła, zgodnych </w:t>
      </w:r>
      <w:r w:rsidR="006F1E80">
        <w:rPr>
          <w:rFonts w:ascii="Open Sans" w:eastAsiaTheme="majorEastAsia" w:hAnsi="Open Sans" w:cs="Open Sans"/>
        </w:rPr>
        <w:br/>
      </w:r>
      <w:r w:rsidRPr="006F1E80">
        <w:rPr>
          <w:rFonts w:ascii="Open Sans" w:eastAsiaTheme="majorEastAsia" w:hAnsi="Open Sans" w:cs="Open Sans"/>
        </w:rPr>
        <w:t xml:space="preserve">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–budowlanymi oraz odpowiedniej szczelności. Roboty mogą obejmować wymianę okien i</w:t>
      </w:r>
      <w:r w:rsidR="00802665" w:rsidRPr="006F1E80">
        <w:rPr>
          <w:rFonts w:ascii="Open Sans" w:eastAsiaTheme="majorEastAsia" w:hAnsi="Open Sans" w:cs="Open Sans"/>
        </w:rPr>
        <w:t xml:space="preserve"> </w:t>
      </w:r>
      <w:r w:rsidRPr="006F1E80">
        <w:rPr>
          <w:rFonts w:ascii="Open Sans" w:eastAsiaTheme="majorEastAsia" w:hAnsi="Open Sans" w:cs="Open Sans"/>
        </w:rPr>
        <w:t xml:space="preserve">drzwi wewnętrznych, jeżeli zachodzi taka konieczność (oraz jeżeli wynika to z audytu energetycznego ex-ante), w tym oddzielających pomieszczenia ogrzewane od nieogrzewanych; </w:t>
      </w:r>
    </w:p>
    <w:p w14:paraId="2B353CA3"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okien i drzwi balkonowych – powinna prowadzić do uzyskania odpowiednich współczynników przenikania ciepła, zgodnych 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 xml:space="preserve">–budowlanymi oraz do odpowiedniej szczelności. </w:t>
      </w:r>
    </w:p>
    <w:p w14:paraId="3463FA2E" w14:textId="77777777"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 xml:space="preserve">Zaleca się realizację powyższych prac z zastosowaniem tzw. ciepłego montażu okien, który pozwala na to, by okna energooszczędne zachowały swoje walory izolacyjne, czyli były szczelnie zamontowane. Jedynie osadzenie okna w warstwie ocieplenia eliminuje mostki termiczne, które wokół niego mogą powstawać. </w:t>
      </w:r>
    </w:p>
    <w:p w14:paraId="7A817CB1" w14:textId="77777777"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 xml:space="preserve">Wymiana lub modernizacja okien i drzwi balkonowych powinna spełniać wymagania Rozporządzenia Ministra Infrastruktury z dnia 12 kwietnia 2002 r. oraz polskich norm (zaleca się szczególną uwagę, jeśli chodzi o zachowanie warunków termicznych mocowania oraz szczelności) – co winno mieć odzwierciedlenie w protokole odbioru. </w:t>
      </w:r>
    </w:p>
    <w:p w14:paraId="5499852A"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modernizacja starych okien i drzwi zewnętrznych – modernizacja polegać może na odpowiednim spasowaniu, zastosowaniu lub wymianie uszczelek i okuć, uszczelnieniu drzwi, co powinno prowadzić do uzyskania odpowiednich współczynników przenikania ciepła, zgodnych 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 xml:space="preserve">–budowlanymi oraz odpowiedniej szczelności. Roboty mogą obejmować modernizację okien i drzwi wewnętrznych, jeżeli zachodzi taka konieczność, w tym oddzielających pomieszczenia ogrzewane od nieogrzewanych;  </w:t>
      </w:r>
    </w:p>
    <w:p w14:paraId="209687A2"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lub modernizacja okien piwnicznych i poddaszy – wymiana lub modernizacja powinna prowadzić do uzyskania odpowiednich współczynników przenikania ciepła, zgodnych 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 xml:space="preserve"> budowlanymi oraz odpowiedniej szczelności; </w:t>
      </w:r>
    </w:p>
    <w:p w14:paraId="49DE107E"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pozostałych przegród przezroczystych (fasady przeszklone, świetliki, atria, ogrody zimowe); </w:t>
      </w:r>
    </w:p>
    <w:p w14:paraId="672B85EA" w14:textId="1EEE0083"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 xml:space="preserve">W wyniku wszelkich prac związanych z oszczędnością energii (w szczególności związanych z przegrodami, stanowiącymi osłonę bilansową budynku oraz ze stolarką okienną i drzwiową), należy uzyskać szczelność budynku zgodnie z wymaganiami określonymi </w:t>
      </w:r>
      <w:r w:rsidR="006F1E80">
        <w:rPr>
          <w:rFonts w:ascii="Open Sans" w:eastAsiaTheme="majorEastAsia" w:hAnsi="Open Sans" w:cs="Open Sans"/>
          <w:i/>
          <w:iCs/>
        </w:rPr>
        <w:br/>
      </w:r>
      <w:r w:rsidRPr="006F1E80">
        <w:rPr>
          <w:rFonts w:ascii="Open Sans" w:eastAsiaTheme="majorEastAsia" w:hAnsi="Open Sans" w:cs="Open Sans"/>
          <w:i/>
          <w:iCs/>
        </w:rPr>
        <w:t xml:space="preserve">w Rozporządzeniu Ministra Infrastruktury z dnia 12 kwietnia 2002 r. w sprawie warunków technicznych, jakim powinny odpowiadać budynki i ich usytuowanie z późn. zmianami. </w:t>
      </w:r>
      <w:r w:rsidR="006F1E80">
        <w:rPr>
          <w:rFonts w:ascii="Open Sans" w:eastAsiaTheme="majorEastAsia" w:hAnsi="Open Sans" w:cs="Open Sans"/>
          <w:i/>
          <w:iCs/>
        </w:rPr>
        <w:br/>
      </w:r>
      <w:r w:rsidRPr="006F1E80">
        <w:rPr>
          <w:rFonts w:ascii="Open Sans" w:eastAsiaTheme="majorEastAsia" w:hAnsi="Open Sans" w:cs="Open Sans"/>
          <w:i/>
          <w:iCs/>
        </w:rPr>
        <w:t xml:space="preserve">W celu potwierdzenia jakości wykonania ww. prac, po ich wykonaniu budynek może być poddany próbie szczelności, przeprowadzonej zgodnie z Polską Normą, dotyczącą określania przepuszczalności powietrznej budynków w celu uzyskania zalecanej szczelności określonej </w:t>
      </w:r>
      <w:r w:rsidR="006F1E80">
        <w:rPr>
          <w:rFonts w:ascii="Open Sans" w:eastAsiaTheme="majorEastAsia" w:hAnsi="Open Sans" w:cs="Open Sans"/>
          <w:i/>
          <w:iCs/>
        </w:rPr>
        <w:br/>
      </w:r>
      <w:r w:rsidRPr="006F1E80">
        <w:rPr>
          <w:rFonts w:ascii="Open Sans" w:eastAsiaTheme="majorEastAsia" w:hAnsi="Open Sans" w:cs="Open Sans"/>
          <w:i/>
          <w:iCs/>
        </w:rPr>
        <w:t xml:space="preserve">w pkt. 2.3.3 załącznika nr 2 do ww. Rozporządzenia (koszty związane z próbą szczelności są kosztami kwalifikowanymi). Badanie jakości wykonania robót związanych z montażem stolarki okiennej i drzwiowej można też potwierdzić badaniami termowizyjnymi, opracowanymi w formie odpowiedniego raportu z badań – koszt tych badań jest kosztem kwalifikowanym.  </w:t>
      </w:r>
    </w:p>
    <w:p w14:paraId="7B53A473" w14:textId="45664F84"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Zaleca się stosowanie próby szczelności lub badań termowizyjnych przed ostatecznym odbiorem prac od Wykonawcy jako warunek prawidłowego wykonania prac termomodernizacyjnych z zapewnieniem możliwości naprawy wykrytych ewentualnych usterek ww. metodami.</w:t>
      </w:r>
    </w:p>
    <w:p w14:paraId="52D8CE41"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 xml:space="preserve">5. Wymiana oświetlenia na energooszczędne.  </w:t>
      </w:r>
    </w:p>
    <w:p w14:paraId="626D84D4"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źródeł światła na źródła wysokowydajne, np. żarówek na świetlówki; </w:t>
      </w:r>
    </w:p>
    <w:p w14:paraId="1E8DA47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opraw; </w:t>
      </w:r>
    </w:p>
    <w:p w14:paraId="3AEB2ED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i montaż tablic rozdzielczych; </w:t>
      </w:r>
    </w:p>
    <w:p w14:paraId="6B70BE20"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i montaż układów automatyki sterowniczej, w tym zastosowanie systemów zarządzania energią; </w:t>
      </w:r>
    </w:p>
    <w:p w14:paraId="5F3AD18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przełożenie (wymiana) instalacji elektrycznej, gdy jest to uzasadnione i wynika z audytu energetycznego ex-ante; </w:t>
      </w:r>
    </w:p>
    <w:p w14:paraId="6E850447" w14:textId="77777777"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 xml:space="preserve">Roboty mogą obejmować kompleksową modernizację oświetlenia, w tym zmianę rozmieszczenie i ilości punktów świetlnych), prowadzącą do właściwego doboru natężenia oświetlenia w </w:t>
      </w:r>
      <w:proofErr w:type="gramStart"/>
      <w:r w:rsidRPr="006F1E80">
        <w:rPr>
          <w:rFonts w:ascii="Open Sans" w:eastAsiaTheme="majorEastAsia" w:hAnsi="Open Sans" w:cs="Open Sans"/>
          <w:i/>
          <w:iCs/>
        </w:rPr>
        <w:t>pomieszczeniach;  wykorzystania</w:t>
      </w:r>
      <w:proofErr w:type="gramEnd"/>
      <w:r w:rsidRPr="006F1E80">
        <w:rPr>
          <w:rFonts w:ascii="Open Sans" w:eastAsiaTheme="majorEastAsia" w:hAnsi="Open Sans" w:cs="Open Sans"/>
          <w:i/>
          <w:iCs/>
        </w:rPr>
        <w:t xml:space="preserve"> w maksymalnym stopniu oświetlenia dziennego; optymalnego wykorzystania odbić od powierzchni pionowych, itp. </w:t>
      </w:r>
    </w:p>
    <w:p w14:paraId="69121DF8"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 xml:space="preserve">6. Przebudowa / modernizacja systemów grzewczych (instalacji centralnego ogrzewania, podłączenie bardziej energetycznie i ekologicznie efektywnego źródła ciepła). </w:t>
      </w:r>
    </w:p>
    <w:p w14:paraId="77149B3E"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opracowanie projektów budowlanych i wykonawczych modernizacji energetycznej, stanowiących element projektu inwestycyjnego; </w:t>
      </w:r>
    </w:p>
    <w:p w14:paraId="6C9493A7" w14:textId="01054835"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instalacji (w tym modernizacja, polegająca na zmianie układu zasilania </w:t>
      </w:r>
      <w:r w:rsidR="006F1E80">
        <w:rPr>
          <w:rFonts w:ascii="Open Sans" w:eastAsiaTheme="majorEastAsia" w:hAnsi="Open Sans" w:cs="Open Sans"/>
        </w:rPr>
        <w:br/>
      </w:r>
      <w:r w:rsidRPr="006F1E80">
        <w:rPr>
          <w:rFonts w:ascii="Open Sans" w:eastAsiaTheme="majorEastAsia" w:hAnsi="Open Sans" w:cs="Open Sans"/>
        </w:rPr>
        <w:t>i dystrybucji ciepła, rurociągów i grzejników, z uwzględnieniem zmiany grzejników na bardziej efektywne energetycznie), w tym likwidacja elementów instalacji i urządzeń zawierających azbest, pod warunkiem, że są prowadzone zgodnie z przepisami</w:t>
      </w:r>
      <w:r w:rsidRPr="006F1E80">
        <w:rPr>
          <w:rStyle w:val="Odwoanieprzypisudolnego"/>
          <w:rFonts w:ascii="Open Sans" w:eastAsiaTheme="majorEastAsia" w:hAnsi="Open Sans" w:cs="Open Sans"/>
        </w:rPr>
        <w:footnoteReference w:id="4"/>
      </w:r>
      <w:r w:rsidRPr="006F1E80">
        <w:rPr>
          <w:rFonts w:ascii="Open Sans" w:eastAsiaTheme="majorEastAsia" w:hAnsi="Open Sans" w:cs="Open Sans"/>
        </w:rPr>
        <w:t xml:space="preserve">; </w:t>
      </w:r>
    </w:p>
    <w:p w14:paraId="1AF170DF" w14:textId="42AFD725"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wymiana/zastosowanie izolacji termicznej instalacji, zgodnie z obowiązującymi przepisami techniczno- budowlanymi; obejmuje całość instalacji, w tym odcinki przechodzące przez ściany, stropy, przewody ułożone w podłodze, przewody ogrzewania powietrznego, przewody instalacji wody lodowej, przewody zewnętrznej sieci ciepłowniczej poza budynkiem, łączące zewnętrzne źródło ciepła i instalację c.o. </w:t>
      </w:r>
      <w:r w:rsidR="006F1E80">
        <w:rPr>
          <w:rFonts w:ascii="Open Sans" w:eastAsiaTheme="majorEastAsia" w:hAnsi="Open Sans" w:cs="Open Sans"/>
        </w:rPr>
        <w:br/>
      </w:r>
      <w:r w:rsidRPr="006F1E80">
        <w:rPr>
          <w:rFonts w:ascii="Open Sans" w:eastAsiaTheme="majorEastAsia" w:hAnsi="Open Sans" w:cs="Open Sans"/>
        </w:rPr>
        <w:t xml:space="preserve">w budynku, itp.; </w:t>
      </w:r>
    </w:p>
    <w:p w14:paraId="3B83D096"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poprawa efektywności energetycznej lokalnej sieci ciepłowniczej, łączącej źródło ciepła z instalacją c.o. w budynku, zgodnie z obowiązującymi przepisami </w:t>
      </w:r>
      <w:proofErr w:type="spellStart"/>
      <w:r w:rsidRPr="006F1E80">
        <w:rPr>
          <w:rFonts w:ascii="Open Sans" w:eastAsiaTheme="majorEastAsia" w:hAnsi="Open Sans" w:cs="Open Sans"/>
        </w:rPr>
        <w:t>techniczno</w:t>
      </w:r>
      <w:proofErr w:type="spellEnd"/>
      <w:r w:rsidRPr="006F1E80">
        <w:rPr>
          <w:rFonts w:ascii="Open Sans" w:eastAsiaTheme="majorEastAsia" w:hAnsi="Open Sans" w:cs="Open Sans"/>
        </w:rPr>
        <w:t xml:space="preserve"> – budowlanymi; </w:t>
      </w:r>
    </w:p>
    <w:p w14:paraId="4AE5DF76"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regulacja hydrauliczna instalacji, polegająca m.in. na jej hydraulicznym zrównoważeniu; </w:t>
      </w:r>
    </w:p>
    <w:p w14:paraId="49D6ABBA" w14:textId="77777777" w:rsid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armatury regulacyjnej, w tym przede wszystkim zaworów </w:t>
      </w:r>
      <w:proofErr w:type="spellStart"/>
      <w:r w:rsidRPr="006F1E80">
        <w:rPr>
          <w:rFonts w:ascii="Open Sans" w:eastAsiaTheme="majorEastAsia" w:hAnsi="Open Sans" w:cs="Open Sans"/>
        </w:rPr>
        <w:t>podpionowych</w:t>
      </w:r>
      <w:proofErr w:type="spellEnd"/>
      <w:r w:rsidRPr="006F1E80">
        <w:rPr>
          <w:rFonts w:ascii="Open Sans" w:eastAsiaTheme="majorEastAsia" w:hAnsi="Open Sans" w:cs="Open Sans"/>
        </w:rPr>
        <w:t xml:space="preserve">, zaworów termostatycznych, zaworów równoważących oraz wszelkiej innej armatury wpływającej na jakość regulacji; </w:t>
      </w:r>
    </w:p>
    <w:p w14:paraId="6271B1B8" w14:textId="42C2E4F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i montaż układów automatyki sterowniczej w źródle ciepła (w tym automatyki pogodowej, czasowego sterowania pracą instalacji, polegającego na nocnym lub weekendowym obniżeniu parametrów pracy, itp.); </w:t>
      </w:r>
    </w:p>
    <w:p w14:paraId="3EBBBC15"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ekranów </w:t>
      </w:r>
      <w:proofErr w:type="spellStart"/>
      <w:r w:rsidRPr="006F1E80">
        <w:rPr>
          <w:rFonts w:ascii="Open Sans" w:eastAsiaTheme="majorEastAsia" w:hAnsi="Open Sans" w:cs="Open Sans"/>
        </w:rPr>
        <w:t>zagrzejnikowych</w:t>
      </w:r>
      <w:proofErr w:type="spellEnd"/>
      <w:r w:rsidRPr="006F1E80">
        <w:rPr>
          <w:rFonts w:ascii="Open Sans" w:eastAsiaTheme="majorEastAsia" w:hAnsi="Open Sans" w:cs="Open Sans"/>
        </w:rPr>
        <w:t xml:space="preserve">; </w:t>
      </w:r>
    </w:p>
    <w:p w14:paraId="432B3C1C"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hermetyzacja instalacji (zastosowanie przeponowych naczyń w</w:t>
      </w:r>
      <w:r w:rsidR="00802665" w:rsidRPr="006F1E80">
        <w:rPr>
          <w:rFonts w:ascii="Open Sans" w:eastAsiaTheme="majorEastAsia" w:hAnsi="Open Sans" w:cs="Open Sans"/>
        </w:rPr>
        <w:t xml:space="preserve"> </w:t>
      </w:r>
      <w:r w:rsidRPr="006F1E80">
        <w:rPr>
          <w:rFonts w:ascii="Open Sans" w:eastAsiaTheme="majorEastAsia" w:hAnsi="Open Sans" w:cs="Open Sans"/>
        </w:rPr>
        <w:t xml:space="preserve">zbiorczych oraz automatycznych zaworów odpowietrzających); </w:t>
      </w:r>
    </w:p>
    <w:p w14:paraId="6CADC6C6"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czyszczenie i chemiczne płukanie instalacji; </w:t>
      </w:r>
    </w:p>
    <w:p w14:paraId="61AF9A81"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remont i dostosowanie pomieszczeń węzłów cieplnych lub kotłowni do odpowiednich standardów (okładziny ceramiczne, malowanie, wykonanie instalacji kanalizacyjnych, elektrycznych, wentylacyjnych, przeciwpożarowych, itp.); </w:t>
      </w:r>
    </w:p>
    <w:p w14:paraId="28C73B61"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instalacja / przebudowa systemów chłodzących, w tym również z zastosowaniem urządzeń OZE, pod warunkiem, że wiązać się to będzie z uzyskaniem oszczędności energii w obiekcie; </w:t>
      </w:r>
    </w:p>
    <w:p w14:paraId="7E3DBD05" w14:textId="4B86C9CC"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instalacja urządzeń OZE w modernizowanych energetycznie budynkach, zastępująca </w:t>
      </w:r>
      <w:r w:rsidR="006F1E80">
        <w:rPr>
          <w:rFonts w:ascii="Open Sans" w:eastAsiaTheme="majorEastAsia" w:hAnsi="Open Sans" w:cs="Open Sans"/>
        </w:rPr>
        <w:br/>
      </w:r>
      <w:r w:rsidRPr="006F1E80">
        <w:rPr>
          <w:rFonts w:ascii="Open Sans" w:eastAsiaTheme="majorEastAsia" w:hAnsi="Open Sans" w:cs="Open Sans"/>
        </w:rPr>
        <w:t xml:space="preserve">w całości lub częściowe dotychczasowe źródło ciepła, pod </w:t>
      </w:r>
      <w:proofErr w:type="gramStart"/>
      <w:r w:rsidRPr="006F1E80">
        <w:rPr>
          <w:rFonts w:ascii="Open Sans" w:eastAsiaTheme="majorEastAsia" w:hAnsi="Open Sans" w:cs="Open Sans"/>
        </w:rPr>
        <w:t>warunkiem</w:t>
      </w:r>
      <w:proofErr w:type="gramEnd"/>
      <w:r w:rsidRPr="006F1E80">
        <w:rPr>
          <w:rFonts w:ascii="Open Sans" w:eastAsiaTheme="majorEastAsia" w:hAnsi="Open Sans" w:cs="Open Sans"/>
        </w:rPr>
        <w:t xml:space="preserve"> że obiekt nie jest lub nie może być podłączony do sieci ciepłowniczej; </w:t>
      </w:r>
    </w:p>
    <w:p w14:paraId="21895F48" w14:textId="0CF87F0A"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instalacja liczników ciepła, niezbędnych do prawidłowego prezentowania danych </w:t>
      </w:r>
      <w:r w:rsidR="006F1E80">
        <w:rPr>
          <w:rFonts w:ascii="Open Sans" w:eastAsiaTheme="majorEastAsia" w:hAnsi="Open Sans" w:cs="Open Sans"/>
        </w:rPr>
        <w:br/>
      </w:r>
      <w:r w:rsidRPr="006F1E80">
        <w:rPr>
          <w:rFonts w:ascii="Open Sans" w:eastAsiaTheme="majorEastAsia" w:hAnsi="Open Sans" w:cs="Open Sans"/>
        </w:rPr>
        <w:t>o zużyciu oraz produkcji ciepła i energii elektrycznej, w tym ze źródeł odnawialnych; montaż liczników nie jest obligatoryjny w przypadku, gdy nie jest to technicznie i ekonomicznie uzasadnione lub gdy budynek będący przedmiotem modernizacji energetycznej został uprzednio wyposażony w ww. urządzenia.</w:t>
      </w:r>
    </w:p>
    <w:p w14:paraId="113CCCE3"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 xml:space="preserve">7. Modernizacja źródła ciepła, w tym źródła zewnętrznego oraz energetyczne wykorzystanie OZE.  </w:t>
      </w:r>
    </w:p>
    <w:p w14:paraId="648CE03A" w14:textId="342E53A3"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modernizacja (podniesienie sprawności wytwarzania) kotłów, gdy jest to uzasadnione </w:t>
      </w:r>
      <w:r w:rsidR="006F1E80">
        <w:rPr>
          <w:rFonts w:ascii="Open Sans" w:eastAsiaTheme="majorEastAsia" w:hAnsi="Open Sans" w:cs="Open Sans"/>
        </w:rPr>
        <w:br/>
      </w:r>
      <w:r w:rsidRPr="006F1E80">
        <w:rPr>
          <w:rFonts w:ascii="Open Sans" w:eastAsiaTheme="majorEastAsia" w:hAnsi="Open Sans" w:cs="Open Sans"/>
        </w:rPr>
        <w:t xml:space="preserve">i wynika z audytu energetycznego ex-ante; </w:t>
      </w:r>
    </w:p>
    <w:p w14:paraId="0B830104" w14:textId="704B661C"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kotłów z zamianą paliwa, przy czym wsparcie na wymianę systemów grzewczych zasilanych stałymi paliwami kopalnymi, tj. węglem kamiennym, torfem, węglem brunatnym, łupkami bitumicznymi, na systemy grzewcze zasilane gazem ziemnym możliwe jest tylko do końca 2025 r. i tylko w połączeniu z inwestycjami </w:t>
      </w:r>
      <w:r w:rsidR="006F1E80">
        <w:rPr>
          <w:rFonts w:ascii="Open Sans" w:eastAsiaTheme="majorEastAsia" w:hAnsi="Open Sans" w:cs="Open Sans"/>
        </w:rPr>
        <w:br/>
      </w:r>
      <w:r w:rsidRPr="006F1E80">
        <w:rPr>
          <w:rFonts w:ascii="Open Sans" w:eastAsiaTheme="majorEastAsia" w:hAnsi="Open Sans" w:cs="Open Sans"/>
        </w:rPr>
        <w:t xml:space="preserve">w efektywność energetyczną (renowację) budynków;  </w:t>
      </w:r>
    </w:p>
    <w:p w14:paraId="3BCAB82A" w14:textId="77777777"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 xml:space="preserve">Nowe urządzenia do ogrzewania powinny spełniać aktualne przepisy UE, dotyczące minimalnego poziomu efektywności energetycznej i norm emisji zanieczyszczeń, które zostały określone w przepisach wykonawczych do Dyrektywy 2009/125/WE z dnia 21 października 2009 r., ustanawiającej ogólne zasady ustalania wymogów dotyczących </w:t>
      </w:r>
      <w:proofErr w:type="spellStart"/>
      <w:r w:rsidRPr="006F1E80">
        <w:rPr>
          <w:rFonts w:ascii="Open Sans" w:eastAsiaTheme="majorEastAsia" w:hAnsi="Open Sans" w:cs="Open Sans"/>
          <w:i/>
          <w:iCs/>
        </w:rPr>
        <w:t>ekoprojektu</w:t>
      </w:r>
      <w:proofErr w:type="spellEnd"/>
      <w:r w:rsidRPr="006F1E80">
        <w:rPr>
          <w:rFonts w:ascii="Open Sans" w:eastAsiaTheme="majorEastAsia" w:hAnsi="Open Sans" w:cs="Open Sans"/>
          <w:i/>
          <w:iCs/>
        </w:rPr>
        <w:t xml:space="preserve"> dla produktów związanych z energią oraz zastosowany kocioł powinien spełniać następujące warunki: automatyczne zasilanie w paliwo, brak dodatkowego rusztu, dedykowany wyłącznie do spalania określonego rodzaju paliwa (wynika to z dokumentacji kotła).</w:t>
      </w:r>
    </w:p>
    <w:p w14:paraId="6B08088F" w14:textId="17992E78"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 xml:space="preserve">W budynkach mieszkalnych wielorodzinnych i użyteczności publicznej wymiana indywidualnego źródła ciepła opartego na spalaniu paliw kopalnych możliwa będzie </w:t>
      </w:r>
      <w:r w:rsidR="006F1E80">
        <w:rPr>
          <w:rFonts w:ascii="Open Sans" w:eastAsiaTheme="majorEastAsia" w:hAnsi="Open Sans" w:cs="Open Sans"/>
          <w:i/>
          <w:iCs/>
        </w:rPr>
        <w:br/>
      </w:r>
      <w:r w:rsidRPr="006F1E80">
        <w:rPr>
          <w:rFonts w:ascii="Open Sans" w:eastAsiaTheme="majorEastAsia" w:hAnsi="Open Sans" w:cs="Open Sans"/>
          <w:i/>
          <w:iCs/>
        </w:rPr>
        <w:t xml:space="preserve">w oparciu o hierarchię źródeł ciepła: </w:t>
      </w:r>
    </w:p>
    <w:p w14:paraId="2E3D45F8" w14:textId="77777777" w:rsidR="00841F8B" w:rsidRPr="006F1E80" w:rsidRDefault="00841F8B" w:rsidP="006F1E80">
      <w:pPr>
        <w:pStyle w:val="Akapitzlist"/>
        <w:numPr>
          <w:ilvl w:val="0"/>
          <w:numId w:val="1"/>
        </w:numPr>
        <w:spacing w:after="120" w:line="276" w:lineRule="auto"/>
        <w:rPr>
          <w:rFonts w:ascii="Open Sans" w:eastAsiaTheme="majorEastAsia" w:hAnsi="Open Sans" w:cs="Open Sans"/>
          <w:i/>
          <w:iCs/>
        </w:rPr>
      </w:pPr>
      <w:r w:rsidRPr="006F1E80">
        <w:rPr>
          <w:rFonts w:ascii="Open Sans" w:eastAsiaTheme="majorEastAsia" w:hAnsi="Open Sans" w:cs="Open Sans"/>
          <w:i/>
          <w:iCs/>
        </w:rPr>
        <w:t xml:space="preserve">Ciepło systemowe, </w:t>
      </w:r>
    </w:p>
    <w:p w14:paraId="7FB203D8" w14:textId="77777777" w:rsidR="00841F8B" w:rsidRPr="006F1E80" w:rsidRDefault="00841F8B" w:rsidP="006F1E80">
      <w:pPr>
        <w:pStyle w:val="Akapitzlist"/>
        <w:numPr>
          <w:ilvl w:val="0"/>
          <w:numId w:val="1"/>
        </w:numPr>
        <w:spacing w:after="120" w:line="276" w:lineRule="auto"/>
        <w:rPr>
          <w:rFonts w:ascii="Open Sans" w:eastAsiaTheme="majorEastAsia" w:hAnsi="Open Sans" w:cs="Open Sans"/>
          <w:i/>
          <w:iCs/>
        </w:rPr>
      </w:pPr>
      <w:r w:rsidRPr="006F1E80">
        <w:rPr>
          <w:rFonts w:ascii="Open Sans" w:eastAsiaTheme="majorEastAsia" w:hAnsi="Open Sans" w:cs="Open Sans"/>
          <w:i/>
          <w:iCs/>
        </w:rPr>
        <w:t xml:space="preserve">Odnawialne Źródła Energii (tj. pompy ciepła), </w:t>
      </w:r>
    </w:p>
    <w:p w14:paraId="6B4A83FB" w14:textId="77777777" w:rsidR="00841F8B" w:rsidRPr="006F1E80" w:rsidRDefault="00841F8B" w:rsidP="006F1E80">
      <w:pPr>
        <w:pStyle w:val="Akapitzlist"/>
        <w:numPr>
          <w:ilvl w:val="0"/>
          <w:numId w:val="1"/>
        </w:numPr>
        <w:spacing w:after="120" w:line="276" w:lineRule="auto"/>
        <w:rPr>
          <w:rFonts w:ascii="Open Sans" w:eastAsiaTheme="majorEastAsia" w:hAnsi="Open Sans" w:cs="Open Sans"/>
          <w:i/>
          <w:iCs/>
        </w:rPr>
      </w:pPr>
      <w:r w:rsidRPr="006F1E80">
        <w:rPr>
          <w:rFonts w:ascii="Open Sans" w:eastAsiaTheme="majorEastAsia" w:hAnsi="Open Sans" w:cs="Open Sans"/>
          <w:i/>
          <w:iCs/>
        </w:rPr>
        <w:t xml:space="preserve">Źródła wykorzystujące paliwo gazowe. </w:t>
      </w:r>
    </w:p>
    <w:p w14:paraId="24B6209B" w14:textId="77777777"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Dopiero uzasadnienie dla braku możliwości technicznych lub ekonomicznych może być podstawą wyboru źródła ciepła o niższej hierarchii. Jeżeli będzie to możliwe, mogą zostać uwzględnione rozwiązania mające na celu wdrożenie technologii wodorowych, które są zgodne z zakresem art. 6 i 7 rozporządzenia 2021/1058 ERDF/CF.</w:t>
      </w:r>
    </w:p>
    <w:p w14:paraId="7A0DADDA" w14:textId="77777777"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 xml:space="preserve">W przypadku, jeśli zastosowana będzie biomasa, powinna ona spełniać następujące warunki: biomasa pochodzenia leśnego i rolniczego, tj. różne formy drewna niepełnowartościowego, które nie spełnia wymagań jakościowych wymienionych w normach określających wymagania i badania dla drewna wielkowymiarowego liściastego, drewna wielkowymiarowego iglastego oraz drewna średniowymiarowego dla grup oznaczonych jako S1, S2, S3 oraz nie będąca materiałem drzewnym, powstałym w wyniku celowego rozdrobnienia tego drewna, różne formy słomy, traw i roślin energetycznych, niepełnowartościowe ziarna zbóż. Kocioł na paliwo stałe powinien posiadać certyfikat zgodności z PN-EN 303-5, wydany przez właściwą akredytowaną jednostkę certyfikującą, nie starszy niż 5 lat i spełniać wymagania klasy 5 tej normy. </w:t>
      </w:r>
    </w:p>
    <w:p w14:paraId="79D37256"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montaż / modernizacja / wymiana węzłów cieplnych; </w:t>
      </w:r>
    </w:p>
    <w:p w14:paraId="3FD64E0B" w14:textId="6A987374"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zastosowanie urządzeń do produkcji ciepła lub energii elektrycznej z OZE</w:t>
      </w:r>
      <w:r w:rsidRPr="006F1E80">
        <w:rPr>
          <w:rStyle w:val="Odwoanieprzypisudolnego"/>
          <w:rFonts w:ascii="Open Sans" w:eastAsiaTheme="majorEastAsia" w:hAnsi="Open Sans" w:cs="Open Sans"/>
        </w:rPr>
        <w:footnoteReference w:id="5"/>
      </w:r>
      <w:r w:rsidRPr="006F1E80">
        <w:rPr>
          <w:rFonts w:ascii="Open Sans" w:eastAsiaTheme="majorEastAsia" w:hAnsi="Open Sans" w:cs="Open Sans"/>
        </w:rPr>
        <w:t xml:space="preserve"> lub </w:t>
      </w:r>
      <w:r w:rsidR="006F1E80">
        <w:rPr>
          <w:rFonts w:ascii="Open Sans" w:eastAsiaTheme="majorEastAsia" w:hAnsi="Open Sans" w:cs="Open Sans"/>
        </w:rPr>
        <w:br/>
      </w:r>
      <w:r w:rsidRPr="006F1E80">
        <w:rPr>
          <w:rFonts w:ascii="Open Sans" w:eastAsiaTheme="majorEastAsia" w:hAnsi="Open Sans" w:cs="Open Sans"/>
        </w:rPr>
        <w:t xml:space="preserve">w warunkach skojarzonej produkcji energii elektrycznej i ciepła, zastępująca w całości lub częściowo dotychczasowe źródło ciepła pod warunkiem, że wynika to z audytu energetycznego ex-ante, opracowanego w szczególności: </w:t>
      </w:r>
    </w:p>
    <w:p w14:paraId="2088B461" w14:textId="75921C61"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zastosowanie kolektorów słonecznych (wykorzystanie energii promieniowania słonecznego), jako źródła wspomagającego wytwarzanie ciepła</w:t>
      </w:r>
      <w:r w:rsidRPr="006F1E80">
        <w:rPr>
          <w:rStyle w:val="Odwoanieprzypisudolnego"/>
          <w:rFonts w:ascii="Open Sans" w:eastAsiaTheme="majorEastAsia" w:hAnsi="Open Sans" w:cs="Open Sans"/>
        </w:rPr>
        <w:footnoteReference w:id="6"/>
      </w:r>
      <w:r w:rsidRPr="006F1E80">
        <w:rPr>
          <w:rFonts w:ascii="Open Sans" w:eastAsiaTheme="majorEastAsia" w:hAnsi="Open Sans" w:cs="Open Sans"/>
        </w:rPr>
        <w:t xml:space="preserve">; </w:t>
      </w:r>
      <w:r w:rsidRPr="006F1E80">
        <w:rPr>
          <w:rFonts w:ascii="Open Sans" w:eastAsiaTheme="majorEastAsia" w:hAnsi="Open Sans" w:cs="Open Sans"/>
        </w:rPr>
        <w:br w:type="page"/>
      </w:r>
    </w:p>
    <w:p w14:paraId="377CBA5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ogniw fotowoltaicznych (systemy PV - wykorzystanie energii promieniowania słonecznego); </w:t>
      </w:r>
    </w:p>
    <w:p w14:paraId="470571EC" w14:textId="01579D05"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urządzeń wykorzystujących energię geotermalną niskotemperaturową, </w:t>
      </w:r>
      <w:r w:rsidR="006F1E80">
        <w:rPr>
          <w:rFonts w:ascii="Open Sans" w:eastAsiaTheme="majorEastAsia" w:hAnsi="Open Sans" w:cs="Open Sans"/>
        </w:rPr>
        <w:br/>
      </w:r>
      <w:r w:rsidRPr="006F1E80">
        <w:rPr>
          <w:rFonts w:ascii="Open Sans" w:eastAsiaTheme="majorEastAsia" w:hAnsi="Open Sans" w:cs="Open Sans"/>
        </w:rPr>
        <w:t>w tym przede wszystkim pomp ciepła</w:t>
      </w:r>
      <w:r w:rsidRPr="006F1E80">
        <w:rPr>
          <w:rStyle w:val="Odwoanieprzypisudolnego"/>
          <w:rFonts w:ascii="Open Sans" w:eastAsiaTheme="majorEastAsia" w:hAnsi="Open Sans" w:cs="Open Sans"/>
        </w:rPr>
        <w:footnoteReference w:id="7"/>
      </w:r>
      <w:r w:rsidRPr="006F1E80">
        <w:rPr>
          <w:rFonts w:ascii="Open Sans" w:eastAsiaTheme="majorEastAsia" w:hAnsi="Open Sans" w:cs="Open Sans"/>
        </w:rPr>
        <w:t xml:space="preserve">; </w:t>
      </w:r>
    </w:p>
    <w:p w14:paraId="36F04E2A"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instalacji </w:t>
      </w:r>
      <w:proofErr w:type="spellStart"/>
      <w:r w:rsidRPr="006F1E80">
        <w:rPr>
          <w:rFonts w:ascii="Open Sans" w:eastAsiaTheme="majorEastAsia" w:hAnsi="Open Sans" w:cs="Open Sans"/>
        </w:rPr>
        <w:t>mikrokogeneracji</w:t>
      </w:r>
      <w:proofErr w:type="spellEnd"/>
      <w:r w:rsidRPr="006F1E80">
        <w:rPr>
          <w:rFonts w:ascii="Open Sans" w:eastAsiaTheme="majorEastAsia" w:hAnsi="Open Sans" w:cs="Open Sans"/>
        </w:rPr>
        <w:t xml:space="preserve"> lub </w:t>
      </w:r>
      <w:proofErr w:type="spellStart"/>
      <w:r w:rsidRPr="006F1E80">
        <w:rPr>
          <w:rFonts w:ascii="Open Sans" w:eastAsiaTheme="majorEastAsia" w:hAnsi="Open Sans" w:cs="Open Sans"/>
        </w:rPr>
        <w:t>mikrotrigeneracji</w:t>
      </w:r>
      <w:proofErr w:type="spellEnd"/>
      <w:r w:rsidRPr="006F1E80">
        <w:rPr>
          <w:rFonts w:ascii="Open Sans" w:eastAsiaTheme="majorEastAsia" w:hAnsi="Open Sans" w:cs="Open Sans"/>
        </w:rPr>
        <w:t xml:space="preserve"> na potrzeby własne.</w:t>
      </w:r>
    </w:p>
    <w:p w14:paraId="06FCDD4D"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 xml:space="preserve">8. Pozostałe prace związane z modernizacją/wymianą źródła energii: </w:t>
      </w:r>
    </w:p>
    <w:p w14:paraId="2DC2846D"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okładziny ceramiczne i malowanie pomieszczeń źródła ciepła; </w:t>
      </w:r>
    </w:p>
    <w:p w14:paraId="1A5F1EF2"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przegrody okienne w pomieszczeniach źródła ciepła; </w:t>
      </w:r>
    </w:p>
    <w:p w14:paraId="4E32D91E"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instalacje elektryczne; </w:t>
      </w:r>
    </w:p>
    <w:p w14:paraId="0FC03E60"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instalacje wentylacyjne; </w:t>
      </w:r>
    </w:p>
    <w:p w14:paraId="5D25A09F"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instalacje kanalizacyjne; </w:t>
      </w:r>
    </w:p>
    <w:p w14:paraId="078FD300"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instalacje przeciwpożarowe; </w:t>
      </w:r>
    </w:p>
    <w:p w14:paraId="339E554F"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place składowe na paliwo, w tym pomieszczenia zbiorników na paliwo; </w:t>
      </w:r>
    </w:p>
    <w:p w14:paraId="5C3B74EA"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instalacja załadowcza paliwa i niezbędny sprzęt wyładowczo – załadowczy paliwa; </w:t>
      </w:r>
    </w:p>
    <w:p w14:paraId="70011E34"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modernizacja / wymiana instalacji i armatury hydraulicznej; </w:t>
      </w:r>
    </w:p>
    <w:p w14:paraId="75F0B1FD"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instalacja uzdatniania wody; </w:t>
      </w:r>
    </w:p>
    <w:p w14:paraId="2DE935EA"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 wymiana układów automatycznego sterowania pracą instalacji; </w:t>
      </w:r>
    </w:p>
    <w:p w14:paraId="66C62759"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obiegów cyrkulacyjnych w źródle ciepła; </w:t>
      </w:r>
    </w:p>
    <w:p w14:paraId="5AE07D43"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gruntowych wymienników ciepła; </w:t>
      </w:r>
    </w:p>
    <w:p w14:paraId="71325DCF"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wykonanie dolnego źródła ciepła wraz z pracami odtworzeniowymi;  </w:t>
      </w:r>
    </w:p>
    <w:p w14:paraId="3445D2AC"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zakup i montaż urządzeń do magazynowania ciepła i energii elektrycznej (w tym zasobniki ciepła i akumulatory);  </w:t>
      </w:r>
    </w:p>
    <w:p w14:paraId="75AFEFB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opłaty za wykonanie przyłącza gazowego, jeżeli są niezbędne dla realizacji projektu oraz jeśli stanowią koszt dla beneficjenta; </w:t>
      </w:r>
    </w:p>
    <w:p w14:paraId="798C3A82" w14:textId="192F6BF6"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inne roboty budowlane w obrębie pomieszczenia źródła ciepła, niezbędne dla prawidłowego funkcjonowania źródła ciepła lub wymagane przepisami, zgodnie </w:t>
      </w:r>
      <w:r w:rsidR="006F1E80">
        <w:rPr>
          <w:rFonts w:ascii="Open Sans" w:eastAsiaTheme="majorEastAsia" w:hAnsi="Open Sans" w:cs="Open Sans"/>
        </w:rPr>
        <w:br/>
      </w:r>
      <w:r w:rsidRPr="006F1E80">
        <w:rPr>
          <w:rFonts w:ascii="Open Sans" w:eastAsiaTheme="majorEastAsia" w:hAnsi="Open Sans" w:cs="Open Sans"/>
        </w:rPr>
        <w:t xml:space="preserve">z dokumentacją projektową.  </w:t>
      </w:r>
    </w:p>
    <w:p w14:paraId="13AD9753"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 xml:space="preserve">9. Modernizacja instalacji ciepłej wody użytkowej. </w:t>
      </w:r>
    </w:p>
    <w:p w14:paraId="0592F5A4"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rurociągów i izolacji; </w:t>
      </w:r>
    </w:p>
    <w:p w14:paraId="71E647AD"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 zastosowanie izolacji termicznej przewodów instalacji c.w.u.; </w:t>
      </w:r>
    </w:p>
    <w:p w14:paraId="2A58B368"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wyposażenie instalacji w system cyrkulacji c.w.u., w tych przypadkach, które są uzasadnione i wynikają z audytu energetycznego ex-ante; </w:t>
      </w:r>
    </w:p>
    <w:p w14:paraId="27E7647D"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sterowania czasowego instalacji cyrkulacyjnej, </w:t>
      </w:r>
    </w:p>
    <w:p w14:paraId="7306E2BA"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w:t>
      </w:r>
      <w:r w:rsidRPr="006F1E80">
        <w:rPr>
          <w:rFonts w:ascii="Open Sans" w:hAnsi="Open Sans" w:cs="Open Sans"/>
        </w:rPr>
        <w:tab/>
      </w:r>
      <w:r w:rsidRPr="006F1E80">
        <w:rPr>
          <w:rFonts w:ascii="Open Sans" w:eastAsiaTheme="majorEastAsia" w:hAnsi="Open Sans" w:cs="Open Sans"/>
        </w:rPr>
        <w:t xml:space="preserve">armatury regulacyjnej w zakresie regulacji hydraulicznej, w tym zaworów </w:t>
      </w:r>
      <w:proofErr w:type="spellStart"/>
      <w:r w:rsidRPr="006F1E80">
        <w:rPr>
          <w:rFonts w:ascii="Open Sans" w:eastAsiaTheme="majorEastAsia" w:hAnsi="Open Sans" w:cs="Open Sans"/>
        </w:rPr>
        <w:t>podpionowych</w:t>
      </w:r>
      <w:proofErr w:type="spellEnd"/>
      <w:r w:rsidRPr="006F1E80">
        <w:rPr>
          <w:rFonts w:ascii="Open Sans" w:eastAsiaTheme="majorEastAsia" w:hAnsi="Open Sans" w:cs="Open Sans"/>
        </w:rPr>
        <w:t xml:space="preserve">; </w:t>
      </w:r>
    </w:p>
    <w:p w14:paraId="6A34F92C"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 zastosowanie zbiorników c.w.u. oraz ich izolacja; </w:t>
      </w:r>
    </w:p>
    <w:p w14:paraId="0D47F3B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montaż / modernizacja / wymiana węzłów cieplnych dla potrzeb c.w.u.; </w:t>
      </w:r>
    </w:p>
    <w:p w14:paraId="1C5D6815"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w:t>
      </w:r>
      <w:proofErr w:type="spellStart"/>
      <w:r w:rsidRPr="006F1E80">
        <w:rPr>
          <w:rFonts w:ascii="Open Sans" w:eastAsiaTheme="majorEastAsia" w:hAnsi="Open Sans" w:cs="Open Sans"/>
        </w:rPr>
        <w:t>perlatorów</w:t>
      </w:r>
      <w:proofErr w:type="spellEnd"/>
      <w:r w:rsidRPr="006F1E80">
        <w:rPr>
          <w:rFonts w:ascii="Open Sans" w:eastAsiaTheme="majorEastAsia" w:hAnsi="Open Sans" w:cs="Open Sans"/>
        </w:rPr>
        <w:t xml:space="preserve"> oraz zaworów ograniczających ciśnienie, w tym kryz dławiących jako reduktorów przepływu; </w:t>
      </w:r>
    </w:p>
    <w:p w14:paraId="466EB4BC"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baterii bezdotykowych lub jednouchwytowych, </w:t>
      </w:r>
    </w:p>
    <w:p w14:paraId="20187899"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baterii z ograniczonym czasem wypływu; </w:t>
      </w:r>
    </w:p>
    <w:p w14:paraId="65D7596D"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nowoczesnej armatury czerpalnej sterowanej zjawiskiem fotokomórki (spłuczki ustępowe, baterie, itp.);  </w:t>
      </w:r>
    </w:p>
    <w:p w14:paraId="118E8E41"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liczniki ciepła lub zużycia wody na potrzeby c.w.u.; </w:t>
      </w:r>
    </w:p>
    <w:p w14:paraId="24F41D6B"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wymiana instalacji zimnej wody w niezbędnym zakresie, związanym z modernizacją instalacji c.w.u.</w:t>
      </w:r>
    </w:p>
    <w:p w14:paraId="4419687D" w14:textId="77777777" w:rsidR="00841F8B" w:rsidRDefault="00841F8B" w:rsidP="006F1E80">
      <w:pPr>
        <w:spacing w:after="120" w:line="276" w:lineRule="auto"/>
        <w:rPr>
          <w:rFonts w:ascii="Open Sans" w:eastAsiaTheme="majorEastAsia" w:hAnsi="Open Sans" w:cs="Open Sans"/>
        </w:rPr>
      </w:pPr>
    </w:p>
    <w:p w14:paraId="75DF6218" w14:textId="77777777" w:rsidR="006F1E80" w:rsidRPr="006F1E80" w:rsidRDefault="006F1E80" w:rsidP="006F1E80">
      <w:pPr>
        <w:spacing w:after="120" w:line="276" w:lineRule="auto"/>
        <w:rPr>
          <w:rFonts w:ascii="Open Sans" w:eastAsiaTheme="majorEastAsia" w:hAnsi="Open Sans" w:cs="Open Sans"/>
        </w:rPr>
      </w:pPr>
    </w:p>
    <w:p w14:paraId="1DCA5C5A"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10.</w:t>
      </w:r>
      <w:r w:rsidRPr="006F1E80">
        <w:rPr>
          <w:rFonts w:ascii="Open Sans" w:hAnsi="Open Sans" w:cs="Open Sans"/>
          <w:b/>
          <w:bCs/>
        </w:rPr>
        <w:tab/>
      </w:r>
      <w:r w:rsidRPr="006F1E80">
        <w:rPr>
          <w:rFonts w:ascii="Open Sans" w:eastAsiaTheme="majorEastAsia" w:hAnsi="Open Sans" w:cs="Open Sans"/>
          <w:b/>
          <w:bCs/>
        </w:rPr>
        <w:t>Montaż/modernizacja instalacji wentylacji</w:t>
      </w:r>
      <w:r w:rsidRPr="006F1E80">
        <w:rPr>
          <w:rStyle w:val="Odwoanieprzypisudolnego"/>
          <w:rFonts w:ascii="Open Sans" w:eastAsiaTheme="majorEastAsia" w:hAnsi="Open Sans" w:cs="Open Sans"/>
          <w:b/>
          <w:bCs/>
        </w:rPr>
        <w:footnoteReference w:id="8"/>
      </w:r>
      <w:r w:rsidRPr="006F1E80">
        <w:rPr>
          <w:rFonts w:ascii="Open Sans" w:eastAsiaTheme="majorEastAsia" w:hAnsi="Open Sans" w:cs="Open Sans"/>
          <w:b/>
          <w:bCs/>
        </w:rPr>
        <w:t xml:space="preserve">  i klimatyzacji. </w:t>
      </w:r>
    </w:p>
    <w:p w14:paraId="7745B378"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wentylacji mechanicznej nawiewnej; </w:t>
      </w:r>
    </w:p>
    <w:p w14:paraId="48030D70"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wentylacji mechanicznej wywiewnej; </w:t>
      </w:r>
    </w:p>
    <w:p w14:paraId="38274B7E"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wentylacji mechanicznej </w:t>
      </w:r>
      <w:proofErr w:type="spellStart"/>
      <w:r w:rsidRPr="006F1E80">
        <w:rPr>
          <w:rFonts w:ascii="Open Sans" w:eastAsiaTheme="majorEastAsia" w:hAnsi="Open Sans" w:cs="Open Sans"/>
        </w:rPr>
        <w:t>nawiewno</w:t>
      </w:r>
      <w:proofErr w:type="spellEnd"/>
      <w:r w:rsidRPr="006F1E80">
        <w:rPr>
          <w:rFonts w:ascii="Open Sans" w:eastAsiaTheme="majorEastAsia" w:hAnsi="Open Sans" w:cs="Open Sans"/>
        </w:rPr>
        <w:t xml:space="preserve"> – wywiewnej; </w:t>
      </w:r>
    </w:p>
    <w:p w14:paraId="5687F764"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wentylacji mechanicznej </w:t>
      </w:r>
      <w:proofErr w:type="spellStart"/>
      <w:r w:rsidRPr="006F1E80">
        <w:rPr>
          <w:rFonts w:ascii="Open Sans" w:eastAsiaTheme="majorEastAsia" w:hAnsi="Open Sans" w:cs="Open Sans"/>
        </w:rPr>
        <w:t>nawiewno</w:t>
      </w:r>
      <w:proofErr w:type="spellEnd"/>
      <w:r w:rsidRPr="006F1E80">
        <w:rPr>
          <w:rFonts w:ascii="Open Sans" w:eastAsiaTheme="majorEastAsia" w:hAnsi="Open Sans" w:cs="Open Sans"/>
        </w:rPr>
        <w:t xml:space="preserve"> – wywiewnej z odzyskiem ciepła; </w:t>
      </w:r>
    </w:p>
    <w:p w14:paraId="392A9045"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montaż nawiewników </w:t>
      </w:r>
      <w:proofErr w:type="spellStart"/>
      <w:r w:rsidRPr="006F1E80">
        <w:rPr>
          <w:rFonts w:ascii="Open Sans" w:eastAsiaTheme="majorEastAsia" w:hAnsi="Open Sans" w:cs="Open Sans"/>
        </w:rPr>
        <w:t>higrosterowanych</w:t>
      </w:r>
      <w:proofErr w:type="spellEnd"/>
      <w:r w:rsidRPr="006F1E80">
        <w:rPr>
          <w:rFonts w:ascii="Open Sans" w:eastAsiaTheme="majorEastAsia" w:hAnsi="Open Sans" w:cs="Open Sans"/>
        </w:rPr>
        <w:t xml:space="preserve">, automatycznych w oknach i kanałach wentylacyjnych; </w:t>
      </w:r>
    </w:p>
    <w:p w14:paraId="30ED71D9"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montaż nawiewników sterowanych ręcznie;</w:t>
      </w:r>
    </w:p>
    <w:p w14:paraId="20354FF3"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wentylacji hybrydowej z układem automatyki sterującej; </w:t>
      </w:r>
    </w:p>
    <w:p w14:paraId="3848E702"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system chłodzenia, w tym z wykorzystaniem zewnętrznej sieci ciepłowniczej; </w:t>
      </w:r>
    </w:p>
    <w:p w14:paraId="5FD30760" w14:textId="15C3310D"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zastosowanie klimatyzacji, pod warunkiem, że w wyniku tego działania nastąpi optymalizacja zużycia energii, prowadząca do zmniejszenia emisji dwutlenku węgla, </w:t>
      </w:r>
      <w:r w:rsidR="006F1E80">
        <w:rPr>
          <w:rFonts w:ascii="Open Sans" w:eastAsiaTheme="majorEastAsia" w:hAnsi="Open Sans" w:cs="Open Sans"/>
        </w:rPr>
        <w:br/>
      </w:r>
      <w:r w:rsidRPr="006F1E80">
        <w:rPr>
          <w:rFonts w:ascii="Open Sans" w:eastAsiaTheme="majorEastAsia" w:hAnsi="Open Sans" w:cs="Open Sans"/>
        </w:rPr>
        <w:t xml:space="preserve">w tym również w kierunku wykorzystania OZE i (mikro) </w:t>
      </w:r>
      <w:proofErr w:type="spellStart"/>
      <w:r w:rsidRPr="006F1E80">
        <w:rPr>
          <w:rFonts w:ascii="Open Sans" w:eastAsiaTheme="majorEastAsia" w:hAnsi="Open Sans" w:cs="Open Sans"/>
        </w:rPr>
        <w:t>trigeneracji</w:t>
      </w:r>
      <w:proofErr w:type="spellEnd"/>
      <w:r w:rsidRPr="006F1E80">
        <w:rPr>
          <w:rFonts w:ascii="Open Sans" w:eastAsiaTheme="majorEastAsia" w:hAnsi="Open Sans" w:cs="Open Sans"/>
        </w:rPr>
        <w:t xml:space="preserve">; </w:t>
      </w:r>
    </w:p>
    <w:p w14:paraId="3DCECAF0"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stosowanie alternatywnych systemów chłodzenia i klimatyzacji np. materiały zmiennofazowe, itp.; </w:t>
      </w:r>
    </w:p>
    <w:p w14:paraId="414C239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zastosowanie gruntowych wymienników ciepła.</w:t>
      </w:r>
    </w:p>
    <w:p w14:paraId="54E492E4"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 xml:space="preserve">11. Prace przygotowawcze i roboty towarzyszące oraz inne koszty kwalifikowane. </w:t>
      </w:r>
    </w:p>
    <w:p w14:paraId="5FE428F7"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 xml:space="preserve">Przygotowanie projektu: </w:t>
      </w:r>
    </w:p>
    <w:p w14:paraId="4F047A66"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wykonanie studiów wykonalności inwestycji (jeśli jest wymagane np. w projektach systemowych); </w:t>
      </w:r>
    </w:p>
    <w:p w14:paraId="79D87FC1"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wykonanie raportów oddziaływania na środowisko (jeśli jest wymagane); </w:t>
      </w:r>
    </w:p>
    <w:p w14:paraId="01AA141D"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wykonanie audytu energetycznego ex-ante; </w:t>
      </w:r>
    </w:p>
    <w:p w14:paraId="74D25FE5"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wykonanie dokumentacji technicznej (projektów), związanych z planowaną kompleksową modernizacją energetyczną budynków (do kosztów kwalifikowanych zalicza się koszty związane z opracowaniem projektów budowlanych, obejmujących prace dotyczące oszczędności energii); </w:t>
      </w:r>
    </w:p>
    <w:p w14:paraId="45B5B959"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inwentaryzacja budynku przeprowadzona przez przyrodnika</w:t>
      </w:r>
      <w:r w:rsidRPr="006F1E80">
        <w:rPr>
          <w:rStyle w:val="Odwoanieprzypisudolnego"/>
          <w:rFonts w:ascii="Open Sans" w:eastAsiaTheme="majorEastAsia" w:hAnsi="Open Sans" w:cs="Open Sans"/>
        </w:rPr>
        <w:footnoteReference w:id="9"/>
      </w:r>
      <w:r w:rsidRPr="006F1E80">
        <w:rPr>
          <w:rFonts w:ascii="Open Sans" w:eastAsiaTheme="majorEastAsia" w:hAnsi="Open Sans" w:cs="Open Sans"/>
        </w:rPr>
        <w:t>, która określi jakie gatunki ptaków i nietoperzy zasiedlają budynek i czy wymagane są zgody RDOŚ na odstępstwa od zakazów w stosunku do dziko występujących zwierząt objętych ochroną;</w:t>
      </w:r>
    </w:p>
    <w:p w14:paraId="67945296" w14:textId="5EAA59A2"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wykonanie dokumentacji przetargowej, przy czym dokumentacja przetargowa powinna zawierać wymóg dla wykonawcy robót, aby prace modernizacyjne były spójne </w:t>
      </w:r>
      <w:r w:rsidR="006F1E80">
        <w:rPr>
          <w:rFonts w:ascii="Open Sans" w:eastAsiaTheme="majorEastAsia" w:hAnsi="Open Sans" w:cs="Open Sans"/>
        </w:rPr>
        <w:br/>
      </w:r>
      <w:r w:rsidRPr="006F1E80">
        <w:rPr>
          <w:rFonts w:ascii="Open Sans" w:eastAsiaTheme="majorEastAsia" w:hAnsi="Open Sans" w:cs="Open Sans"/>
        </w:rPr>
        <w:t xml:space="preserve">z zasadą DNSH, w szczególności aby realizacja działań na rzecz maksymalizacji wskaźnika (wagowo) odpadów budowlanych i rozbiórkowych innych niż niebezpieczne </w:t>
      </w:r>
      <w:r w:rsidR="006F1E80">
        <w:rPr>
          <w:rFonts w:ascii="Open Sans" w:eastAsiaTheme="majorEastAsia" w:hAnsi="Open Sans" w:cs="Open Sans"/>
        </w:rPr>
        <w:br/>
      </w:r>
      <w:r w:rsidRPr="006F1E80">
        <w:rPr>
          <w:rFonts w:ascii="Open Sans" w:eastAsiaTheme="majorEastAsia" w:hAnsi="Open Sans" w:cs="Open Sans"/>
        </w:rPr>
        <w:t xml:space="preserve">(z wyłączeniem naturalnie występujących materiałów, o których mowa w kategorii 17 05 04 w europejskim wykazie odpadów, ustanowionym decyzją 2000/532/WE) wytworzonych na placu budowy, możliwych do ponownego użycia, recyklingu i innego odzysku materiałów, uwzględniając lokalne możliwości w tym zakresie jak również rodzaj i charakter danego projektu oraz aby odpowiednio dobrano technologie, materiały </w:t>
      </w:r>
      <w:r w:rsidR="006F1E80">
        <w:rPr>
          <w:rFonts w:ascii="Open Sans" w:eastAsiaTheme="majorEastAsia" w:hAnsi="Open Sans" w:cs="Open Sans"/>
        </w:rPr>
        <w:br/>
      </w:r>
      <w:r w:rsidRPr="006F1E80">
        <w:rPr>
          <w:rFonts w:ascii="Open Sans" w:eastAsiaTheme="majorEastAsia" w:hAnsi="Open Sans" w:cs="Open Sans"/>
        </w:rPr>
        <w:t xml:space="preserve">i urządzenia mający na celu zachowanie zasady DNSH. </w:t>
      </w:r>
    </w:p>
    <w:p w14:paraId="40313ABB" w14:textId="77777777" w:rsidR="00841F8B" w:rsidRPr="006F1E80" w:rsidRDefault="00841F8B" w:rsidP="006F1E80">
      <w:pPr>
        <w:spacing w:after="120" w:line="276" w:lineRule="auto"/>
        <w:rPr>
          <w:rFonts w:ascii="Open Sans" w:eastAsiaTheme="majorEastAsia" w:hAnsi="Open Sans" w:cs="Open Sans"/>
          <w:b/>
          <w:bCs/>
        </w:rPr>
      </w:pPr>
    </w:p>
    <w:p w14:paraId="3BA6E389"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 xml:space="preserve">Roboty towarzyszące: </w:t>
      </w:r>
    </w:p>
    <w:p w14:paraId="0C73E32D"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 roboty związane z automatyką budynku (budynki inteligentne) – wyposażenie budynku w system czujników i detektorów oraz jeden, zintegrowany system zarządzania wszystkimi znajdującymi się w budynku instalacjami (w tym np. wyposażenie budynków w takie systemy jak BMS – </w:t>
      </w:r>
      <w:proofErr w:type="spellStart"/>
      <w:r w:rsidRPr="006F1E80">
        <w:rPr>
          <w:rFonts w:ascii="Open Sans" w:eastAsiaTheme="majorEastAsia" w:hAnsi="Open Sans" w:cs="Open Sans"/>
        </w:rPr>
        <w:t>Building</w:t>
      </w:r>
      <w:proofErr w:type="spellEnd"/>
      <w:r w:rsidRPr="006F1E80">
        <w:rPr>
          <w:rFonts w:ascii="Open Sans" w:eastAsiaTheme="majorEastAsia" w:hAnsi="Open Sans" w:cs="Open Sans"/>
        </w:rPr>
        <w:t xml:space="preserve"> Management System, LCN – system sterowania urządzeniami elektrycznymi, czy KNX – system sterowania budynkiem lub o podobnym zakresie działania), </w:t>
      </w:r>
    </w:p>
    <w:p w14:paraId="54DEF81C" w14:textId="483D85CD"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wykonywanie wszelkich robót poprawiających bilans energetyczny budynku, takich </w:t>
      </w:r>
      <w:r w:rsidR="006F1E80">
        <w:rPr>
          <w:rFonts w:ascii="Open Sans" w:eastAsiaTheme="majorEastAsia" w:hAnsi="Open Sans" w:cs="Open Sans"/>
        </w:rPr>
        <w:br/>
      </w:r>
      <w:r w:rsidRPr="006F1E80">
        <w:rPr>
          <w:rFonts w:ascii="Open Sans" w:eastAsiaTheme="majorEastAsia" w:hAnsi="Open Sans" w:cs="Open Sans"/>
        </w:rPr>
        <w:t xml:space="preserve">np. jak przeszklenia, werandy, ścianki akumulujące ciepło lub inne wskazane w audycie energetycznym ex-ante elementy budowlane, zwiększające wykorzystanie zysków ciepła od nasłonecznienia, jak również elementy zacieniające, jeżeli wynika to z audytu energetycznego ex-ante; </w:t>
      </w:r>
    </w:p>
    <w:p w14:paraId="08E11DF2"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likwidacja mostków cieplnych (połączenia balkonu ze stropem, wieńce i nadproża, okna i parapety, ściany piwnic, attyka itp.); </w:t>
      </w:r>
    </w:p>
    <w:p w14:paraId="3F46833D"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badanie termowizyjne w celu wstępnego określenia zakresu robót; </w:t>
      </w:r>
    </w:p>
    <w:p w14:paraId="0F25891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zewnętrznych parapetów okiennych i obróbek blacharskich w przypadku balkonów i loggii, łącznie z wykonaniem ocieplenia ścian zewnętrznych; </w:t>
      </w:r>
    </w:p>
    <w:p w14:paraId="2E08E73C"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urządzeń energii pomocniczej na energooszczędne (wymiana pomp, wymiana napędów); </w:t>
      </w:r>
    </w:p>
    <w:p w14:paraId="269BC543"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wymiana wind na windy z napędami energooszczędnymi; </w:t>
      </w:r>
    </w:p>
    <w:p w14:paraId="40EB545C"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przełożenie instalacji odgromowych (w tym odtworzenie); </w:t>
      </w:r>
    </w:p>
    <w:p w14:paraId="1F103008"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wykończenie (gipsowanie, tynkowanie) ościeży w przypadku wymiany okien i drzwi; </w:t>
      </w:r>
    </w:p>
    <w:p w14:paraId="4B0F57E1"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naprawa lokalnych uszkodzeń tynków, podłóg oraz malowanie – w przypadku działań związanych z modernizacją (wymianą) instalacji wewnętrznych; </w:t>
      </w:r>
    </w:p>
    <w:p w14:paraId="26AB3CB0"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przystosowanie pomieszczeń w przypadku modernizacji </w:t>
      </w:r>
      <w:proofErr w:type="gramStart"/>
      <w:r w:rsidRPr="006F1E80">
        <w:rPr>
          <w:rFonts w:ascii="Open Sans" w:eastAsiaTheme="majorEastAsia" w:hAnsi="Open Sans" w:cs="Open Sans"/>
        </w:rPr>
        <w:t>kotłowni,</w:t>
      </w:r>
      <w:proofErr w:type="gramEnd"/>
      <w:r w:rsidRPr="006F1E80">
        <w:rPr>
          <w:rFonts w:ascii="Open Sans" w:eastAsiaTheme="majorEastAsia" w:hAnsi="Open Sans" w:cs="Open Sans"/>
        </w:rPr>
        <w:t xml:space="preserve"> czy instalacji węzła cieplnego; </w:t>
      </w:r>
    </w:p>
    <w:p w14:paraId="1243FFA3"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wszelkie roboty związane z usuwaniem wilgoci i zabezpieczenie budynku przed tzw. wilgocią kapilarną; </w:t>
      </w:r>
    </w:p>
    <w:p w14:paraId="55B2BF92"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zabezpieczenie placu budowy oraz doprowadzenie go do stanu użytkowania po zakończeniu robót budowlanych; </w:t>
      </w:r>
    </w:p>
    <w:p w14:paraId="456C1616"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pozostałe prace uzupełniające i towarzyszące niezbędne do prawidłowej realizacji prac termomodernizacyjnych, uzyskania i utrzymania efektów ekologicznych i energetycznych przedsięwzięcia; </w:t>
      </w:r>
    </w:p>
    <w:p w14:paraId="5E981FDC"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prace związane z adaptacją budynku odnośnie nasilenia niekorzystnych skutków zmian klimatu, tj. wzrost wielkości opadów atmosferycznych, wzrost temperatur i wzrost ryzyka pożaru, w szczególności zapewnienie bezpieczeństwa pożarowego budynku poprzez dostosowanie do wymogów określonych w Rozporządzeniu Ministra Infrastruktury z dnia 12 kwietnia 2002 r. w sprawie warunków technicznych, jakim powinny odpowiadać budynki i ich usytuowanie z późn. zm.</w:t>
      </w:r>
      <w:r w:rsidRPr="006F1E80">
        <w:rPr>
          <w:rStyle w:val="Odwoanieprzypisudolnego"/>
          <w:rFonts w:ascii="Open Sans" w:eastAsiaTheme="majorEastAsia" w:hAnsi="Open Sans" w:cs="Open Sans"/>
        </w:rPr>
        <w:footnoteReference w:id="10"/>
      </w:r>
      <w:r w:rsidRPr="006F1E80">
        <w:rPr>
          <w:rFonts w:ascii="Open Sans" w:eastAsiaTheme="majorEastAsia" w:hAnsi="Open Sans" w:cs="Open Sans"/>
        </w:rPr>
        <w:t>, działania dostosowawcze w budynkach publicznych w zakresie przygotowania infrastruktury obiektu, pod kątem odporności na zagrożenie użycia broni kinetycznej, jak i tzw. ABC;</w:t>
      </w:r>
    </w:p>
    <w:p w14:paraId="0D0B1AE9"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prace dotyczące zabezpieczenia budynku, przeprowadzone zgodnie z wytycznymi właściwego terytorialnie organu ochrony przyrody, przed zasiedleniem przez ptaki i nietoperze (likwidacja otworów i szczelin przed przystąpieniem do prac termomodernizacyjnych, wykonana na podstawie opinii RDOŚ poza sezonem lęgowym ptaków oraz okresem przebywania nietoperzy); </w:t>
      </w:r>
    </w:p>
    <w:p w14:paraId="7E1403E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kompensacja utraconych miejsc gniazdowania ptaków lub miejsc ukrycia się nietoperzy, zalecona przez RDOŚ</w:t>
      </w:r>
      <w:r w:rsidRPr="006F1E80">
        <w:rPr>
          <w:rStyle w:val="Odwoanieprzypisudolnego"/>
          <w:rFonts w:ascii="Open Sans" w:eastAsiaTheme="majorEastAsia" w:hAnsi="Open Sans" w:cs="Open Sans"/>
        </w:rPr>
        <w:footnoteReference w:id="11"/>
      </w:r>
      <w:r w:rsidRPr="006F1E80">
        <w:rPr>
          <w:rFonts w:ascii="Open Sans" w:eastAsiaTheme="majorEastAsia" w:hAnsi="Open Sans" w:cs="Open Sans"/>
        </w:rPr>
        <w:t xml:space="preserve"> (np. zamontowanie na budynku odpowiednich budek lęgowych). </w:t>
      </w:r>
    </w:p>
    <w:p w14:paraId="60E6BC03" w14:textId="77777777" w:rsidR="00841F8B" w:rsidRPr="006F1E80" w:rsidRDefault="00841F8B" w:rsidP="006F1E80">
      <w:pPr>
        <w:spacing w:after="120" w:line="276" w:lineRule="auto"/>
        <w:rPr>
          <w:rFonts w:ascii="Open Sans" w:eastAsiaTheme="majorEastAsia" w:hAnsi="Open Sans" w:cs="Open Sans"/>
          <w:b/>
          <w:bCs/>
        </w:rPr>
      </w:pPr>
    </w:p>
    <w:p w14:paraId="0EC7AC1D"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 xml:space="preserve">Odbiór przedsięwzięcia, polegającego na kompleksowej modernizacji energetycznej budynków oraz inne koszty kwalifikowane: </w:t>
      </w:r>
    </w:p>
    <w:p w14:paraId="1D22930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wykonanie audytu energetycznego ex-post, w tym badania i ocena uzyskanych efektów;  </w:t>
      </w:r>
    </w:p>
    <w:p w14:paraId="526F39C0"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Przez audyt energetyczny ex-post należy rozumieć raport zawierający:</w:t>
      </w:r>
    </w:p>
    <w:p w14:paraId="10075C29" w14:textId="1DE016C1"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tabele potwierdzające wykonanie efektów ekologicznych i energetycznych zgodnie </w:t>
      </w:r>
      <w:r w:rsidR="006F1E80">
        <w:rPr>
          <w:rFonts w:ascii="Open Sans" w:eastAsiaTheme="majorEastAsia" w:hAnsi="Open Sans" w:cs="Open Sans"/>
        </w:rPr>
        <w:br/>
      </w:r>
      <w:r w:rsidRPr="006F1E80">
        <w:rPr>
          <w:rFonts w:ascii="Open Sans" w:eastAsiaTheme="majorEastAsia" w:hAnsi="Open Sans" w:cs="Open Sans"/>
        </w:rPr>
        <w:t>z nomenklaturą naboru;</w:t>
      </w:r>
    </w:p>
    <w:p w14:paraId="05674978"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zestawienie faktycznie wykonanych prac;</w:t>
      </w:r>
    </w:p>
    <w:p w14:paraId="667A3963"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aktualizację karty audytu energetycznego, wykonaną przez audytora wraz z obliczeniami wykonanymi zgodnie z metodyką przyjętą na etapie audytu ex-ante (wykonane dla faktycznie zrealizowanych usprawnień na podstawie odebranej dokumentacji powykonawczej);</w:t>
      </w:r>
    </w:p>
    <w:p w14:paraId="79F87F07"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 - inne badania i opracowania o charakterze technicznym, jeżeli były niezbędne do potwierdzenia uzyskanego efektu energetycznego i ekologicznego, w tym próba szczelności budynku (przeprowadzona zgodnie z Polską Normą), badania termowizyjne budynków i instalacji (wraz z raportem z badań w formie raportu termograficznego) wykonane w odpowiednich warunkach, lecz nie później niż w ciągu jednego kwartału od zakończenia robót termomodernizacyjnych; </w:t>
      </w:r>
    </w:p>
    <w:p w14:paraId="4D2E173E" w14:textId="554D2BA7"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Koszty związane z badaniami są kwalifikowane wyłącznie, jeżeli są przeprowadzone zgodnie</w:t>
      </w:r>
      <w:r w:rsidR="006F1E80">
        <w:rPr>
          <w:rFonts w:ascii="Open Sans" w:eastAsiaTheme="majorEastAsia" w:hAnsi="Open Sans" w:cs="Open Sans"/>
          <w:i/>
          <w:iCs/>
        </w:rPr>
        <w:br/>
      </w:r>
      <w:r w:rsidRPr="006F1E80">
        <w:rPr>
          <w:rFonts w:ascii="Open Sans" w:eastAsiaTheme="majorEastAsia" w:hAnsi="Open Sans" w:cs="Open Sans"/>
          <w:i/>
          <w:iCs/>
        </w:rPr>
        <w:t xml:space="preserve">z zasadami przeprowadzenia badań określonych w normach PN-EN 13187 „Właściwości cieplne budynków – Jakościowa detekcja wad cieplnych w obudowie budynku – Metoda podczerwieni” oraz PN-EN 13829 „Właściwości cieplne budynków. Określenie przepuszczalności powietrznej budynków. Metoda pomiaru ciśnieniowego z użyciem wentylatora”. </w:t>
      </w:r>
    </w:p>
    <w:p w14:paraId="7C3E8E58" w14:textId="77777777"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Celem audytu energetycznego ex-post jest obliczenie efektu energetycznego i ekologicznego dla zakresu rzeczowego, stanowiącego różnicę zakresów i oszacowanie jego wpływu na efekt dla całego projektu. Audyt energetyczny ex-post w części dotyczącej potwierdzenia efektu energetycznego i ekologicznego (wraz ze wszystkimi niezbędnymi badaniami) jest kosztem kwalifikowanym.</w:t>
      </w:r>
    </w:p>
    <w:p w14:paraId="06E7CA98" w14:textId="77777777"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W przypadku, gdy zakres rzeczowy faktycznie wykonany w ramach głębokiej kompleksowej modernizacji energetycznej budynków (przedsięwzięcia termomodernizacyjnego) różni się od zakresu rzeczowego zaplanowanego do wykonania w audycie energetycznym na etapie ex-ante, to (po wykonaniu przedsięwzięcia) należy wykonać audyt energetyczny według tej samej metodologii, która była stosowana na etapie ex-ante. W przypadku, gdy w trakcie realizacji nastąpi zmiana zakresu rzeczowego w stopniu wymuszającym opracowanie dodatkowego audytu energetycznego, to koszt takiego audytu co do zasady nie jest kwalifikowany, chyba że zmiana zakresu wynika z przyczyn niezależnych od wnioskodawcy i ujętych w protokole konieczności.</w:t>
      </w:r>
    </w:p>
    <w:p w14:paraId="0553F02E" w14:textId="77777777" w:rsidR="00841F8B" w:rsidRPr="006F1E80" w:rsidRDefault="00841F8B" w:rsidP="006F1E80">
      <w:pPr>
        <w:spacing w:after="120" w:line="276" w:lineRule="auto"/>
        <w:rPr>
          <w:rFonts w:ascii="Open Sans" w:eastAsiaTheme="majorEastAsia" w:hAnsi="Open Sans" w:cs="Open Sans"/>
          <w:i/>
          <w:iCs/>
        </w:rPr>
      </w:pPr>
    </w:p>
    <w:p w14:paraId="0031C8B7" w14:textId="77777777" w:rsidR="00841F8B" w:rsidRPr="006F1E80" w:rsidRDefault="00841F8B" w:rsidP="006F1E80">
      <w:pPr>
        <w:pBdr>
          <w:top w:val="single" w:sz="4" w:space="1" w:color="auto"/>
          <w:left w:val="single" w:sz="4" w:space="4" w:color="auto"/>
          <w:bottom w:val="single" w:sz="4" w:space="1" w:color="auto"/>
          <w:right w:val="single" w:sz="4" w:space="4" w:color="auto"/>
        </w:pBdr>
        <w:spacing w:after="120" w:line="276" w:lineRule="auto"/>
        <w:rPr>
          <w:rFonts w:ascii="Open Sans" w:eastAsiaTheme="majorEastAsia" w:hAnsi="Open Sans" w:cs="Open Sans"/>
          <w:b/>
          <w:bCs/>
        </w:rPr>
      </w:pPr>
      <w:r w:rsidRPr="006F1E80">
        <w:rPr>
          <w:rFonts w:ascii="Open Sans" w:eastAsiaTheme="majorEastAsia" w:hAnsi="Open Sans" w:cs="Open Sans"/>
          <w:b/>
          <w:bCs/>
        </w:rPr>
        <w:t>Realizacja projektu zgodnie z zasadą DNSH</w:t>
      </w:r>
    </w:p>
    <w:p w14:paraId="10EDCA35"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Przed rozpoczęciem inwestycji termomodernizacyjnej, współfinansowanej ze środków europejskich, konieczne jest zapoznanie się z opracowaniem: „</w:t>
      </w:r>
      <w:r w:rsidRPr="006F1E80">
        <w:rPr>
          <w:rFonts w:ascii="Open Sans" w:eastAsiaTheme="majorEastAsia" w:hAnsi="Open Sans" w:cs="Open Sans"/>
          <w:b/>
          <w:bCs/>
          <w:i/>
          <w:iCs/>
        </w:rPr>
        <w:t>Zgodność przedsięwzięć finansowanych ze środków Unii Europejskiej, w tym realizowanych w ramach Krajowego Planu Odbudowy i Zwiększania Odporności, z zasadą „nie czyń znaczącej szkody” - zasadą DNSH - PODRĘCZNIK DLA BENEFICJENTA”</w:t>
      </w:r>
      <w:r w:rsidRPr="006F1E80">
        <w:rPr>
          <w:rFonts w:ascii="Open Sans" w:eastAsiaTheme="majorEastAsia" w:hAnsi="Open Sans" w:cs="Open Sans"/>
        </w:rPr>
        <w:t xml:space="preserve"> oraz </w:t>
      </w:r>
      <w:r w:rsidRPr="006F1E80">
        <w:rPr>
          <w:rStyle w:val="Hipercze"/>
          <w:rFonts w:ascii="Open Sans" w:eastAsiaTheme="majorEastAsia" w:hAnsi="Open Sans" w:cs="Open Sans"/>
          <w:color w:val="auto"/>
          <w:u w:val="none"/>
        </w:rPr>
        <w:t xml:space="preserve">z </w:t>
      </w:r>
      <w:r w:rsidRPr="006F1E80">
        <w:rPr>
          <w:rStyle w:val="Hipercze"/>
          <w:rFonts w:ascii="Open Sans" w:eastAsiaTheme="majorEastAsia" w:hAnsi="Open Sans" w:cs="Open Sans"/>
          <w:b/>
          <w:bCs/>
          <w:color w:val="auto"/>
          <w:u w:val="none"/>
        </w:rPr>
        <w:t>Analizą spełniania zasady „nie czyń poważnej szkody” (DNSH), w rozumieniu art. 17 rozporządzenia (UE) nr 2020/852</w:t>
      </w:r>
      <w:r w:rsidRPr="006F1E80">
        <w:rPr>
          <w:rStyle w:val="Hipercze"/>
          <w:rFonts w:ascii="Open Sans" w:eastAsiaTheme="majorEastAsia" w:hAnsi="Open Sans" w:cs="Open Sans"/>
          <w:color w:val="auto"/>
          <w:u w:val="none"/>
        </w:rPr>
        <w:t xml:space="preserve"> dla projektu dokumentu pn. Fundusze Europejskie na Infrastrukturę, Klimat, Środowisko 2021-2027</w:t>
      </w:r>
      <w:r w:rsidRPr="006F1E80">
        <w:rPr>
          <w:rFonts w:ascii="Open Sans" w:eastAsiaTheme="majorEastAsia" w:hAnsi="Open Sans" w:cs="Open Sans"/>
        </w:rPr>
        <w:t>, dostępnych na stronach:</w:t>
      </w:r>
    </w:p>
    <w:p w14:paraId="0D730FCD" w14:textId="77777777" w:rsidR="00841F8B" w:rsidRPr="006F1E80" w:rsidRDefault="00000000" w:rsidP="006F1E80">
      <w:pPr>
        <w:spacing w:after="120" w:line="276" w:lineRule="auto"/>
        <w:rPr>
          <w:rStyle w:val="Hipercze"/>
          <w:rFonts w:ascii="Open Sans" w:eastAsiaTheme="majorEastAsia" w:hAnsi="Open Sans" w:cs="Open Sans"/>
          <w:color w:val="auto"/>
        </w:rPr>
      </w:pPr>
      <w:hyperlink r:id="rId8">
        <w:r w:rsidR="00841F8B" w:rsidRPr="006F1E80">
          <w:rPr>
            <w:rStyle w:val="Hipercze"/>
            <w:rFonts w:ascii="Open Sans" w:eastAsiaTheme="majorEastAsia" w:hAnsi="Open Sans" w:cs="Open Sans"/>
            <w:color w:val="auto"/>
          </w:rPr>
          <w:t>https://www.gov.pl/web/planodbudowy/dnsh2</w:t>
        </w:r>
      </w:hyperlink>
      <w:r w:rsidR="00841F8B" w:rsidRPr="006F1E80">
        <w:rPr>
          <w:rStyle w:val="Hipercze"/>
          <w:rFonts w:ascii="Open Sans" w:eastAsiaTheme="majorEastAsia" w:hAnsi="Open Sans" w:cs="Open Sans"/>
          <w:color w:val="auto"/>
        </w:rPr>
        <w:t xml:space="preserve"> </w:t>
      </w:r>
    </w:p>
    <w:p w14:paraId="1231E454" w14:textId="77777777" w:rsidR="00841F8B" w:rsidRPr="006F1E80" w:rsidRDefault="00841F8B" w:rsidP="006F1E80">
      <w:pPr>
        <w:spacing w:after="120" w:line="276" w:lineRule="auto"/>
        <w:rPr>
          <w:rStyle w:val="Hipercze"/>
          <w:rFonts w:ascii="Open Sans" w:eastAsiaTheme="majorEastAsia" w:hAnsi="Open Sans" w:cs="Open Sans"/>
          <w:color w:val="auto"/>
          <w:u w:val="none"/>
        </w:rPr>
      </w:pPr>
      <w:r w:rsidRPr="006F1E80">
        <w:rPr>
          <w:rStyle w:val="Hipercze"/>
          <w:rFonts w:ascii="Open Sans" w:eastAsiaTheme="majorEastAsia" w:hAnsi="Open Sans" w:cs="Open Sans"/>
          <w:color w:val="auto"/>
          <w:u w:val="none"/>
        </w:rPr>
        <w:t>oraz</w:t>
      </w:r>
    </w:p>
    <w:p w14:paraId="1F1120AC" w14:textId="77777777" w:rsidR="00841F8B" w:rsidRPr="006F1E80" w:rsidRDefault="00841F8B" w:rsidP="006F1E80">
      <w:pPr>
        <w:spacing w:after="120" w:line="276" w:lineRule="auto"/>
        <w:rPr>
          <w:rStyle w:val="Hipercze"/>
          <w:rFonts w:ascii="Open Sans" w:eastAsiaTheme="majorEastAsia" w:hAnsi="Open Sans" w:cs="Open Sans"/>
          <w:color w:val="auto"/>
        </w:rPr>
      </w:pPr>
      <w:r w:rsidRPr="006F1E80">
        <w:rPr>
          <w:rStyle w:val="Hipercze"/>
          <w:rFonts w:ascii="Open Sans" w:eastAsiaTheme="majorEastAsia" w:hAnsi="Open Sans" w:cs="Open Sans"/>
          <w:color w:val="auto"/>
        </w:rPr>
        <w:t>https://www.pois.gov.pl/media/108045/ocena_DNSH_FEnIKS_2021-2027.pdf</w:t>
      </w:r>
    </w:p>
    <w:p w14:paraId="6F1F2E52"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 xml:space="preserve">W oparciu o ogólne zapisy „Podręcznika Beneficjenta” NFOŚiGW zaleca, aby na jak najwcześniejszym etapie inwestycji (np. na etapie opracowywania dokumentacji budowlanej, technicznej, przetargowej, przedmiaru prac itp.) przewidzieć i zobowiązać ewentualnego przyszłego Wykonawcę prac, realizacji Przedsięwzięcia zgodnie z zasadami DNSH, z uwzględnieniem wskazanego zakresu prac i charakteru inwestycji. NFOŚiGW </w:t>
      </w:r>
      <w:proofErr w:type="gramStart"/>
      <w:r w:rsidRPr="006F1E80">
        <w:rPr>
          <w:rFonts w:ascii="Open Sans" w:eastAsiaTheme="majorEastAsia" w:hAnsi="Open Sans" w:cs="Open Sans"/>
        </w:rPr>
        <w:t>zaleca</w:t>
      </w:r>
      <w:proofErr w:type="gramEnd"/>
      <w:r w:rsidRPr="006F1E80">
        <w:rPr>
          <w:rFonts w:ascii="Open Sans" w:eastAsiaTheme="majorEastAsia" w:hAnsi="Open Sans" w:cs="Open Sans"/>
        </w:rPr>
        <w:t xml:space="preserve"> aby na tym etapie, dla inwestycji termomodernizacyjnych, w sposób dopasowany do docelowego scenariusza realizacyjnego, przyjęto do rozważenia przygotowanie m.in.:</w:t>
      </w:r>
    </w:p>
    <w:p w14:paraId="1A40E8EB"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1) Wykazu odpadów</w:t>
      </w:r>
      <w:r w:rsidRPr="006F1E80">
        <w:rPr>
          <w:rFonts w:ascii="Open Sans" w:eastAsiaTheme="majorEastAsia" w:hAnsi="Open Sans" w:cs="Open Sans"/>
        </w:rPr>
        <w:t>, które mogą powstać w związku z realizacją termomodernizacji budynku;</w:t>
      </w:r>
    </w:p>
    <w:p w14:paraId="47342CDA" w14:textId="38D5B7BD"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 xml:space="preserve">2) Audytu </w:t>
      </w:r>
      <w:proofErr w:type="spellStart"/>
      <w:r w:rsidRPr="006F1E80">
        <w:rPr>
          <w:rFonts w:ascii="Open Sans" w:eastAsiaTheme="majorEastAsia" w:hAnsi="Open Sans" w:cs="Open Sans"/>
          <w:b/>
          <w:bCs/>
        </w:rPr>
        <w:t>przedrozbiórkowego</w:t>
      </w:r>
      <w:proofErr w:type="spellEnd"/>
      <w:r w:rsidRPr="006F1E80">
        <w:rPr>
          <w:rFonts w:ascii="Open Sans" w:eastAsiaTheme="majorEastAsia" w:hAnsi="Open Sans" w:cs="Open Sans"/>
        </w:rPr>
        <w:t xml:space="preserve">, mającego na celu analizę jakościową i ilościową strumieni odpadów oraz określenie możliwości ich zagospodarowania zgodnie </w:t>
      </w:r>
      <w:r w:rsidR="006F1E80">
        <w:rPr>
          <w:rFonts w:ascii="Open Sans" w:eastAsiaTheme="majorEastAsia" w:hAnsi="Open Sans" w:cs="Open Sans"/>
        </w:rPr>
        <w:br/>
      </w:r>
      <w:r w:rsidRPr="006F1E80">
        <w:rPr>
          <w:rFonts w:ascii="Open Sans" w:eastAsiaTheme="majorEastAsia" w:hAnsi="Open Sans" w:cs="Open Sans"/>
        </w:rPr>
        <w:t>z hierarchią postępowania z odpadami i Protokołem UE, dotyczącym gospodarowania odpadami z budowy i rozbiórki;</w:t>
      </w:r>
    </w:p>
    <w:p w14:paraId="37A98ADA"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3) Wszelkich działań mających na celu ograniczanie emisji hałasu, pyłu i innych substancji</w:t>
      </w:r>
      <w:r w:rsidRPr="006F1E80">
        <w:rPr>
          <w:rFonts w:ascii="Open Sans" w:eastAsiaTheme="majorEastAsia" w:hAnsi="Open Sans" w:cs="Open Sans"/>
        </w:rPr>
        <w:t xml:space="preserve"> w trakcie robót budowlanych;</w:t>
      </w:r>
    </w:p>
    <w:p w14:paraId="7E4096FF" w14:textId="078D1F4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4) Sposobu stosowania środków służących gospodarowaniu odpadów</w:t>
      </w:r>
      <w:r w:rsidRPr="006F1E80">
        <w:rPr>
          <w:rFonts w:ascii="Open Sans" w:eastAsiaTheme="majorEastAsia" w:hAnsi="Open Sans" w:cs="Open Sans"/>
        </w:rPr>
        <w:t xml:space="preserve">, zgodnie </w:t>
      </w:r>
      <w:r w:rsidR="006F1E80">
        <w:rPr>
          <w:rFonts w:ascii="Open Sans" w:eastAsiaTheme="majorEastAsia" w:hAnsi="Open Sans" w:cs="Open Sans"/>
        </w:rPr>
        <w:br/>
      </w:r>
      <w:r w:rsidRPr="006F1E80">
        <w:rPr>
          <w:rFonts w:ascii="Open Sans" w:eastAsiaTheme="majorEastAsia" w:hAnsi="Open Sans" w:cs="Open Sans"/>
        </w:rPr>
        <w:t xml:space="preserve">z hierarchią postępowania z odpadami w celu maksymalizacji wskaźnika (wagowo) odpadów budowlanych i rozbiórkowych innych niż niebezpieczne (z wyłączeniem naturalnie występujących materiałów, o których mowa w kategorii 17 05 04 w europejskim wykazie odpadów ustanowionym decyzją 2000/532/WE) wytworzonych na placu budowy, możliwych do ponownego użycia, recyklingu i innego odzysku materiałów, uwzględniając lokalne możliwości w tym zakresie jak również rodzaj </w:t>
      </w:r>
      <w:r w:rsidR="006F1E80">
        <w:rPr>
          <w:rFonts w:ascii="Open Sans" w:eastAsiaTheme="majorEastAsia" w:hAnsi="Open Sans" w:cs="Open Sans"/>
        </w:rPr>
        <w:br/>
      </w:r>
      <w:r w:rsidRPr="006F1E80">
        <w:rPr>
          <w:rFonts w:ascii="Open Sans" w:eastAsiaTheme="majorEastAsia" w:hAnsi="Open Sans" w:cs="Open Sans"/>
        </w:rPr>
        <w:t>i charakter danego projektu;</w:t>
      </w:r>
    </w:p>
    <w:p w14:paraId="0EEDB19F"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5) Wszelkich innych działań,</w:t>
      </w:r>
      <w:r w:rsidRPr="006F1E80">
        <w:rPr>
          <w:rFonts w:ascii="Open Sans" w:eastAsiaTheme="majorEastAsia" w:hAnsi="Open Sans" w:cs="Open Sans"/>
        </w:rPr>
        <w:t xml:space="preserve"> mających na celu realizację projektu zgodnie z zasadą DNSH, które wynikają z zakresu rzeczowego realizacji przedsięwzięcia i sytuacji zastanej oraz przepisów polskiego prawa w tym zakresie</w:t>
      </w:r>
      <w:r w:rsidRPr="006F1E80">
        <w:rPr>
          <w:rFonts w:ascii="Open Sans" w:eastAsiaTheme="majorEastAsia" w:hAnsi="Open Sans" w:cs="Open Sans"/>
          <w:b/>
          <w:bCs/>
        </w:rPr>
        <w:t>.</w:t>
      </w:r>
    </w:p>
    <w:p w14:paraId="4FC3D356" w14:textId="77777777"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Koszty związane z realizacją projektu zgodnie z zasadą DNSH zalicza się do kosztów kwalifikowanych.</w:t>
      </w:r>
    </w:p>
    <w:p w14:paraId="268F7B63" w14:textId="77777777" w:rsidR="00841F8B" w:rsidRPr="006F1E80" w:rsidRDefault="00841F8B" w:rsidP="006F1E80">
      <w:pPr>
        <w:spacing w:after="120" w:line="276" w:lineRule="auto"/>
        <w:rPr>
          <w:rFonts w:ascii="Open Sans" w:eastAsiaTheme="majorEastAsia" w:hAnsi="Open Sans" w:cs="Open Sans"/>
          <w:i/>
          <w:iCs/>
        </w:rPr>
      </w:pPr>
    </w:p>
    <w:p w14:paraId="697D4314" w14:textId="77777777"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 xml:space="preserve">Zwracamy uwagę, że na etapie realizacji projektu, od przygotowania inwestycji, aż po jej rozliczenie, sposoby wdrażania zasad DNSH, będą monitorowane i weryfikowane. Przynajmniej na etapie przygotowania przedsięwzięcia oraz na etapie rozliczenia przedsięwzięcia, niezbędne będzie wykonanie „Raportu Otwarcia/Raportu Końcowego”, opisującego sposób planowania, wdrażania, realizacji, monitorowania i rozliczania inwestycji zgodnie z wytycznymi DNSH. </w:t>
      </w:r>
    </w:p>
    <w:p w14:paraId="0583465D"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br w:type="page"/>
      </w:r>
    </w:p>
    <w:p w14:paraId="182F0713" w14:textId="77777777" w:rsidR="00841F8B" w:rsidRPr="006F1E80" w:rsidRDefault="00841F8B" w:rsidP="006F1E80">
      <w:pPr>
        <w:pBdr>
          <w:top w:val="single" w:sz="4" w:space="1" w:color="auto"/>
          <w:left w:val="single" w:sz="4" w:space="4" w:color="auto"/>
          <w:bottom w:val="single" w:sz="4" w:space="1" w:color="auto"/>
          <w:right w:val="single" w:sz="4" w:space="4" w:color="auto"/>
        </w:pBdr>
        <w:spacing w:after="120" w:line="276" w:lineRule="auto"/>
        <w:rPr>
          <w:rFonts w:ascii="Open Sans" w:eastAsiaTheme="majorEastAsia" w:hAnsi="Open Sans" w:cs="Open Sans"/>
          <w:b/>
          <w:bCs/>
        </w:rPr>
      </w:pPr>
      <w:r w:rsidRPr="006F1E80">
        <w:rPr>
          <w:rFonts w:ascii="Open Sans" w:eastAsiaTheme="majorEastAsia" w:hAnsi="Open Sans" w:cs="Open Sans"/>
          <w:b/>
          <w:bCs/>
        </w:rPr>
        <w:t>Realizowany zakres rzeczowy niewynikający z audytu energetycznego (nie więcej niż 15% kosztów kwalifikowanych projektu).</w:t>
      </w:r>
    </w:p>
    <w:p w14:paraId="5F2F1A99"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Wsparcie elementów wykraczających poza audyt energetyczny możliwe jest w wysokości do 15% kosztów kwalifikowalnych projektu. Wspierane mogą być uzasadnione elementy niewynikające z audytów energetycznych, jeżeli realizują szersze cele Europejskiego Zielonego Ładu, w tym strategii na rzecz Fali renowacji, takich jak:</w:t>
      </w:r>
    </w:p>
    <w:p w14:paraId="2D1C505A"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1. Rozwiązania przyczyniające się do zwiększenia powierzchni zielonych,</w:t>
      </w:r>
      <w:r w:rsidRPr="006F1E80">
        <w:rPr>
          <w:rFonts w:ascii="Open Sans" w:eastAsiaTheme="majorEastAsia" w:hAnsi="Open Sans" w:cs="Open Sans"/>
        </w:rPr>
        <w:t xml:space="preserve"> np.: zielone dachy, ściany, </w:t>
      </w:r>
      <w:proofErr w:type="spellStart"/>
      <w:r w:rsidRPr="006F1E80">
        <w:rPr>
          <w:rFonts w:ascii="Open Sans" w:eastAsiaTheme="majorEastAsia" w:hAnsi="Open Sans" w:cs="Open Sans"/>
        </w:rPr>
        <w:t>debetonizacja</w:t>
      </w:r>
      <w:proofErr w:type="spellEnd"/>
      <w:r w:rsidRPr="006F1E80">
        <w:rPr>
          <w:rFonts w:ascii="Open Sans" w:eastAsiaTheme="majorEastAsia" w:hAnsi="Open Sans" w:cs="Open Sans"/>
        </w:rPr>
        <w:t xml:space="preserve"> terenu wokół budynku;</w:t>
      </w:r>
    </w:p>
    <w:p w14:paraId="32434E55" w14:textId="28CD137F"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 xml:space="preserve">2. Rozwój </w:t>
      </w:r>
      <w:proofErr w:type="spellStart"/>
      <w:r w:rsidRPr="006F1E80">
        <w:rPr>
          <w:rFonts w:ascii="Open Sans" w:eastAsiaTheme="majorEastAsia" w:hAnsi="Open Sans" w:cs="Open Sans"/>
          <w:b/>
          <w:bCs/>
        </w:rPr>
        <w:t>elektromobilności</w:t>
      </w:r>
      <w:proofErr w:type="spellEnd"/>
      <w:r w:rsidRPr="006F1E80">
        <w:rPr>
          <w:rFonts w:ascii="Open Sans" w:eastAsiaTheme="majorEastAsia" w:hAnsi="Open Sans" w:cs="Open Sans"/>
        </w:rPr>
        <w:t xml:space="preserve">, np.: punkty ładowania, dostosowanie wewnętrznych </w:t>
      </w:r>
      <w:r w:rsidR="006F1E80">
        <w:rPr>
          <w:rFonts w:ascii="Open Sans" w:eastAsiaTheme="majorEastAsia" w:hAnsi="Open Sans" w:cs="Open Sans"/>
        </w:rPr>
        <w:br/>
      </w:r>
      <w:r w:rsidRPr="006F1E80">
        <w:rPr>
          <w:rFonts w:ascii="Open Sans" w:eastAsiaTheme="majorEastAsia" w:hAnsi="Open Sans" w:cs="Open Sans"/>
        </w:rPr>
        <w:t xml:space="preserve">i zewnętrznych stanowisk postojowych w celu zapewnienia mocy przyłączeniowej, pozwalającej wyposażyć te stanowiska w punkty ładowania o mocy nie mniejszej niż </w:t>
      </w:r>
      <w:r w:rsidR="006F1E80">
        <w:rPr>
          <w:rFonts w:ascii="Open Sans" w:eastAsiaTheme="majorEastAsia" w:hAnsi="Open Sans" w:cs="Open Sans"/>
        </w:rPr>
        <w:br/>
      </w:r>
      <w:r w:rsidRPr="006F1E80">
        <w:rPr>
          <w:rFonts w:ascii="Open Sans" w:eastAsiaTheme="majorEastAsia" w:hAnsi="Open Sans" w:cs="Open Sans"/>
        </w:rPr>
        <w:t>3,7 kW itp.;</w:t>
      </w:r>
    </w:p>
    <w:p w14:paraId="5B20F136"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3. Rozwiązania na rzecz gospodarki o obiegu zamkniętym</w:t>
      </w:r>
      <w:r w:rsidRPr="006F1E80">
        <w:rPr>
          <w:rFonts w:ascii="Open Sans" w:eastAsiaTheme="majorEastAsia" w:hAnsi="Open Sans" w:cs="Open Sans"/>
        </w:rPr>
        <w:t>, np.: rozwiązania mające na celu minimalizowanie wytwarzania odpadów, zapobieganie ich powstawaniu oraz ponowne ich użycie, rozwiązania mające na celu wykorzystanie potencjału wody deszczowej, itp.,</w:t>
      </w:r>
    </w:p>
    <w:p w14:paraId="19D298C2"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4. Infrastruktura związana z dostępnością</w:t>
      </w:r>
      <w:r w:rsidRPr="006F1E80">
        <w:rPr>
          <w:rFonts w:ascii="Open Sans" w:eastAsiaTheme="majorEastAsia" w:hAnsi="Open Sans" w:cs="Open Sans"/>
        </w:rPr>
        <w:t>, np.: prace związane z zapewnieniem osobom niepełnosprawnym dostępu do budynku (wykonanie pochylni, podjazdu lub zainstalowanie urządzeń technicznych, zapewniających osobom niepełnosprawnym dostęp do budynku i na kondygnacje z pomieszczeniami użytkowymi, w tym montaż nowych wind energooszczędnych itp.);</w:t>
      </w:r>
    </w:p>
    <w:p w14:paraId="3F3B12C8"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5. Montaż urządzeń do magazynowania energii</w:t>
      </w:r>
      <w:r w:rsidRPr="006F1E80">
        <w:rPr>
          <w:rFonts w:ascii="Open Sans" w:eastAsiaTheme="majorEastAsia" w:hAnsi="Open Sans" w:cs="Open Sans"/>
        </w:rPr>
        <w:t>;</w:t>
      </w:r>
    </w:p>
    <w:p w14:paraId="584C675C"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6. Montaż urządzeń służących cyfryzacji budynku,</w:t>
      </w:r>
      <w:r w:rsidRPr="006F1E80">
        <w:rPr>
          <w:rFonts w:ascii="Open Sans" w:eastAsiaTheme="majorEastAsia" w:hAnsi="Open Sans" w:cs="Open Sans"/>
        </w:rPr>
        <w:t xml:space="preserve"> np.: systemy audiowizualne, oświetleniowe, sygnalizacji pożaru, sygnalizacji włamania i napadu, kontroli dostępu, telewizji dozorowej, nagłaśniania ewakuacyjnego, sterowania i kontroli instalacji klimatyzacji, wentylacji i ogrzewania, teleinformatyczne, zasilania głównego i awaryjnego;</w:t>
      </w:r>
    </w:p>
    <w:p w14:paraId="0626130F"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b/>
          <w:bCs/>
        </w:rPr>
        <w:t>7. Podnoszenie świadomości użytkowników budynku</w:t>
      </w:r>
      <w:r w:rsidRPr="006F1E80">
        <w:rPr>
          <w:rFonts w:ascii="Open Sans" w:eastAsiaTheme="majorEastAsia" w:hAnsi="Open Sans" w:cs="Open Sans"/>
        </w:rPr>
        <w:t xml:space="preserve"> względem planowanej oszczędności energii, np.: prowadzenie działań szkoleniowo-doradczych oraz </w:t>
      </w:r>
      <w:proofErr w:type="spellStart"/>
      <w:r w:rsidRPr="006F1E80">
        <w:rPr>
          <w:rFonts w:ascii="Open Sans" w:eastAsiaTheme="majorEastAsia" w:hAnsi="Open Sans" w:cs="Open Sans"/>
        </w:rPr>
        <w:t>edukacyjno</w:t>
      </w:r>
      <w:proofErr w:type="spellEnd"/>
      <w:r w:rsidRPr="006F1E80">
        <w:rPr>
          <w:rFonts w:ascii="Open Sans" w:eastAsiaTheme="majorEastAsia" w:hAnsi="Open Sans" w:cs="Open Sans"/>
        </w:rPr>
        <w:t xml:space="preserve"> - informacyjnych, w tym zwiększających świadomość społeczeństwa, m.in. w zakresie Polityki Klimatycznej UE oraz konieczności transformacji energetycznej Polski.</w:t>
      </w:r>
    </w:p>
    <w:p w14:paraId="685CE7F5" w14:textId="4B3820B1"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i/>
          <w:iCs/>
        </w:rPr>
        <w:t xml:space="preserve">Ww. pozycje powinny być osobno monitorowane w dokumentach umowy o dofinansowanie, w celu uniknięcia zagrożenia przekroczenia dopuszczonego limitu, tj. do 15% kosztów kwalifikowanych projektu na każdym z etapów realizacji przedsięwzięcia, od przygotowania, aż po jego rozliczenie. </w:t>
      </w:r>
    </w:p>
    <w:p w14:paraId="4F3B9FE2" w14:textId="77777777" w:rsidR="00841F8B" w:rsidRPr="006F1E80" w:rsidRDefault="00841F8B" w:rsidP="006F1E80">
      <w:pPr>
        <w:pBdr>
          <w:top w:val="single" w:sz="4" w:space="1" w:color="auto"/>
          <w:left w:val="single" w:sz="4" w:space="4" w:color="auto"/>
          <w:bottom w:val="single" w:sz="4" w:space="1" w:color="auto"/>
          <w:right w:val="single" w:sz="4" w:space="4" w:color="auto"/>
        </w:pBdr>
        <w:spacing w:after="120" w:line="276" w:lineRule="auto"/>
        <w:ind w:firstLine="708"/>
        <w:rPr>
          <w:rFonts w:ascii="Open Sans" w:eastAsiaTheme="majorEastAsia" w:hAnsi="Open Sans" w:cs="Open Sans"/>
          <w:b/>
          <w:bCs/>
        </w:rPr>
      </w:pPr>
      <w:r w:rsidRPr="006F1E80">
        <w:rPr>
          <w:rFonts w:ascii="Open Sans" w:eastAsiaTheme="majorEastAsia" w:hAnsi="Open Sans" w:cs="Open Sans"/>
          <w:b/>
          <w:bCs/>
        </w:rPr>
        <w:t>Realizacja termomodernizacji budynku w formule ESCO/EPC</w:t>
      </w:r>
    </w:p>
    <w:p w14:paraId="3D7180EF"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Projekty termomodernizacyjne realizowane w formule ESCO/EPC są również planowane do wsparcia w ramach funduszy europejskich. Planuje się wsparcie ich wdrożenia, zgodnie z uzgodnionym z KE schematem realizacji wspierania termomodernizacji, określonym w ostatecznie przyjętym scenariuszu realizacji inwestycji dotyczących poprawy efektywności energetycznej budynków użyteczności publicznej w ramach programu Fundusze Europejskie na Infrastrukturę, Klimat, Środowisko 2021-2027 (</w:t>
      </w:r>
      <w:proofErr w:type="spellStart"/>
      <w:r w:rsidRPr="006F1E80">
        <w:rPr>
          <w:rFonts w:ascii="Open Sans" w:eastAsiaTheme="majorEastAsia" w:hAnsi="Open Sans" w:cs="Open Sans"/>
        </w:rPr>
        <w:t>FEnIKS</w:t>
      </w:r>
      <w:proofErr w:type="spellEnd"/>
      <w:r w:rsidRPr="006F1E80">
        <w:rPr>
          <w:rFonts w:ascii="Open Sans" w:eastAsiaTheme="majorEastAsia" w:hAnsi="Open Sans" w:cs="Open Sans"/>
        </w:rPr>
        <w:t xml:space="preserve">) z wykorzystaniem formuły EPC/ESCO. </w:t>
      </w:r>
    </w:p>
    <w:p w14:paraId="466C36E0" w14:textId="77777777" w:rsidR="00841F8B" w:rsidRPr="006F1E80" w:rsidRDefault="00841F8B" w:rsidP="006F1E80">
      <w:pPr>
        <w:spacing w:after="120" w:line="276" w:lineRule="auto"/>
        <w:rPr>
          <w:rFonts w:ascii="Open Sans" w:eastAsiaTheme="majorEastAsia" w:hAnsi="Open Sans" w:cs="Open Sans"/>
          <w:i/>
          <w:iCs/>
        </w:rPr>
      </w:pPr>
      <w:r w:rsidRPr="006F1E80">
        <w:rPr>
          <w:rFonts w:ascii="Open Sans" w:eastAsiaTheme="majorEastAsia" w:hAnsi="Open Sans" w:cs="Open Sans"/>
          <w:i/>
          <w:iCs/>
        </w:rPr>
        <w:t xml:space="preserve">Ministerstwo Klimatu i Środowiska udostępniło praktyczne opracowanie i narzędzie dla jednostek sektora publicznego w postaci wytycznych do realizacji inwestycji w modelu finansowania ESCO (z ang. Energy </w:t>
      </w:r>
      <w:proofErr w:type="spellStart"/>
      <w:r w:rsidRPr="006F1E80">
        <w:rPr>
          <w:rFonts w:ascii="Open Sans" w:eastAsiaTheme="majorEastAsia" w:hAnsi="Open Sans" w:cs="Open Sans"/>
          <w:i/>
          <w:iCs/>
        </w:rPr>
        <w:t>Saving</w:t>
      </w:r>
      <w:proofErr w:type="spellEnd"/>
      <w:r w:rsidRPr="006F1E80">
        <w:rPr>
          <w:rFonts w:ascii="Open Sans" w:eastAsiaTheme="majorEastAsia" w:hAnsi="Open Sans" w:cs="Open Sans"/>
          <w:i/>
          <w:iCs/>
        </w:rPr>
        <w:t xml:space="preserve"> Company) tzw. umów o poprawę efektywności energetycznej. Co do zasady, formuła ESCO/EPC to rozwiązanie, w ramach którego specjalistyczne firmy (ESCO) oferują wdrożenie przedsięwzięć, służących poprawie efektywności energetycznej, bez konieczności angażowania przez klienta własnych zasobów finansowych (z wykorzystaniem uzyskanego dofinansowania) na starcie projektu, przy jednoczesnym zobowiązaniu do uzyskania i utrzymania przez określony czas, Gwarantowanych Oszczędności Energii (GOE). Koszty inwestycji, w części lub w całości spłacane są z uzyskanych oszczędności energii, poprzez widoczną różnicę w rachunkach za energię.</w:t>
      </w:r>
    </w:p>
    <w:p w14:paraId="4082185A" w14:textId="77777777" w:rsidR="00841F8B" w:rsidRPr="006F1E80" w:rsidRDefault="00841F8B" w:rsidP="006F1E80">
      <w:pPr>
        <w:spacing w:after="120" w:line="276" w:lineRule="auto"/>
        <w:rPr>
          <w:rFonts w:ascii="Open Sans" w:eastAsiaTheme="majorEastAsia" w:hAnsi="Open Sans" w:cs="Open Sans"/>
        </w:rPr>
      </w:pPr>
      <w:r w:rsidRPr="006F1E80">
        <w:rPr>
          <w:rFonts w:ascii="Open Sans" w:eastAsiaTheme="majorEastAsia" w:hAnsi="Open Sans" w:cs="Open Sans"/>
        </w:rPr>
        <w:t>Przydatne linki:</w:t>
      </w:r>
    </w:p>
    <w:p w14:paraId="59ECFA87" w14:textId="77777777" w:rsidR="00841F8B" w:rsidRPr="006F1E80" w:rsidRDefault="00000000" w:rsidP="006F1E80">
      <w:pPr>
        <w:spacing w:after="120" w:line="276" w:lineRule="auto"/>
        <w:rPr>
          <w:rFonts w:ascii="Open Sans" w:eastAsiaTheme="majorEastAsia" w:hAnsi="Open Sans" w:cs="Open Sans"/>
        </w:rPr>
      </w:pPr>
      <w:hyperlink r:id="rId9">
        <w:r w:rsidR="00841F8B" w:rsidRPr="006F1E80">
          <w:rPr>
            <w:rStyle w:val="Hipercze"/>
            <w:rFonts w:ascii="Open Sans" w:eastAsiaTheme="majorEastAsia" w:hAnsi="Open Sans" w:cs="Open Sans"/>
            <w:color w:val="auto"/>
          </w:rPr>
          <w:t>https://www.gov.pl/web/klimat/wytyczne-do-umow-o-poprawe-efektywnosci-energetycznej-epc</w:t>
        </w:r>
      </w:hyperlink>
    </w:p>
    <w:p w14:paraId="5F3064D4" w14:textId="77777777" w:rsidR="00841F8B" w:rsidRPr="006F1E80" w:rsidRDefault="00841F8B" w:rsidP="006F1E80">
      <w:pPr>
        <w:spacing w:after="120" w:line="276" w:lineRule="auto"/>
        <w:rPr>
          <w:rFonts w:ascii="Open Sans" w:eastAsiaTheme="majorEastAsia" w:hAnsi="Open Sans" w:cs="Open Sans"/>
          <w:b/>
          <w:bCs/>
        </w:rPr>
      </w:pPr>
    </w:p>
    <w:p w14:paraId="5E9909DB" w14:textId="77777777" w:rsidR="00841F8B" w:rsidRPr="006F1E80" w:rsidRDefault="00841F8B" w:rsidP="006F1E80">
      <w:pPr>
        <w:spacing w:after="120" w:line="276" w:lineRule="auto"/>
        <w:rPr>
          <w:rFonts w:ascii="Open Sans" w:eastAsiaTheme="majorEastAsia" w:hAnsi="Open Sans" w:cs="Open Sans"/>
          <w:b/>
          <w:bCs/>
        </w:rPr>
      </w:pPr>
    </w:p>
    <w:p w14:paraId="301C0587" w14:textId="77777777" w:rsidR="00841F8B" w:rsidRPr="006F1E80" w:rsidRDefault="00841F8B" w:rsidP="006F1E80">
      <w:pPr>
        <w:spacing w:after="120" w:line="276" w:lineRule="auto"/>
        <w:rPr>
          <w:rFonts w:ascii="Open Sans" w:eastAsiaTheme="majorEastAsia" w:hAnsi="Open Sans" w:cs="Open Sans"/>
          <w:b/>
          <w:bCs/>
        </w:rPr>
      </w:pPr>
    </w:p>
    <w:p w14:paraId="0FEA4021" w14:textId="77777777" w:rsidR="00841F8B" w:rsidRPr="006F1E80" w:rsidRDefault="00841F8B" w:rsidP="006F1E80">
      <w:pPr>
        <w:spacing w:after="120" w:line="276" w:lineRule="auto"/>
        <w:rPr>
          <w:rFonts w:ascii="Open Sans" w:eastAsiaTheme="majorEastAsia" w:hAnsi="Open Sans" w:cs="Open Sans"/>
          <w:b/>
          <w:bCs/>
        </w:rPr>
      </w:pPr>
    </w:p>
    <w:p w14:paraId="28AAF6C6" w14:textId="5A513155" w:rsidR="00841F8B" w:rsidRPr="006F1E80" w:rsidRDefault="00841F8B" w:rsidP="006F1E80">
      <w:pPr>
        <w:spacing w:after="120" w:line="276" w:lineRule="auto"/>
        <w:rPr>
          <w:rFonts w:ascii="Open Sans" w:eastAsiaTheme="majorEastAsia" w:hAnsi="Open Sans" w:cs="Open Sans"/>
          <w:b/>
          <w:bCs/>
        </w:rPr>
      </w:pPr>
      <w:r w:rsidRPr="006F1E80">
        <w:rPr>
          <w:rFonts w:ascii="Open Sans" w:eastAsiaTheme="majorEastAsia" w:hAnsi="Open Sans" w:cs="Open Sans"/>
          <w:b/>
          <w:bCs/>
        </w:rPr>
        <w:t>Szczegółowy katalog kosztów kwalifikowanych został sporządzony w oparciu o najlepszą wiedzę NFOŚiGW na dzień ogłoszenia konkursu i co do zasady stanowi katalog zamknięty. Wyjątek od tej zasady stanowią szczegółowe kategorie kosztów, które na dzień sporządzenia dokumentacji konkursowej nie zostały zidentyfikowane, a które zostały opisane jako koszty kwalifikowane w ramach Programu Fundusze Europejskie na Infrastrukturę, Klimat, Środowisko 2021-2027.</w:t>
      </w:r>
    </w:p>
    <w:p w14:paraId="41C9DA07" w14:textId="77777777" w:rsidR="006F1E80" w:rsidRPr="006F1E80" w:rsidRDefault="006F1E80" w:rsidP="006F1E80">
      <w:pPr>
        <w:spacing w:after="120" w:line="276" w:lineRule="auto"/>
        <w:rPr>
          <w:rFonts w:ascii="Open Sans" w:hAnsi="Open Sans" w:cs="Open Sans"/>
        </w:rPr>
      </w:pPr>
    </w:p>
    <w:sectPr w:rsidR="006F1E80" w:rsidRPr="006F1E8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8DC42" w14:textId="77777777" w:rsidR="00B918A1" w:rsidRDefault="00B918A1" w:rsidP="00841F8B">
      <w:pPr>
        <w:spacing w:after="0" w:line="240" w:lineRule="auto"/>
      </w:pPr>
      <w:r>
        <w:separator/>
      </w:r>
    </w:p>
  </w:endnote>
  <w:endnote w:type="continuationSeparator" w:id="0">
    <w:p w14:paraId="5269BA5F" w14:textId="77777777" w:rsidR="00B918A1" w:rsidRDefault="00B918A1" w:rsidP="00841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73FBA" w14:textId="77777777" w:rsidR="006F1E80" w:rsidRDefault="00D41A6E" w:rsidP="00A45322">
    <w:pPr>
      <w:pStyle w:val="Stopka"/>
      <w:jc w:val="right"/>
    </w:pPr>
    <w:r>
      <w:t>__________________________________________________________________________________</w:t>
    </w:r>
  </w:p>
  <w:sdt>
    <w:sdtPr>
      <w:id w:val="315388718"/>
      <w:docPartObj>
        <w:docPartGallery w:val="Page Numbers (Bottom of Page)"/>
        <w:docPartUnique/>
      </w:docPartObj>
    </w:sdtPr>
    <w:sdtContent>
      <w:sdt>
        <w:sdtPr>
          <w:id w:val="-1769616900"/>
          <w:docPartObj>
            <w:docPartGallery w:val="Page Numbers (Top of Page)"/>
            <w:docPartUnique/>
          </w:docPartObj>
        </w:sdtPr>
        <w:sdtContent>
          <w:p w14:paraId="0984C134" w14:textId="77777777" w:rsidR="006F1E80" w:rsidRDefault="00D41A6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19</w:t>
            </w:r>
            <w:r>
              <w:rPr>
                <w:b/>
                <w:bCs/>
                <w:sz w:val="24"/>
                <w:szCs w:val="24"/>
              </w:rPr>
              <w:fldChar w:fldCharType="end"/>
            </w:r>
          </w:p>
        </w:sdtContent>
      </w:sdt>
    </w:sdtContent>
  </w:sdt>
  <w:p w14:paraId="44F49A78" w14:textId="77777777" w:rsidR="006F1E80" w:rsidRDefault="006F1E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75D1F" w14:textId="77777777" w:rsidR="00B918A1" w:rsidRDefault="00B918A1" w:rsidP="00841F8B">
      <w:pPr>
        <w:spacing w:after="0" w:line="240" w:lineRule="auto"/>
      </w:pPr>
      <w:r>
        <w:separator/>
      </w:r>
    </w:p>
  </w:footnote>
  <w:footnote w:type="continuationSeparator" w:id="0">
    <w:p w14:paraId="68D5BF40" w14:textId="77777777" w:rsidR="00B918A1" w:rsidRDefault="00B918A1" w:rsidP="00841F8B">
      <w:pPr>
        <w:spacing w:after="0" w:line="240" w:lineRule="auto"/>
      </w:pPr>
      <w:r>
        <w:continuationSeparator/>
      </w:r>
    </w:p>
  </w:footnote>
  <w:footnote w:id="1">
    <w:p w14:paraId="57481A0A" w14:textId="77777777" w:rsidR="006107AA" w:rsidRPr="006F1E80" w:rsidRDefault="003D711B" w:rsidP="006F1E80">
      <w:pPr>
        <w:pStyle w:val="Tekstprzypisudolnego"/>
        <w:rPr>
          <w:rFonts w:ascii="Open Sans" w:hAnsi="Open Sans" w:cs="Open Sans"/>
          <w:sz w:val="18"/>
          <w:szCs w:val="18"/>
        </w:rPr>
      </w:pPr>
      <w:r w:rsidRPr="006F1E80">
        <w:rPr>
          <w:rStyle w:val="Odwoanieprzypisudolnego"/>
          <w:rFonts w:ascii="Open Sans" w:hAnsi="Open Sans" w:cs="Open Sans"/>
          <w:sz w:val="18"/>
          <w:szCs w:val="18"/>
        </w:rPr>
        <w:footnoteRef/>
      </w:r>
      <w:r w:rsidRPr="006F1E80">
        <w:rPr>
          <w:rFonts w:ascii="Open Sans" w:hAnsi="Open Sans" w:cs="Open Sans"/>
          <w:sz w:val="18"/>
          <w:szCs w:val="18"/>
        </w:rPr>
        <w:t xml:space="preserve">Audyt energetyczny ex-ante i audyt energetyczny ex-post powinien być </w:t>
      </w:r>
      <w:r w:rsidR="006107AA" w:rsidRPr="006F1E80">
        <w:rPr>
          <w:rFonts w:ascii="Open Sans" w:hAnsi="Open Sans" w:cs="Open Sans"/>
          <w:sz w:val="18"/>
          <w:szCs w:val="18"/>
        </w:rPr>
        <w:t>sporządzon</w:t>
      </w:r>
      <w:r w:rsidR="00D41A6E" w:rsidRPr="006F1E80">
        <w:rPr>
          <w:rFonts w:ascii="Open Sans" w:hAnsi="Open Sans" w:cs="Open Sans"/>
          <w:sz w:val="18"/>
          <w:szCs w:val="18"/>
        </w:rPr>
        <w:t>y</w:t>
      </w:r>
      <w:r w:rsidR="006107AA" w:rsidRPr="006F1E80">
        <w:rPr>
          <w:rFonts w:ascii="Open Sans" w:hAnsi="Open Sans" w:cs="Open Sans"/>
          <w:sz w:val="18"/>
          <w:szCs w:val="18"/>
        </w:rPr>
        <w:t xml:space="preserve"> przez osobę wpisaną</w:t>
      </w:r>
    </w:p>
    <w:p w14:paraId="041BE2DA" w14:textId="77777777" w:rsidR="003D711B" w:rsidRDefault="006107AA" w:rsidP="006F1E80">
      <w:pPr>
        <w:pStyle w:val="Tekstprzypisudolnego"/>
      </w:pPr>
      <w:r w:rsidRPr="006F1E80">
        <w:rPr>
          <w:rFonts w:ascii="Open Sans" w:hAnsi="Open Sans" w:cs="Open Sans"/>
          <w:sz w:val="18"/>
          <w:szCs w:val="18"/>
        </w:rPr>
        <w:t>do wykazu</w:t>
      </w:r>
      <w:r w:rsidR="00D41A6E" w:rsidRPr="006F1E80">
        <w:rPr>
          <w:rFonts w:ascii="Open Sans" w:hAnsi="Open Sans" w:cs="Open Sans"/>
          <w:sz w:val="18"/>
          <w:szCs w:val="18"/>
        </w:rPr>
        <w:t xml:space="preserve"> osób uprawnionych do sporządzania świadectw charakterystyki energetycznej</w:t>
      </w:r>
      <w:r w:rsidRPr="006F1E80">
        <w:rPr>
          <w:rFonts w:ascii="Open Sans" w:hAnsi="Open Sans" w:cs="Open Sans"/>
          <w:sz w:val="18"/>
          <w:szCs w:val="18"/>
        </w:rPr>
        <w:t>, o którym mowa w art. 31 ust. 1 pkt 1</w:t>
      </w:r>
      <w:r w:rsidR="003D711B" w:rsidRPr="006F1E80">
        <w:rPr>
          <w:rFonts w:ascii="Open Sans" w:hAnsi="Open Sans" w:cs="Open Sans"/>
          <w:sz w:val="18"/>
          <w:szCs w:val="18"/>
        </w:rPr>
        <w:t xml:space="preserve"> </w:t>
      </w:r>
      <w:r w:rsidRPr="006F1E80">
        <w:rPr>
          <w:rFonts w:ascii="Open Sans" w:hAnsi="Open Sans" w:cs="Open Sans"/>
          <w:sz w:val="18"/>
          <w:szCs w:val="18"/>
        </w:rPr>
        <w:t>Ustawy o charakterystyce energetycznej budynków z 29 sierpnia 2014 r. z późn.zm. (</w:t>
      </w:r>
      <w:r w:rsidR="00D41A6E" w:rsidRPr="006F1E80">
        <w:rPr>
          <w:rFonts w:ascii="Open Sans" w:hAnsi="Open Sans" w:cs="Open Sans"/>
          <w:sz w:val="18"/>
          <w:szCs w:val="18"/>
        </w:rPr>
        <w:t>tekst jednolity — obwieszczenie Marszałka Sejmu RP z dnia 23 lutego 2021 r.; Dz. U. 2021 poz. 497).</w:t>
      </w:r>
    </w:p>
  </w:footnote>
  <w:footnote w:id="2">
    <w:p w14:paraId="3CDA8A48" w14:textId="77777777" w:rsidR="00841F8B" w:rsidRPr="006F1E80" w:rsidRDefault="00841F8B" w:rsidP="006F1E80">
      <w:pPr>
        <w:pStyle w:val="Tekstprzypisudolnego"/>
        <w:rPr>
          <w:rFonts w:ascii="Open Sans" w:hAnsi="Open Sans" w:cs="Open Sans"/>
        </w:rPr>
      </w:pPr>
      <w:r w:rsidRPr="006F1E80">
        <w:rPr>
          <w:rStyle w:val="Odwoanieprzypisudolnego"/>
          <w:rFonts w:ascii="Open Sans" w:hAnsi="Open Sans" w:cs="Open Sans"/>
          <w:sz w:val="18"/>
          <w:szCs w:val="18"/>
        </w:rPr>
        <w:footnoteRef/>
      </w:r>
      <w:r w:rsidRPr="006F1E80">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p>
  </w:footnote>
  <w:footnote w:id="3">
    <w:p w14:paraId="26F7B1C4" w14:textId="77777777" w:rsidR="00841F8B" w:rsidRPr="006F1E80" w:rsidRDefault="00841F8B" w:rsidP="006F1E80">
      <w:pPr>
        <w:pStyle w:val="Tekstprzypisudolnego"/>
        <w:rPr>
          <w:rFonts w:ascii="Open Sans" w:hAnsi="Open Sans" w:cs="Open Sans"/>
        </w:rPr>
      </w:pPr>
      <w:r w:rsidRPr="006F1E80">
        <w:rPr>
          <w:rStyle w:val="Odwoanieprzypisudolnego"/>
          <w:rFonts w:ascii="Open Sans" w:hAnsi="Open Sans" w:cs="Open Sans"/>
          <w:sz w:val="18"/>
          <w:szCs w:val="18"/>
        </w:rPr>
        <w:footnoteRef/>
      </w:r>
      <w:r w:rsidRPr="006F1E80">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p>
  </w:footnote>
  <w:footnote w:id="4">
    <w:p w14:paraId="076B7C3B" w14:textId="77777777" w:rsidR="00841F8B" w:rsidRPr="006F1E80" w:rsidRDefault="00841F8B" w:rsidP="006F1E80">
      <w:pPr>
        <w:pStyle w:val="Tekstprzypisudolnego"/>
        <w:rPr>
          <w:rFonts w:ascii="Open Sans" w:hAnsi="Open Sans" w:cs="Open Sans"/>
        </w:rPr>
      </w:pPr>
      <w:r w:rsidRPr="006F1E80">
        <w:rPr>
          <w:rStyle w:val="Odwoanieprzypisudolnego"/>
          <w:rFonts w:ascii="Open Sans" w:hAnsi="Open Sans" w:cs="Open Sans"/>
          <w:sz w:val="18"/>
          <w:szCs w:val="18"/>
        </w:rPr>
        <w:footnoteRef/>
      </w:r>
      <w:r w:rsidRPr="006F1E80">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p>
  </w:footnote>
  <w:footnote w:id="5">
    <w:p w14:paraId="4189969C" w14:textId="77777777" w:rsidR="00841F8B" w:rsidRPr="006F1E80" w:rsidRDefault="00841F8B" w:rsidP="006F1E80">
      <w:pPr>
        <w:pStyle w:val="Tekstprzypisudolnego"/>
        <w:rPr>
          <w:rFonts w:ascii="Open Sans" w:hAnsi="Open Sans" w:cs="Open Sans"/>
          <w:sz w:val="18"/>
          <w:szCs w:val="18"/>
        </w:rPr>
      </w:pPr>
      <w:r w:rsidRPr="006F1E80">
        <w:rPr>
          <w:rStyle w:val="Odwoanieprzypisudolnego"/>
          <w:rFonts w:ascii="Open Sans" w:hAnsi="Open Sans" w:cs="Open Sans"/>
          <w:sz w:val="18"/>
          <w:szCs w:val="18"/>
        </w:rPr>
        <w:footnoteRef/>
      </w:r>
      <w:r w:rsidRPr="006F1E80">
        <w:rPr>
          <w:rFonts w:ascii="Open Sans" w:hAnsi="Open Sans" w:cs="Open Sans"/>
          <w:sz w:val="18"/>
          <w:szCs w:val="18"/>
        </w:rPr>
        <w:t xml:space="preserve"> Wykonawca instalacji źródła ciepła opalanego biomasą, pompy ciepła lub kolektorów słonecznych oraz urządzeń OZE do produkcji energii elektrycznej, powinien posiadać ważny odpowiedni certyfikat instalatora wystawiony przez właściwą akredytowaną jednostkę certyfikującą;</w:t>
      </w:r>
    </w:p>
  </w:footnote>
  <w:footnote w:id="6">
    <w:p w14:paraId="5663BAD5" w14:textId="77777777" w:rsidR="00841F8B" w:rsidRDefault="00841F8B" w:rsidP="006F1E80">
      <w:pPr>
        <w:pStyle w:val="Tekstprzypisudolnego"/>
      </w:pPr>
      <w:r w:rsidRPr="006F1E80">
        <w:rPr>
          <w:rStyle w:val="Odwoanieprzypisudolnego"/>
          <w:rFonts w:ascii="Open Sans" w:hAnsi="Open Sans" w:cs="Open Sans"/>
          <w:sz w:val="18"/>
          <w:szCs w:val="18"/>
        </w:rPr>
        <w:footnoteRef/>
      </w:r>
      <w:r w:rsidRPr="006F1E80">
        <w:rPr>
          <w:rFonts w:ascii="Open Sans" w:hAnsi="Open Sans" w:cs="Open Sans"/>
          <w:sz w:val="18"/>
          <w:szCs w:val="18"/>
        </w:rPr>
        <w:t xml:space="preserve"> Kolektory słoneczne powinny posiadać certyfikat zgodności z normą PN-EN 12975-1 wraz ze sprawozdaniem z badań zgodnie z normą PN-EN 12975-2 lub PN-EN ISO 9806 lub posiadają znak jakości "Solar </w:t>
      </w:r>
      <w:r w:rsidRPr="006F1E80">
        <w:rPr>
          <w:rFonts w:ascii="Open Sans" w:hAnsi="Open Sans" w:cs="Open Sans"/>
          <w:sz w:val="18"/>
          <w:szCs w:val="18"/>
        </w:rPr>
        <w:t>Keymark".</w:t>
      </w:r>
      <w:r w:rsidRPr="006F1E80">
        <w:rPr>
          <w:sz w:val="18"/>
          <w:szCs w:val="18"/>
        </w:rPr>
        <w:t xml:space="preserve"> </w:t>
      </w:r>
      <w:r w:rsidRPr="00814206">
        <w:t>Certyfikaty zostały nadane przez akredytowaną jednostkę certyfikującą, a ich data nie jest wcześniejsza niż 5 lat licząc od daty złożenia wniosku o dofinansowanie</w:t>
      </w:r>
    </w:p>
  </w:footnote>
  <w:footnote w:id="7">
    <w:p w14:paraId="4B036741" w14:textId="77777777" w:rsidR="00841F8B" w:rsidRDefault="00841F8B" w:rsidP="00841F8B">
      <w:pPr>
        <w:pStyle w:val="Tekstprzypisudolnego"/>
        <w:jc w:val="both"/>
      </w:pPr>
      <w:r>
        <w:rPr>
          <w:rStyle w:val="Odwoanieprzypisudolnego"/>
        </w:rPr>
        <w:footnoteRef/>
      </w:r>
      <w:r>
        <w:t xml:space="preserve"> Pompa ciepła powinna posiadać certyfikat lub raport z badań, potwierdzający wartość współczynnika COP, wydany przez właściwą akredytowaną jednostkę certyfikującą lub właściwe akredytowane laboratorium badawcze, nie wcześniej niż 5 lat licząc od daty złożenia wniosku o dofinansowanie; Współczynnik efektywności COP zastosowanych pomp ciepła, określony według normy PN-EN 14511-3 lub PN-EN 16147 nie jest niższy niż wskazano w Decyzji Komisji z dnia 1 marca 2013 r.  ustanawiającej wytyczne dla państw członkowskich dotyczące obliczania energii odnawialnej z pomp ciepła w odniesieniu do różnych technologii pomp ciepła na podstawie art. 5 dyrektywy Parlamentu Europejskiego i Rady 2009/28/WE Sezonowy wskaźnik efektywności energetycznej instalacji SCOP, liczony zgodnie z normą PN-EN 14825 lub PN-EN 12309-2 powinien wynosić:  </w:t>
      </w:r>
    </w:p>
    <w:p w14:paraId="5C9CF557" w14:textId="77777777" w:rsidR="00841F8B" w:rsidRDefault="00841F8B" w:rsidP="00841F8B">
      <w:pPr>
        <w:pStyle w:val="Tekstprzypisudolnego"/>
        <w:jc w:val="both"/>
      </w:pPr>
      <w:r>
        <w:t xml:space="preserve">− dla pomp ciepła typu powietrze/woda dla potrzeb c.o. i c.w.u., zasilanych energią elektryczną: SCOP≥3.3,  </w:t>
      </w:r>
    </w:p>
    <w:p w14:paraId="0C7CE473" w14:textId="77777777" w:rsidR="00841F8B" w:rsidRDefault="00841F8B" w:rsidP="00841F8B">
      <w:pPr>
        <w:pStyle w:val="Tekstprzypisudolnego"/>
        <w:jc w:val="both"/>
      </w:pPr>
      <w:r>
        <w:t xml:space="preserve">− dla pozostałych pomp ciepła dla potrzeb c.o. i c.w.u., zasilanych energią elektryczną: SCOP≥3.8, </w:t>
      </w:r>
    </w:p>
    <w:p w14:paraId="2E54BB16" w14:textId="77777777" w:rsidR="00841F8B" w:rsidRDefault="00841F8B" w:rsidP="00841F8B">
      <w:pPr>
        <w:pStyle w:val="Tekstprzypisudolnego"/>
        <w:jc w:val="both"/>
      </w:pPr>
      <w:r>
        <w:t>− dla pomp ciepła zasilanych ciepłem: SCOP≥1.25</w:t>
      </w:r>
    </w:p>
  </w:footnote>
  <w:footnote w:id="8">
    <w:p w14:paraId="039A1463" w14:textId="77777777" w:rsidR="00841F8B" w:rsidRDefault="00841F8B" w:rsidP="00841F8B">
      <w:pPr>
        <w:pStyle w:val="Tekstprzypisudolnego"/>
        <w:jc w:val="both"/>
      </w:pPr>
      <w:r>
        <w:rPr>
          <w:rStyle w:val="Odwoanieprzypisudolnego"/>
        </w:rPr>
        <w:footnoteRef/>
      </w:r>
      <w:r>
        <w:t xml:space="preserve"> W instalacjach wentylacji mechanicznej ogólnej </w:t>
      </w:r>
      <w:r>
        <w:t>nawiewno-wywiewnej lub klimatyzacji komfortowej o wydajności 500 m3/h i więcej należy stosować urządzenia do odzyskiwania ciepła z powietrza wywiewanego o sprawności temperaturowej co najmniej 50% lub recyrkulację, gdy jest to dopuszczalne. (Obwieszczenie Ministra Rozwoju i Technologii z dnia 15 kwietnia 2022 r. w sprawie ogłoszenia jednolitego tekstu rozporządzenia Ministra Infrastruktury w sprawie warunków technicznych, jakim powinny odpowiadać budynki i ich usytuowanie (Dz.U. z dnia 9 czerwca 2022 r., poz.1225 - § 151. 1 Rozporządzenia).</w:t>
      </w:r>
    </w:p>
  </w:footnote>
  <w:footnote w:id="9">
    <w:p w14:paraId="490CC1D4" w14:textId="77777777" w:rsidR="00841F8B" w:rsidRDefault="00841F8B" w:rsidP="00841F8B">
      <w:pPr>
        <w:pStyle w:val="Tekstprzypisudolnego"/>
        <w:jc w:val="both"/>
      </w:pPr>
      <w:r>
        <w:rPr>
          <w:rStyle w:val="Odwoanieprzypisudolnego"/>
        </w:rPr>
        <w:footnoteRef/>
      </w:r>
      <w:r>
        <w:t xml:space="preserve"> </w:t>
      </w:r>
      <w:r w:rsidRPr="00814206">
        <w:t xml:space="preserve">będącego członkiem ogólnokrajowego stowarzyszenia przyrodniczego; prace z zakresu termomodernizacji obiektów budowlanych muszą być prowadzone zgodnie z </w:t>
      </w:r>
      <w:r>
        <w:t>U</w:t>
      </w:r>
      <w:r w:rsidRPr="00814206">
        <w:t xml:space="preserve">stawą z dnia 16 kwietnia 2004 r. o ochronie przyrody (Dz. U. z 2013 r., poz. 627 z </w:t>
      </w:r>
      <w:r w:rsidRPr="00814206">
        <w:t>późn. zm.) oraz Rozporządzeniem Ministra Środowiska z dnia 6 października 2014 r. w</w:t>
      </w:r>
      <w:r>
        <w:t> </w:t>
      </w:r>
      <w:r w:rsidRPr="00814206">
        <w:t>sprawie ochrony gatunkowej zwierząt (Dz. U. z 2014 r., poz. 1348); prace należy wykonywać w szczególności z</w:t>
      </w:r>
      <w:r>
        <w:t> </w:t>
      </w:r>
      <w:r w:rsidRPr="00814206">
        <w:t>uwzględnieniem potrzeb i biologii ptaków i nietoperzy.</w:t>
      </w:r>
    </w:p>
  </w:footnote>
  <w:footnote w:id="10">
    <w:p w14:paraId="0974ADC6" w14:textId="77777777" w:rsidR="00841F8B" w:rsidRDefault="00841F8B" w:rsidP="00841F8B">
      <w:pPr>
        <w:pStyle w:val="Tekstprzypisudolnego"/>
        <w:jc w:val="both"/>
      </w:pPr>
      <w:r>
        <w:rPr>
          <w:rStyle w:val="Odwoanieprzypisudolnego"/>
        </w:rPr>
        <w:footnoteRef/>
      </w:r>
      <w:r>
        <w:t xml:space="preserve"> </w:t>
      </w:r>
      <w:r w:rsidRPr="00EA2EA1">
        <w:t>Obwieszczenie Ministra Rozwoju i Technologii z dnia 15 kwietnia 2022 r. w sprawie ogłoszenia jednolitego tekstu rozporządzenia Ministra Infrastruktury w sprawie warunków technicznych, jakim powinny odpowiadać budynki i</w:t>
      </w:r>
      <w:r>
        <w:t> </w:t>
      </w:r>
      <w:r w:rsidRPr="00EA2EA1">
        <w:t>ich usytuowanie (Dz.U. z dnia 9 czerwca 2022 r., poz.1225)</w:t>
      </w:r>
    </w:p>
  </w:footnote>
  <w:footnote w:id="11">
    <w:p w14:paraId="5C3B2A8B" w14:textId="77777777" w:rsidR="00841F8B" w:rsidRDefault="00841F8B" w:rsidP="00841F8B">
      <w:pPr>
        <w:pStyle w:val="Tekstprzypisudolnego"/>
        <w:jc w:val="both"/>
      </w:pPr>
      <w:r>
        <w:rPr>
          <w:rStyle w:val="Odwoanieprzypisudolnego"/>
        </w:rPr>
        <w:footnoteRef/>
      </w:r>
      <w:r>
        <w:t xml:space="preserve"> </w:t>
      </w:r>
      <w:r w:rsidRPr="00EA2EA1">
        <w:t>RDOŚ wydaje zgodę i określa sposób i zakres kompensacji przyrodniczej, pozwalającej na zamknięcie otworów i szczelin poza sezonem rozrodczym ptaków i nietoperzy i poza okresem hibernacji nietoperzy przed podjęciem zasadniczych prac inwestycyjnych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099A7" w14:textId="77777777" w:rsidR="006F1E80" w:rsidRDefault="00D41A6E">
    <w:pPr>
      <w:pStyle w:val="Nagwek"/>
    </w:pPr>
    <w:r>
      <w:rPr>
        <w:noProof/>
        <w:lang w:eastAsia="pl-PL"/>
      </w:rPr>
      <w:drawing>
        <wp:inline distT="0" distB="0" distL="0" distR="0" wp14:anchorId="173BF215" wp14:editId="71C2BFE1">
          <wp:extent cx="5760720" cy="601345"/>
          <wp:effectExtent l="0" t="0" r="0" b="0"/>
          <wp:docPr id="3" name="Obraz 2" descr="Ciąg znaków FENIKS, RP, UE i NFOŚiGW">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Obraz 2" descr="Ciąg znaków FENIKS, RP, UE i NFOŚiGW">
                    <a:extLst>
                      <a:ext uri="{FF2B5EF4-FFF2-40B4-BE49-F238E27FC236}">
                        <a16:creationId xmlns:a16="http://schemas.microsoft.com/office/drawing/2014/main" id="{00000000-0008-0000-0000-000003000000}"/>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pic:spPr>
              </pic:pic>
            </a:graphicData>
          </a:graphic>
        </wp:inline>
      </w:drawing>
    </w:r>
  </w:p>
  <w:p w14:paraId="2F7378A8" w14:textId="77777777" w:rsidR="006F1E80" w:rsidRDefault="00D41A6E" w:rsidP="006E237B">
    <w:pPr>
      <w:pStyle w:val="Nagwek"/>
      <w:jc w:val="center"/>
    </w:pPr>
    <w:r>
      <w:t>Ramowy Katalog Kosztów/Wydatków Kwalifikowanych</w:t>
    </w:r>
  </w:p>
  <w:p w14:paraId="7BE88877" w14:textId="77777777" w:rsidR="006F1E80" w:rsidRDefault="006F1E80" w:rsidP="006E237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127D65"/>
    <w:multiLevelType w:val="hybridMultilevel"/>
    <w:tmpl w:val="035063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20998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F8B"/>
    <w:rsid w:val="00234D41"/>
    <w:rsid w:val="003D711B"/>
    <w:rsid w:val="00462F3F"/>
    <w:rsid w:val="006107AA"/>
    <w:rsid w:val="006F1E80"/>
    <w:rsid w:val="00802665"/>
    <w:rsid w:val="00841F8B"/>
    <w:rsid w:val="00AE18E1"/>
    <w:rsid w:val="00B16C9A"/>
    <w:rsid w:val="00B918A1"/>
    <w:rsid w:val="00D41A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8A01E"/>
  <w15:chartTrackingRefBased/>
  <w15:docId w15:val="{1D3B9406-59BA-44A0-B9DE-A41DA5F0A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1F8B"/>
    <w:rPr>
      <w:kern w:val="2"/>
      <w14:ligatures w14:val="standardContextual"/>
    </w:rPr>
  </w:style>
  <w:style w:type="paragraph" w:styleId="Nagwek1">
    <w:name w:val="heading 1"/>
    <w:basedOn w:val="Normalny"/>
    <w:next w:val="Normalny"/>
    <w:link w:val="Nagwek1Znak"/>
    <w:uiPriority w:val="9"/>
    <w:qFormat/>
    <w:rsid w:val="00234D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41F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1F8B"/>
    <w:rPr>
      <w:kern w:val="2"/>
      <w14:ligatures w14:val="standardContextual"/>
    </w:rPr>
  </w:style>
  <w:style w:type="paragraph" w:styleId="Stopka">
    <w:name w:val="footer"/>
    <w:basedOn w:val="Normalny"/>
    <w:link w:val="StopkaZnak"/>
    <w:uiPriority w:val="99"/>
    <w:unhideWhenUsed/>
    <w:rsid w:val="00841F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1F8B"/>
    <w:rPr>
      <w:kern w:val="2"/>
      <w14:ligatures w14:val="standardContextual"/>
    </w:rPr>
  </w:style>
  <w:style w:type="paragraph" w:styleId="Akapitzlist">
    <w:name w:val="List Paragraph"/>
    <w:basedOn w:val="Normalny"/>
    <w:uiPriority w:val="34"/>
    <w:qFormat/>
    <w:rsid w:val="00841F8B"/>
    <w:pPr>
      <w:ind w:left="720"/>
      <w:contextualSpacing/>
    </w:pPr>
  </w:style>
  <w:style w:type="character" w:styleId="Hipercze">
    <w:name w:val="Hyperlink"/>
    <w:basedOn w:val="Domylnaczcionkaakapitu"/>
    <w:uiPriority w:val="99"/>
    <w:unhideWhenUsed/>
    <w:rsid w:val="00841F8B"/>
    <w:rPr>
      <w:color w:val="0563C1" w:themeColor="hyperlink"/>
      <w:u w:val="single"/>
    </w:rPr>
  </w:style>
  <w:style w:type="paragraph" w:styleId="Tekstprzypisudolnego">
    <w:name w:val="footnote text"/>
    <w:basedOn w:val="Normalny"/>
    <w:link w:val="TekstprzypisudolnegoZnak"/>
    <w:uiPriority w:val="99"/>
    <w:semiHidden/>
    <w:unhideWhenUsed/>
    <w:rsid w:val="00841F8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1F8B"/>
    <w:rPr>
      <w:kern w:val="2"/>
      <w:sz w:val="20"/>
      <w:szCs w:val="20"/>
      <w14:ligatures w14:val="standardContextual"/>
    </w:rPr>
  </w:style>
  <w:style w:type="character" w:styleId="Odwoanieprzypisudolnego">
    <w:name w:val="footnote reference"/>
    <w:basedOn w:val="Domylnaczcionkaakapitu"/>
    <w:uiPriority w:val="99"/>
    <w:semiHidden/>
    <w:unhideWhenUsed/>
    <w:rsid w:val="00841F8B"/>
    <w:rPr>
      <w:vertAlign w:val="superscript"/>
    </w:rPr>
  </w:style>
  <w:style w:type="character" w:customStyle="1" w:styleId="Nagwek1Znak">
    <w:name w:val="Nagłówek 1 Znak"/>
    <w:basedOn w:val="Domylnaczcionkaakapitu"/>
    <w:link w:val="Nagwek1"/>
    <w:uiPriority w:val="9"/>
    <w:rsid w:val="00234D41"/>
    <w:rPr>
      <w:rFonts w:asciiTheme="majorHAnsi" w:eastAsiaTheme="majorEastAsia" w:hAnsiTheme="majorHAnsi" w:cstheme="majorBidi"/>
      <w:color w:val="2E74B5" w:themeColor="accent1" w:themeShade="BF"/>
      <w:kern w:val="2"/>
      <w:sz w:val="32"/>
      <w:szCs w:val="3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planodbudowy/dnsh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klimat/wytyczne-do-umow-o-poprawe-efektywnosci-energetycznej-ep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4F8CE-B6A5-475F-99EA-0C73676C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22</Pages>
  <Words>6327</Words>
  <Characters>37963</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44202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do Regulaminu naboru nr FENX.01.01-IW.01-001/24</dc:title>
  <dc:subject/>
  <dc:creator>Katkowski Leszek</dc:creator>
  <cp:keywords/>
  <dc:description/>
  <cp:lastModifiedBy>Janicka-Struska Agnieszka</cp:lastModifiedBy>
  <cp:revision>6</cp:revision>
  <dcterms:created xsi:type="dcterms:W3CDTF">2024-02-02T08:33:00Z</dcterms:created>
  <dcterms:modified xsi:type="dcterms:W3CDTF">2024-02-27T13:16:00Z</dcterms:modified>
</cp:coreProperties>
</file>