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BF5E" w14:textId="77777777" w:rsidR="00513316" w:rsidRPr="00BB501B" w:rsidRDefault="00513316" w:rsidP="0011148B">
      <w:pPr>
        <w:jc w:val="right"/>
        <w:rPr>
          <w:rFonts w:asciiTheme="minorHAnsi" w:hAnsiTheme="minorHAnsi"/>
          <w:b/>
        </w:rPr>
      </w:pPr>
      <w:bookmarkStart w:id="0" w:name="_GoBack"/>
      <w:bookmarkEnd w:id="0"/>
    </w:p>
    <w:p w14:paraId="27593D30" w14:textId="77777777" w:rsidR="006712FE" w:rsidRPr="0009150F" w:rsidRDefault="006712FE" w:rsidP="00A937E8">
      <w:pPr>
        <w:jc w:val="center"/>
        <w:rPr>
          <w:rFonts w:asciiTheme="minorHAnsi" w:hAnsiTheme="minorHAnsi"/>
          <w:b/>
        </w:rPr>
      </w:pPr>
      <w:r w:rsidRPr="0009150F">
        <w:rPr>
          <w:rFonts w:asciiTheme="minorHAnsi" w:hAnsiTheme="minorHAnsi"/>
          <w:b/>
        </w:rPr>
        <w:t>PROGRAM PRIORYTETOWY</w:t>
      </w:r>
    </w:p>
    <w:p w14:paraId="258D16B8" w14:textId="77777777" w:rsidR="00F47C6C" w:rsidRPr="0009150F" w:rsidRDefault="00F47C6C" w:rsidP="00325F5F">
      <w:pPr>
        <w:jc w:val="both"/>
        <w:rPr>
          <w:rFonts w:asciiTheme="minorHAnsi" w:hAnsiTheme="minorHAnsi"/>
          <w:b/>
        </w:rPr>
      </w:pPr>
    </w:p>
    <w:p w14:paraId="30AD5C7C" w14:textId="77777777" w:rsidR="00A333EB" w:rsidRPr="0009150F" w:rsidRDefault="00A333EB" w:rsidP="00325F5F">
      <w:pPr>
        <w:jc w:val="both"/>
        <w:rPr>
          <w:rFonts w:asciiTheme="minorHAnsi" w:hAnsiTheme="minorHAnsi"/>
          <w:b/>
        </w:rPr>
      </w:pPr>
    </w:p>
    <w:p w14:paraId="52A23497" w14:textId="066071DD" w:rsidR="00FB0902" w:rsidRPr="0009150F" w:rsidRDefault="6FB60D44" w:rsidP="00FB0902">
      <w:pPr>
        <w:jc w:val="both"/>
        <w:rPr>
          <w:rFonts w:asciiTheme="minorHAnsi" w:hAnsiTheme="minorHAnsi"/>
          <w:b/>
          <w:bCs/>
          <w:sz w:val="22"/>
          <w:szCs w:val="22"/>
        </w:rPr>
      </w:pPr>
      <w:r w:rsidRPr="0009150F">
        <w:rPr>
          <w:rFonts w:asciiTheme="minorHAnsi" w:hAnsiTheme="minorHAnsi"/>
          <w:b/>
          <w:bCs/>
          <w:sz w:val="22"/>
          <w:szCs w:val="22"/>
        </w:rPr>
        <w:t xml:space="preserve">Tytuł programu: </w:t>
      </w:r>
      <w:r w:rsidR="003F7F32" w:rsidRPr="0009150F">
        <w:rPr>
          <w:rFonts w:asciiTheme="minorHAnsi" w:hAnsiTheme="minorHAnsi"/>
          <w:b/>
          <w:bCs/>
          <w:sz w:val="22"/>
          <w:szCs w:val="22"/>
        </w:rPr>
        <w:t>Budowa/rozbudowa sieci elektroenergetycznych na potrzeby</w:t>
      </w:r>
      <w:r w:rsidR="00511C95" w:rsidRPr="0009150F">
        <w:rPr>
          <w:rFonts w:asciiTheme="minorHAnsi" w:hAnsiTheme="minorHAnsi"/>
          <w:b/>
          <w:bCs/>
          <w:sz w:val="22"/>
          <w:szCs w:val="22"/>
        </w:rPr>
        <w:t xml:space="preserve"> ogólnodostęp</w:t>
      </w:r>
      <w:r w:rsidR="00216386" w:rsidRPr="0009150F">
        <w:rPr>
          <w:rFonts w:asciiTheme="minorHAnsi" w:hAnsiTheme="minorHAnsi"/>
          <w:b/>
          <w:bCs/>
          <w:sz w:val="22"/>
          <w:szCs w:val="22"/>
        </w:rPr>
        <w:t>n</w:t>
      </w:r>
      <w:r w:rsidR="00511C95" w:rsidRPr="0009150F">
        <w:rPr>
          <w:rFonts w:asciiTheme="minorHAnsi" w:hAnsiTheme="minorHAnsi"/>
          <w:b/>
          <w:bCs/>
          <w:sz w:val="22"/>
          <w:szCs w:val="22"/>
        </w:rPr>
        <w:t>ych</w:t>
      </w:r>
      <w:r w:rsidR="003F7F32" w:rsidRPr="0009150F">
        <w:rPr>
          <w:rFonts w:asciiTheme="minorHAnsi" w:hAnsiTheme="minorHAnsi"/>
          <w:b/>
          <w:bCs/>
          <w:sz w:val="22"/>
          <w:szCs w:val="22"/>
        </w:rPr>
        <w:t xml:space="preserve"> stacji ładowania dużych mocy </w:t>
      </w:r>
    </w:p>
    <w:p w14:paraId="739D0AF7" w14:textId="77777777" w:rsidR="00FB0902" w:rsidRPr="0009150F" w:rsidRDefault="00FB0902" w:rsidP="00FB0902">
      <w:pPr>
        <w:jc w:val="both"/>
        <w:rPr>
          <w:rFonts w:asciiTheme="minorHAnsi" w:hAnsiTheme="minorHAnsi"/>
          <w:b/>
          <w:bCs/>
          <w:sz w:val="22"/>
          <w:szCs w:val="22"/>
        </w:rPr>
      </w:pPr>
    </w:p>
    <w:p w14:paraId="6B2D6570" w14:textId="45DC05C2" w:rsidR="00003A4D" w:rsidRPr="0009150F" w:rsidRDefault="6FB60D44" w:rsidP="00003A4D">
      <w:pPr>
        <w:pStyle w:val="Akapitzlist"/>
        <w:numPr>
          <w:ilvl w:val="0"/>
          <w:numId w:val="13"/>
        </w:numPr>
        <w:jc w:val="both"/>
        <w:rPr>
          <w:rFonts w:asciiTheme="minorHAnsi" w:hAnsiTheme="minorHAnsi"/>
          <w:b/>
          <w:bCs/>
          <w:sz w:val="22"/>
          <w:szCs w:val="22"/>
        </w:rPr>
      </w:pPr>
      <w:r w:rsidRPr="0009150F">
        <w:rPr>
          <w:rFonts w:asciiTheme="minorHAnsi" w:hAnsiTheme="minorHAnsi"/>
          <w:b/>
          <w:bCs/>
          <w:color w:val="000000" w:themeColor="text1"/>
          <w:sz w:val="22"/>
          <w:szCs w:val="22"/>
        </w:rPr>
        <w:t xml:space="preserve">Cel programu </w:t>
      </w:r>
    </w:p>
    <w:p w14:paraId="360EE6A2" w14:textId="77777777" w:rsidR="00003A4D" w:rsidRPr="0009150F" w:rsidRDefault="00003A4D" w:rsidP="00003A4D">
      <w:pPr>
        <w:ind w:left="360"/>
        <w:jc w:val="both"/>
        <w:rPr>
          <w:rFonts w:asciiTheme="minorHAnsi" w:hAnsiTheme="minorHAnsi"/>
          <w:b/>
          <w:bCs/>
          <w:sz w:val="22"/>
          <w:szCs w:val="22"/>
        </w:rPr>
      </w:pPr>
    </w:p>
    <w:p w14:paraId="47996CED" w14:textId="1E24ADDB" w:rsidR="00003A4D" w:rsidRPr="0009150F" w:rsidRDefault="00003A4D" w:rsidP="00003A4D">
      <w:pPr>
        <w:tabs>
          <w:tab w:val="left" w:pos="284"/>
        </w:tabs>
        <w:autoSpaceDE w:val="0"/>
        <w:autoSpaceDN w:val="0"/>
        <w:adjustRightInd w:val="0"/>
        <w:spacing w:before="120" w:after="120"/>
        <w:jc w:val="both"/>
        <w:rPr>
          <w:rFonts w:asciiTheme="minorHAnsi" w:hAnsiTheme="minorHAnsi" w:cstheme="minorBidi"/>
          <w:sz w:val="22"/>
          <w:szCs w:val="22"/>
        </w:rPr>
      </w:pPr>
      <w:r w:rsidRPr="0009150F">
        <w:rPr>
          <w:rFonts w:asciiTheme="minorHAnsi" w:hAnsiTheme="minorHAnsi" w:cstheme="minorBidi"/>
          <w:sz w:val="22"/>
          <w:szCs w:val="22"/>
        </w:rPr>
        <w:t xml:space="preserve">Celem programu jest wsparcie rozwoju infrastruktury elektroenergetycznej na potrzeby budowy </w:t>
      </w:r>
      <w:r w:rsidR="00511C95" w:rsidRPr="0009150F">
        <w:rPr>
          <w:rFonts w:asciiTheme="minorHAnsi" w:hAnsiTheme="minorHAnsi" w:cstheme="minorBidi"/>
          <w:sz w:val="22"/>
          <w:szCs w:val="22"/>
        </w:rPr>
        <w:t>ogólnodostępnych</w:t>
      </w:r>
      <w:r w:rsidR="00A42C66" w:rsidRPr="0009150F">
        <w:rPr>
          <w:rFonts w:asciiTheme="minorHAnsi" w:hAnsiTheme="minorHAnsi" w:cstheme="minorBidi"/>
          <w:sz w:val="22"/>
          <w:szCs w:val="22"/>
        </w:rPr>
        <w:t xml:space="preserve"> </w:t>
      </w:r>
      <w:r w:rsidRPr="0009150F">
        <w:rPr>
          <w:rFonts w:asciiTheme="minorHAnsi" w:hAnsiTheme="minorHAnsi" w:cstheme="minorBidi"/>
          <w:sz w:val="22"/>
          <w:szCs w:val="22"/>
        </w:rPr>
        <w:t xml:space="preserve">stacji ładownia dużych mocy zlokalizowanych </w:t>
      </w:r>
      <w:r w:rsidR="00275A8D" w:rsidRPr="0009150F">
        <w:rPr>
          <w:rFonts w:asciiTheme="minorHAnsi" w:hAnsiTheme="minorHAnsi" w:cstheme="minorBidi"/>
          <w:sz w:val="22"/>
          <w:szCs w:val="22"/>
        </w:rPr>
        <w:t xml:space="preserve">wzdłuż </w:t>
      </w:r>
      <w:r w:rsidRPr="0009150F">
        <w:rPr>
          <w:rFonts w:asciiTheme="minorHAnsi" w:hAnsiTheme="minorHAnsi" w:cstheme="minorBidi"/>
          <w:sz w:val="22"/>
          <w:szCs w:val="22"/>
        </w:rPr>
        <w:t>sieci bazowej TEN-T</w:t>
      </w:r>
      <w:r w:rsidRPr="0009150F">
        <w:rPr>
          <w:rStyle w:val="Odwoanieprzypisudolnego"/>
          <w:rFonts w:asciiTheme="minorHAnsi" w:hAnsiTheme="minorHAnsi" w:cstheme="minorBidi"/>
          <w:sz w:val="22"/>
          <w:szCs w:val="22"/>
        </w:rPr>
        <w:footnoteReference w:id="1"/>
      </w:r>
      <w:r w:rsidRPr="0009150F">
        <w:rPr>
          <w:rFonts w:asciiTheme="minorHAnsi" w:hAnsiTheme="minorHAnsi" w:cstheme="minorBidi"/>
          <w:sz w:val="22"/>
          <w:szCs w:val="22"/>
        </w:rPr>
        <w:t>, centrach logistycznych, bazach eksploatacyjnych</w:t>
      </w:r>
      <w:r w:rsidRPr="0009150F">
        <w:rPr>
          <w:rStyle w:val="Odwoanieprzypisudolnego"/>
          <w:rFonts w:asciiTheme="minorHAnsi" w:hAnsiTheme="minorHAnsi" w:cstheme="minorBidi"/>
          <w:sz w:val="22"/>
          <w:szCs w:val="22"/>
        </w:rPr>
        <w:footnoteReference w:id="2"/>
      </w:r>
      <w:r w:rsidRPr="0009150F">
        <w:rPr>
          <w:rFonts w:asciiTheme="minorHAnsi" w:hAnsiTheme="minorHAnsi" w:cstheme="minorBidi"/>
          <w:sz w:val="22"/>
          <w:szCs w:val="22"/>
        </w:rPr>
        <w:t xml:space="preserve"> oraz terminalach intermodalnych, aby zmniejszyć liczbę pojazdów emitujących CO</w:t>
      </w:r>
      <w:r w:rsidRPr="0009150F">
        <w:rPr>
          <w:rFonts w:asciiTheme="minorHAnsi" w:hAnsiTheme="minorHAnsi" w:cstheme="minorBidi"/>
          <w:sz w:val="22"/>
          <w:szCs w:val="22"/>
          <w:vertAlign w:val="subscript"/>
        </w:rPr>
        <w:t>2</w:t>
      </w:r>
      <w:r w:rsidRPr="0009150F">
        <w:rPr>
          <w:rFonts w:asciiTheme="minorHAnsi" w:hAnsiTheme="minorHAnsi" w:cstheme="minorBidi"/>
          <w:sz w:val="22"/>
          <w:szCs w:val="22"/>
        </w:rPr>
        <w:t xml:space="preserve"> i NOx, a tym samym poprawić jakość powietrza. </w:t>
      </w:r>
    </w:p>
    <w:p w14:paraId="6FCCB9D2" w14:textId="77777777" w:rsidR="00FB0902" w:rsidRPr="0009150F" w:rsidRDefault="00FB0902" w:rsidP="00FB0902">
      <w:pPr>
        <w:tabs>
          <w:tab w:val="left" w:pos="284"/>
        </w:tabs>
        <w:spacing w:before="120" w:after="120"/>
        <w:jc w:val="both"/>
        <w:rPr>
          <w:rFonts w:ascii="Calibri" w:eastAsia="Calibri" w:hAnsi="Calibri" w:cs="Calibri"/>
          <w:sz w:val="22"/>
          <w:szCs w:val="22"/>
        </w:rPr>
      </w:pPr>
    </w:p>
    <w:p w14:paraId="373537D5" w14:textId="7483476D" w:rsidR="003F36A7" w:rsidRPr="0009150F" w:rsidRDefault="00E75DDF" w:rsidP="00D23453">
      <w:pPr>
        <w:tabs>
          <w:tab w:val="left" w:pos="284"/>
        </w:tabs>
        <w:spacing w:before="120" w:after="120"/>
        <w:jc w:val="both"/>
        <w:rPr>
          <w:rFonts w:asciiTheme="minorHAnsi" w:hAnsiTheme="minorHAnsi"/>
          <w:b/>
          <w:bCs/>
          <w:color w:val="000000" w:themeColor="text1"/>
          <w:sz w:val="22"/>
          <w:szCs w:val="22"/>
        </w:rPr>
      </w:pPr>
      <w:r w:rsidRPr="0009150F">
        <w:rPr>
          <w:rFonts w:asciiTheme="minorHAnsi" w:hAnsiTheme="minorHAnsi"/>
          <w:b/>
          <w:bCs/>
          <w:color w:val="000000" w:themeColor="text1"/>
          <w:sz w:val="22"/>
          <w:szCs w:val="22"/>
        </w:rPr>
        <w:t xml:space="preserve">2. </w:t>
      </w:r>
      <w:r w:rsidR="33B284A1" w:rsidRPr="0009150F">
        <w:rPr>
          <w:rFonts w:asciiTheme="minorHAnsi" w:hAnsiTheme="minorHAnsi"/>
          <w:b/>
          <w:bCs/>
          <w:color w:val="000000" w:themeColor="text1"/>
          <w:sz w:val="22"/>
          <w:szCs w:val="22"/>
        </w:rPr>
        <w:t xml:space="preserve">Wskaźnik osiągnięcia celu </w:t>
      </w:r>
    </w:p>
    <w:p w14:paraId="075766AC" w14:textId="4A857752" w:rsidR="00731C0F" w:rsidRPr="0009150F" w:rsidRDefault="33B284A1" w:rsidP="004979D0">
      <w:pPr>
        <w:autoSpaceDE w:val="0"/>
        <w:autoSpaceDN w:val="0"/>
        <w:adjustRightInd w:val="0"/>
        <w:spacing w:before="240"/>
        <w:rPr>
          <w:rFonts w:asciiTheme="minorHAnsi" w:hAnsiTheme="minorHAnsi"/>
          <w:color w:val="000000" w:themeColor="text1"/>
          <w:sz w:val="22"/>
          <w:szCs w:val="22"/>
        </w:rPr>
      </w:pPr>
      <w:r w:rsidRPr="0009150F">
        <w:rPr>
          <w:rFonts w:asciiTheme="minorHAnsi" w:hAnsiTheme="minorHAnsi"/>
          <w:color w:val="000000" w:themeColor="text1"/>
          <w:sz w:val="22"/>
          <w:szCs w:val="22"/>
        </w:rPr>
        <w:t>Stopień realizacji celu programu mierzony jest za pomocą wskaźników osiągnięcia celu:</w:t>
      </w:r>
    </w:p>
    <w:p w14:paraId="1A6F4D6E" w14:textId="77777777" w:rsidR="008755B1" w:rsidRPr="0009150F" w:rsidRDefault="008755B1" w:rsidP="001C0999">
      <w:pPr>
        <w:rPr>
          <w:rFonts w:asciiTheme="minorHAnsi" w:hAnsiTheme="minorHAnsi"/>
          <w:b/>
          <w:color w:val="000000" w:themeColor="text1"/>
          <w:sz w:val="22"/>
          <w:szCs w:val="22"/>
        </w:rPr>
      </w:pPr>
    </w:p>
    <w:p w14:paraId="6DD4C986" w14:textId="4D947F03" w:rsidR="001C0999" w:rsidRPr="0009150F" w:rsidRDefault="00F31197" w:rsidP="001C0999">
      <w:pPr>
        <w:rPr>
          <w:rFonts w:ascii="Calibri" w:hAnsi="Calibri" w:cs="Calibri"/>
          <w:b/>
          <w:bCs/>
          <w:sz w:val="22"/>
          <w:szCs w:val="22"/>
        </w:rPr>
      </w:pPr>
      <w:r w:rsidRPr="00F31197">
        <w:rPr>
          <w:rFonts w:asciiTheme="minorHAnsi" w:hAnsiTheme="minorHAnsi"/>
          <w:b/>
          <w:color w:val="000000" w:themeColor="text1"/>
          <w:sz w:val="22"/>
          <w:szCs w:val="22"/>
        </w:rPr>
        <w:t>2.1  Liczba utworzonych miejsc dostarczania energii elektrycznej na potrzeby ogólnodostępnych stacji ładowania dużych mocy</w:t>
      </w:r>
    </w:p>
    <w:p w14:paraId="24D4C7E1" w14:textId="54D96D9B" w:rsidR="009C06DE" w:rsidRPr="0009150F" w:rsidRDefault="00003A4D" w:rsidP="0085614D">
      <w:pPr>
        <w:spacing w:line="259" w:lineRule="auto"/>
        <w:rPr>
          <w:rFonts w:asciiTheme="minorHAnsi" w:hAnsiTheme="minorHAnsi"/>
          <w:sz w:val="22"/>
          <w:szCs w:val="22"/>
        </w:rPr>
      </w:pPr>
      <w:r w:rsidRPr="0009150F">
        <w:rPr>
          <w:rFonts w:asciiTheme="minorHAnsi" w:hAnsiTheme="minorHAnsi"/>
          <w:sz w:val="22"/>
          <w:szCs w:val="22"/>
        </w:rPr>
        <w:t xml:space="preserve">Planowana wielkość wskaźnika osiągnięcia celu – liczba </w:t>
      </w:r>
      <w:r w:rsidR="008A423B" w:rsidRPr="0009150F">
        <w:rPr>
          <w:rFonts w:asciiTheme="minorHAnsi" w:hAnsiTheme="minorHAnsi"/>
          <w:sz w:val="22"/>
          <w:szCs w:val="22"/>
        </w:rPr>
        <w:t>utworzonych nowych</w:t>
      </w:r>
      <w:r w:rsidR="00AE2CAD">
        <w:rPr>
          <w:rFonts w:asciiTheme="minorHAnsi" w:hAnsiTheme="minorHAnsi"/>
          <w:sz w:val="22"/>
          <w:szCs w:val="22"/>
        </w:rPr>
        <w:t>/rozbudowanych</w:t>
      </w:r>
      <w:r w:rsidR="008A423B" w:rsidRPr="0009150F">
        <w:rPr>
          <w:rFonts w:asciiTheme="minorHAnsi" w:hAnsiTheme="minorHAnsi"/>
          <w:sz w:val="22"/>
          <w:szCs w:val="22"/>
        </w:rPr>
        <w:t xml:space="preserve"> miejsc dostarczania energii </w:t>
      </w:r>
      <w:r w:rsidR="00DD1858" w:rsidRPr="0009150F">
        <w:rPr>
          <w:rFonts w:asciiTheme="minorHAnsi" w:hAnsiTheme="minorHAnsi"/>
          <w:sz w:val="22"/>
          <w:szCs w:val="22"/>
        </w:rPr>
        <w:t>dla zasilania podstawowego</w:t>
      </w:r>
      <w:r w:rsidR="00872D73">
        <w:rPr>
          <w:rFonts w:asciiTheme="minorHAnsi" w:hAnsiTheme="minorHAnsi"/>
          <w:sz w:val="22"/>
          <w:szCs w:val="22"/>
        </w:rPr>
        <w:t xml:space="preserve"> </w:t>
      </w:r>
      <w:r w:rsidRPr="0009150F">
        <w:rPr>
          <w:rFonts w:asciiTheme="minorHAnsi" w:hAnsiTheme="minorHAnsi"/>
          <w:sz w:val="22"/>
          <w:szCs w:val="22"/>
        </w:rPr>
        <w:t xml:space="preserve"> </w:t>
      </w:r>
      <w:r w:rsidR="00F31197" w:rsidRPr="00F31197">
        <w:rPr>
          <w:rFonts w:asciiTheme="minorHAnsi" w:hAnsiTheme="minorHAnsi"/>
          <w:sz w:val="22"/>
          <w:szCs w:val="22"/>
        </w:rPr>
        <w:t xml:space="preserve">ogólnodostępnych stacji ładowania dużych mocy  </w:t>
      </w:r>
      <w:r w:rsidR="003F2F63" w:rsidRPr="0009150F">
        <w:rPr>
          <w:rFonts w:asciiTheme="minorHAnsi" w:hAnsiTheme="minorHAnsi"/>
          <w:sz w:val="22"/>
          <w:szCs w:val="22"/>
        </w:rPr>
        <w:t>–</w:t>
      </w:r>
      <w:r w:rsidRPr="0009150F">
        <w:rPr>
          <w:rFonts w:asciiTheme="minorHAnsi" w:hAnsiTheme="minorHAnsi"/>
          <w:sz w:val="22"/>
          <w:szCs w:val="22"/>
        </w:rPr>
        <w:t xml:space="preserve"> </w:t>
      </w:r>
      <w:r w:rsidR="00097626">
        <w:rPr>
          <w:rFonts w:asciiTheme="minorHAnsi" w:hAnsiTheme="minorHAnsi"/>
          <w:sz w:val="22"/>
          <w:szCs w:val="22"/>
        </w:rPr>
        <w:t>100</w:t>
      </w:r>
      <w:r w:rsidR="003F2F63" w:rsidRPr="0009150F">
        <w:rPr>
          <w:rFonts w:asciiTheme="minorHAnsi" w:hAnsiTheme="minorHAnsi"/>
          <w:sz w:val="22"/>
          <w:szCs w:val="22"/>
        </w:rPr>
        <w:t xml:space="preserve"> </w:t>
      </w:r>
      <w:r w:rsidRPr="0009150F">
        <w:rPr>
          <w:rFonts w:asciiTheme="minorHAnsi" w:hAnsiTheme="minorHAnsi"/>
          <w:sz w:val="22"/>
          <w:szCs w:val="22"/>
        </w:rPr>
        <w:t>szt.</w:t>
      </w:r>
    </w:p>
    <w:p w14:paraId="78131D46" w14:textId="77777777" w:rsidR="00447CEF" w:rsidRPr="0009150F" w:rsidRDefault="00447CEF" w:rsidP="0085614D">
      <w:pPr>
        <w:spacing w:line="259" w:lineRule="auto"/>
        <w:rPr>
          <w:rFonts w:asciiTheme="minorHAnsi" w:hAnsiTheme="minorHAnsi"/>
          <w:color w:val="000000" w:themeColor="text1"/>
          <w:sz w:val="22"/>
          <w:szCs w:val="22"/>
        </w:rPr>
      </w:pPr>
    </w:p>
    <w:p w14:paraId="706BCD74" w14:textId="46061F51" w:rsidR="00E75DDF" w:rsidRPr="0009150F" w:rsidRDefault="006D79D3" w:rsidP="0085614D">
      <w:pPr>
        <w:spacing w:line="259" w:lineRule="auto"/>
        <w:rPr>
          <w:rFonts w:asciiTheme="minorHAnsi" w:hAnsiTheme="minorHAnsi"/>
          <w:sz w:val="22"/>
          <w:szCs w:val="22"/>
        </w:rPr>
      </w:pPr>
      <w:r w:rsidRPr="0009150F">
        <w:rPr>
          <w:rFonts w:asciiTheme="minorHAnsi" w:hAnsiTheme="minorHAnsi"/>
          <w:b/>
          <w:sz w:val="22"/>
          <w:szCs w:val="22"/>
        </w:rPr>
        <w:t>2.</w:t>
      </w:r>
      <w:r w:rsidR="00403039" w:rsidRPr="0009150F">
        <w:rPr>
          <w:rFonts w:asciiTheme="minorHAnsi" w:hAnsiTheme="minorHAnsi"/>
          <w:b/>
          <w:sz w:val="22"/>
          <w:szCs w:val="22"/>
        </w:rPr>
        <w:t>2</w:t>
      </w:r>
      <w:r w:rsidRPr="0009150F">
        <w:rPr>
          <w:rFonts w:asciiTheme="minorHAnsi" w:hAnsiTheme="minorHAnsi"/>
          <w:b/>
          <w:sz w:val="22"/>
          <w:szCs w:val="22"/>
        </w:rPr>
        <w:t xml:space="preserve"> </w:t>
      </w:r>
      <w:r w:rsidR="009624C8" w:rsidRPr="0009150F">
        <w:rPr>
          <w:rFonts w:asciiTheme="minorHAnsi" w:hAnsiTheme="minorHAnsi"/>
          <w:b/>
          <w:sz w:val="22"/>
          <w:szCs w:val="22"/>
        </w:rPr>
        <w:t xml:space="preserve"> </w:t>
      </w:r>
      <w:r w:rsidR="005730B0" w:rsidRPr="0009150F">
        <w:rPr>
          <w:rFonts w:asciiTheme="minorHAnsi" w:hAnsiTheme="minorHAnsi"/>
          <w:b/>
          <w:sz w:val="22"/>
          <w:szCs w:val="22"/>
        </w:rPr>
        <w:t xml:space="preserve"> Dostępna moc przyłączeniowa</w:t>
      </w:r>
    </w:p>
    <w:p w14:paraId="3F0A9B24" w14:textId="77777777" w:rsidR="00731C0F" w:rsidRPr="0009150F" w:rsidRDefault="00731C0F" w:rsidP="00D23453">
      <w:pPr>
        <w:spacing w:line="259" w:lineRule="auto"/>
        <w:jc w:val="both"/>
        <w:rPr>
          <w:rFonts w:asciiTheme="minorHAnsi" w:hAnsiTheme="minorHAnsi"/>
          <w:sz w:val="22"/>
          <w:szCs w:val="22"/>
        </w:rPr>
      </w:pPr>
    </w:p>
    <w:p w14:paraId="326417BC" w14:textId="4A3B5221" w:rsidR="006D79D3" w:rsidRPr="0009150F" w:rsidRDefault="00E75DDF" w:rsidP="00D23453">
      <w:pPr>
        <w:spacing w:line="259" w:lineRule="auto"/>
        <w:jc w:val="both"/>
        <w:rPr>
          <w:rFonts w:asciiTheme="minorHAnsi" w:hAnsiTheme="minorHAnsi"/>
          <w:sz w:val="22"/>
          <w:szCs w:val="22"/>
        </w:rPr>
      </w:pPr>
      <w:r w:rsidRPr="0009150F">
        <w:rPr>
          <w:rFonts w:asciiTheme="minorHAnsi" w:hAnsiTheme="minorHAnsi"/>
          <w:sz w:val="22"/>
          <w:szCs w:val="22"/>
        </w:rPr>
        <w:t>Planowana wielkość wskaźnika osiągnięcia celu – ł</w:t>
      </w:r>
      <w:r w:rsidR="00651A38" w:rsidRPr="0009150F">
        <w:rPr>
          <w:rFonts w:asciiTheme="minorHAnsi" w:hAnsiTheme="minorHAnsi"/>
          <w:sz w:val="22"/>
          <w:szCs w:val="22"/>
        </w:rPr>
        <w:t>ączna</w:t>
      </w:r>
      <w:r w:rsidR="00003A4D" w:rsidRPr="0009150F">
        <w:rPr>
          <w:rFonts w:asciiTheme="minorHAnsi" w:hAnsiTheme="minorHAnsi"/>
          <w:sz w:val="22"/>
          <w:szCs w:val="22"/>
        </w:rPr>
        <w:t xml:space="preserve"> moc</w:t>
      </w:r>
      <w:r w:rsidR="006D79D3" w:rsidRPr="0009150F">
        <w:rPr>
          <w:rFonts w:asciiTheme="minorHAnsi" w:hAnsiTheme="minorHAnsi"/>
          <w:sz w:val="22"/>
          <w:szCs w:val="22"/>
        </w:rPr>
        <w:t xml:space="preserve"> przyłączeniowa</w:t>
      </w:r>
      <w:r w:rsidR="00003A4D" w:rsidRPr="0009150F">
        <w:rPr>
          <w:rFonts w:asciiTheme="minorHAnsi" w:hAnsiTheme="minorHAnsi"/>
          <w:sz w:val="22"/>
          <w:szCs w:val="22"/>
        </w:rPr>
        <w:t xml:space="preserve"> nowopowstałych/rozbudowanych przyłączy elektroenergetycznych</w:t>
      </w:r>
      <w:r w:rsidR="006D79D3" w:rsidRPr="0009150F">
        <w:rPr>
          <w:rFonts w:asciiTheme="minorHAnsi" w:hAnsiTheme="minorHAnsi"/>
          <w:sz w:val="22"/>
          <w:szCs w:val="22"/>
        </w:rPr>
        <w:t xml:space="preserve"> dla zasilania podstawowego </w:t>
      </w:r>
      <w:r w:rsidR="00003A4D" w:rsidRPr="0009150F">
        <w:rPr>
          <w:rFonts w:asciiTheme="minorHAnsi" w:hAnsiTheme="minorHAnsi"/>
          <w:sz w:val="22"/>
          <w:szCs w:val="22"/>
        </w:rPr>
        <w:t>–</w:t>
      </w:r>
      <w:r w:rsidR="00097626">
        <w:rPr>
          <w:rFonts w:asciiTheme="minorHAnsi" w:hAnsiTheme="minorHAnsi"/>
          <w:sz w:val="22"/>
          <w:szCs w:val="22"/>
        </w:rPr>
        <w:t>50</w:t>
      </w:r>
      <w:r w:rsidR="00B621A3" w:rsidRPr="0009150F">
        <w:rPr>
          <w:rFonts w:asciiTheme="minorHAnsi" w:hAnsiTheme="minorHAnsi"/>
          <w:sz w:val="22"/>
          <w:szCs w:val="22"/>
        </w:rPr>
        <w:t xml:space="preserve"> </w:t>
      </w:r>
      <w:r w:rsidR="006D79D3" w:rsidRPr="0009150F">
        <w:rPr>
          <w:rFonts w:asciiTheme="minorHAnsi" w:hAnsiTheme="minorHAnsi"/>
          <w:sz w:val="22"/>
          <w:szCs w:val="22"/>
        </w:rPr>
        <w:t>MW</w:t>
      </w:r>
      <w:r w:rsidR="003F2F63" w:rsidRPr="0009150F">
        <w:rPr>
          <w:rFonts w:asciiTheme="minorHAnsi" w:hAnsiTheme="minorHAnsi"/>
          <w:sz w:val="22"/>
          <w:szCs w:val="22"/>
        </w:rPr>
        <w:t>.</w:t>
      </w:r>
      <w:r w:rsidR="006D79D3" w:rsidRPr="0009150F">
        <w:rPr>
          <w:rFonts w:asciiTheme="minorHAnsi" w:hAnsiTheme="minorHAnsi"/>
          <w:sz w:val="22"/>
          <w:szCs w:val="22"/>
        </w:rPr>
        <w:t xml:space="preserve">  </w:t>
      </w:r>
    </w:p>
    <w:p w14:paraId="72A8C5D0" w14:textId="77777777" w:rsidR="006D79D3" w:rsidRPr="0009150F" w:rsidRDefault="006D79D3" w:rsidP="00D23453">
      <w:pPr>
        <w:spacing w:line="259" w:lineRule="auto"/>
        <w:jc w:val="both"/>
        <w:rPr>
          <w:rFonts w:asciiTheme="minorHAnsi" w:hAnsiTheme="minorHAnsi"/>
          <w:color w:val="FF0000"/>
          <w:sz w:val="22"/>
          <w:szCs w:val="22"/>
        </w:rPr>
      </w:pPr>
    </w:p>
    <w:p w14:paraId="0C0234CB" w14:textId="06109B0A" w:rsidR="00E75AB1" w:rsidRPr="0009150F" w:rsidRDefault="00E75AB1" w:rsidP="00E75AB1">
      <w:pPr>
        <w:pStyle w:val="NormalnyWeb"/>
        <w:spacing w:before="240" w:beforeAutospacing="0" w:after="120" w:afterAutospacing="0"/>
        <w:jc w:val="both"/>
        <w:rPr>
          <w:rFonts w:ascii="Segoe UI" w:hAnsi="Segoe UI" w:cs="Segoe UI"/>
          <w:sz w:val="21"/>
          <w:szCs w:val="21"/>
        </w:rPr>
      </w:pPr>
      <w:r w:rsidRPr="0009150F">
        <w:rPr>
          <w:rFonts w:asciiTheme="minorHAnsi" w:hAnsiTheme="minorHAnsi"/>
          <w:b/>
          <w:color w:val="000000" w:themeColor="text1"/>
          <w:sz w:val="22"/>
          <w:szCs w:val="22"/>
        </w:rPr>
        <w:t xml:space="preserve">2.3 </w:t>
      </w:r>
      <w:r w:rsidR="004B77DE" w:rsidRPr="0009150F">
        <w:rPr>
          <w:rFonts w:ascii="Calibri" w:hAnsi="Calibri" w:cs="Calibri"/>
          <w:b/>
          <w:bCs/>
          <w:sz w:val="22"/>
          <w:szCs w:val="22"/>
        </w:rPr>
        <w:t xml:space="preserve"> </w:t>
      </w:r>
      <w:r w:rsidRPr="0009150F">
        <w:rPr>
          <w:rFonts w:ascii="Calibri" w:hAnsi="Calibri" w:cs="Calibri"/>
          <w:b/>
          <w:bCs/>
          <w:sz w:val="22"/>
          <w:szCs w:val="22"/>
        </w:rPr>
        <w:t>Zmniejszenie emisji CO</w:t>
      </w:r>
      <w:r w:rsidRPr="0009150F">
        <w:rPr>
          <w:rFonts w:ascii="Calibri" w:hAnsi="Calibri" w:cs="Calibri"/>
          <w:b/>
          <w:bCs/>
          <w:sz w:val="22"/>
          <w:szCs w:val="22"/>
          <w:vertAlign w:val="subscript"/>
        </w:rPr>
        <w:t>2</w:t>
      </w:r>
    </w:p>
    <w:p w14:paraId="4BB018CD" w14:textId="37517504" w:rsidR="00E75AB1" w:rsidRPr="0009150F" w:rsidRDefault="00E75AB1" w:rsidP="00E75AB1">
      <w:pPr>
        <w:pStyle w:val="NormalnyWeb"/>
        <w:spacing w:before="240" w:beforeAutospacing="0" w:after="240" w:afterAutospacing="0"/>
        <w:jc w:val="both"/>
        <w:rPr>
          <w:rFonts w:ascii="Calibri" w:hAnsi="Calibri" w:cs="Calibri"/>
          <w:sz w:val="22"/>
          <w:szCs w:val="22"/>
        </w:rPr>
      </w:pPr>
      <w:r w:rsidRPr="0009150F">
        <w:rPr>
          <w:rFonts w:ascii="Calibri" w:hAnsi="Calibri" w:cs="Calibri"/>
          <w:sz w:val="22"/>
          <w:szCs w:val="22"/>
        </w:rPr>
        <w:t>Planowan</w:t>
      </w:r>
      <w:r w:rsidR="002E508D" w:rsidRPr="0009150F">
        <w:rPr>
          <w:rFonts w:ascii="Calibri" w:hAnsi="Calibri" w:cs="Calibri"/>
          <w:sz w:val="22"/>
          <w:szCs w:val="22"/>
        </w:rPr>
        <w:t>a</w:t>
      </w:r>
      <w:r w:rsidRPr="0009150F">
        <w:rPr>
          <w:rFonts w:ascii="Calibri" w:hAnsi="Calibri" w:cs="Calibri"/>
          <w:sz w:val="22"/>
          <w:szCs w:val="22"/>
        </w:rPr>
        <w:t xml:space="preserve"> wartoś</w:t>
      </w:r>
      <w:r w:rsidR="002E508D" w:rsidRPr="0009150F">
        <w:rPr>
          <w:rFonts w:ascii="Calibri" w:hAnsi="Calibri" w:cs="Calibri"/>
          <w:sz w:val="22"/>
          <w:szCs w:val="22"/>
        </w:rPr>
        <w:t>ć</w:t>
      </w:r>
      <w:r w:rsidRPr="0009150F">
        <w:rPr>
          <w:rFonts w:ascii="Calibri" w:hAnsi="Calibri" w:cs="Calibri"/>
          <w:sz w:val="22"/>
          <w:szCs w:val="22"/>
        </w:rPr>
        <w:t xml:space="preserve"> wskaźnika osiągnięcia celu dla bezzwrotnej formy dofinansowania wynosi </w:t>
      </w:r>
      <w:r w:rsidR="008755B1" w:rsidRPr="0009150F">
        <w:rPr>
          <w:rFonts w:ascii="Calibri" w:hAnsi="Calibri" w:cs="Calibri"/>
          <w:sz w:val="22"/>
          <w:szCs w:val="22"/>
        </w:rPr>
        <w:br/>
      </w:r>
      <w:r w:rsidRPr="0009150F">
        <w:rPr>
          <w:rFonts w:ascii="Calibri" w:hAnsi="Calibri" w:cs="Calibri"/>
          <w:sz w:val="22"/>
          <w:szCs w:val="22"/>
        </w:rPr>
        <w:t xml:space="preserve">co najmniej  </w:t>
      </w:r>
      <w:r w:rsidR="003E6A6B" w:rsidRPr="003E6A6B">
        <w:rPr>
          <w:rFonts w:ascii="Calibri" w:hAnsi="Calibri" w:cs="Calibri"/>
          <w:sz w:val="22"/>
          <w:szCs w:val="22"/>
        </w:rPr>
        <w:t>…………..</w:t>
      </w:r>
      <w:r w:rsidR="00B621A3" w:rsidRPr="003E6A6B">
        <w:rPr>
          <w:rFonts w:ascii="Calibri" w:hAnsi="Calibri" w:cs="Calibri"/>
          <w:sz w:val="22"/>
          <w:szCs w:val="22"/>
        </w:rPr>
        <w:t xml:space="preserve"> </w:t>
      </w:r>
      <w:r w:rsidRPr="003E6A6B">
        <w:rPr>
          <w:rFonts w:ascii="Calibri" w:hAnsi="Calibri" w:cs="Calibri"/>
          <w:sz w:val="22"/>
          <w:szCs w:val="22"/>
        </w:rPr>
        <w:t>Mg/rok</w:t>
      </w:r>
      <w:r w:rsidRPr="0009150F">
        <w:rPr>
          <w:rFonts w:ascii="Calibri" w:hAnsi="Calibri" w:cs="Calibri"/>
          <w:sz w:val="22"/>
          <w:szCs w:val="22"/>
        </w:rPr>
        <w:t>.</w:t>
      </w:r>
    </w:p>
    <w:p w14:paraId="6F6BEEC3" w14:textId="77777777" w:rsidR="004979D0" w:rsidRPr="0009150F" w:rsidRDefault="004979D0" w:rsidP="004979D0">
      <w:pPr>
        <w:pStyle w:val="NormalnyWeb"/>
        <w:spacing w:before="0" w:beforeAutospacing="0" w:after="0" w:afterAutospacing="0"/>
        <w:jc w:val="both"/>
        <w:rPr>
          <w:rFonts w:ascii="Calibri" w:hAnsi="Calibri" w:cs="Calibri"/>
          <w:sz w:val="22"/>
          <w:szCs w:val="22"/>
        </w:rPr>
      </w:pPr>
    </w:p>
    <w:p w14:paraId="21D2629C" w14:textId="32272EFC" w:rsidR="00CD5C81" w:rsidRPr="0009150F" w:rsidRDefault="00E75DDF" w:rsidP="004979D0">
      <w:pPr>
        <w:pStyle w:val="Akapitzlist"/>
        <w:tabs>
          <w:tab w:val="left" w:pos="284"/>
        </w:tabs>
        <w:autoSpaceDE w:val="0"/>
        <w:autoSpaceDN w:val="0"/>
        <w:adjustRightInd w:val="0"/>
        <w:ind w:left="0"/>
        <w:contextualSpacing w:val="0"/>
        <w:jc w:val="both"/>
        <w:rPr>
          <w:rFonts w:asciiTheme="minorHAnsi" w:hAnsiTheme="minorHAnsi"/>
          <w:b/>
          <w:bCs/>
          <w:color w:val="000000"/>
          <w:sz w:val="22"/>
          <w:szCs w:val="22"/>
        </w:rPr>
      </w:pPr>
      <w:r w:rsidRPr="0009150F">
        <w:rPr>
          <w:rFonts w:asciiTheme="minorHAnsi" w:hAnsiTheme="minorHAnsi"/>
          <w:b/>
          <w:bCs/>
          <w:color w:val="000000" w:themeColor="text1"/>
          <w:sz w:val="22"/>
          <w:szCs w:val="22"/>
        </w:rPr>
        <w:t xml:space="preserve">3. </w:t>
      </w:r>
      <w:r w:rsidR="33B284A1" w:rsidRPr="0009150F">
        <w:rPr>
          <w:rFonts w:asciiTheme="minorHAnsi" w:hAnsiTheme="minorHAnsi"/>
          <w:b/>
          <w:bCs/>
          <w:color w:val="000000" w:themeColor="text1"/>
          <w:sz w:val="22"/>
          <w:szCs w:val="22"/>
        </w:rPr>
        <w:t xml:space="preserve">Budżet </w:t>
      </w:r>
    </w:p>
    <w:p w14:paraId="1F1DB917" w14:textId="2AEDB557" w:rsidR="009317EA" w:rsidRPr="0009150F" w:rsidRDefault="34A40F4C" w:rsidP="34A40F4C">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sidRPr="0009150F">
        <w:rPr>
          <w:rFonts w:asciiTheme="minorHAnsi" w:hAnsiTheme="minorHAnsi"/>
          <w:color w:val="000000" w:themeColor="text1"/>
          <w:sz w:val="22"/>
          <w:szCs w:val="22"/>
        </w:rPr>
        <w:t xml:space="preserve">Budżet na realizację celu programu wynosi </w:t>
      </w:r>
      <w:r w:rsidRPr="0009150F">
        <w:rPr>
          <w:rFonts w:asciiTheme="minorHAnsi" w:hAnsiTheme="minorHAnsi"/>
          <w:b/>
          <w:bCs/>
          <w:color w:val="000000" w:themeColor="text1"/>
          <w:sz w:val="22"/>
          <w:szCs w:val="22"/>
        </w:rPr>
        <w:t xml:space="preserve">do </w:t>
      </w:r>
      <w:r w:rsidR="003F7F32" w:rsidRPr="0009150F">
        <w:rPr>
          <w:rFonts w:asciiTheme="minorHAnsi" w:hAnsiTheme="minorHAnsi"/>
          <w:b/>
          <w:bCs/>
          <w:color w:val="000000" w:themeColor="text1"/>
          <w:sz w:val="22"/>
          <w:szCs w:val="22"/>
        </w:rPr>
        <w:t>3</w:t>
      </w:r>
      <w:r w:rsidR="00AC72BC" w:rsidRPr="0009150F">
        <w:rPr>
          <w:rFonts w:asciiTheme="minorHAnsi" w:hAnsiTheme="minorHAnsi"/>
          <w:b/>
          <w:bCs/>
          <w:color w:val="000000" w:themeColor="text1"/>
          <w:sz w:val="22"/>
          <w:szCs w:val="22"/>
        </w:rPr>
        <w:t> 000 000,00</w:t>
      </w:r>
      <w:r w:rsidR="1310EC7D" w:rsidRPr="0009150F">
        <w:rPr>
          <w:rFonts w:asciiTheme="minorHAnsi" w:hAnsiTheme="minorHAnsi"/>
          <w:b/>
          <w:bCs/>
          <w:color w:val="000000" w:themeColor="text1"/>
          <w:sz w:val="22"/>
          <w:szCs w:val="22"/>
        </w:rPr>
        <w:t xml:space="preserve"> </w:t>
      </w:r>
      <w:r w:rsidR="00B6339C" w:rsidRPr="0009150F">
        <w:rPr>
          <w:rFonts w:asciiTheme="minorHAnsi" w:hAnsiTheme="minorHAnsi"/>
          <w:b/>
          <w:bCs/>
          <w:color w:val="000000" w:themeColor="text1"/>
          <w:sz w:val="22"/>
          <w:szCs w:val="22"/>
        </w:rPr>
        <w:t xml:space="preserve">tys. </w:t>
      </w:r>
      <w:r w:rsidR="1310EC7D" w:rsidRPr="0009150F">
        <w:rPr>
          <w:rFonts w:asciiTheme="minorHAnsi" w:hAnsiTheme="minorHAnsi"/>
          <w:b/>
          <w:bCs/>
          <w:color w:val="000000" w:themeColor="text1"/>
          <w:sz w:val="22"/>
          <w:szCs w:val="22"/>
        </w:rPr>
        <w:t>zł</w:t>
      </w:r>
      <w:r w:rsidR="7181F34C" w:rsidRPr="0009150F">
        <w:rPr>
          <w:rFonts w:asciiTheme="minorHAnsi" w:hAnsiTheme="minorHAnsi"/>
          <w:b/>
          <w:bCs/>
          <w:color w:val="000000" w:themeColor="text1"/>
          <w:sz w:val="22"/>
          <w:szCs w:val="22"/>
        </w:rPr>
        <w:t xml:space="preserve"> </w:t>
      </w:r>
      <w:r w:rsidRPr="0009150F">
        <w:rPr>
          <w:rFonts w:asciiTheme="minorHAnsi" w:hAnsiTheme="minorHAnsi"/>
          <w:color w:val="000000" w:themeColor="text1"/>
          <w:sz w:val="22"/>
          <w:szCs w:val="22"/>
        </w:rPr>
        <w:t>w tym:</w:t>
      </w:r>
    </w:p>
    <w:p w14:paraId="52526698" w14:textId="04D234C9" w:rsidR="009317EA" w:rsidRPr="0009150F" w:rsidRDefault="34A40F4C" w:rsidP="34A40F4C">
      <w:pPr>
        <w:spacing w:before="60" w:after="60"/>
        <w:rPr>
          <w:rFonts w:asciiTheme="minorHAnsi" w:hAnsiTheme="minorHAnsi"/>
          <w:sz w:val="22"/>
          <w:szCs w:val="22"/>
        </w:rPr>
      </w:pPr>
      <w:r w:rsidRPr="0009150F">
        <w:rPr>
          <w:rFonts w:asciiTheme="minorHAnsi" w:hAnsiTheme="minorHAnsi"/>
          <w:sz w:val="22"/>
          <w:szCs w:val="22"/>
        </w:rPr>
        <w:t xml:space="preserve">dla bezzwrotnych form dofinansowania – do </w:t>
      </w:r>
      <w:r w:rsidR="003F7F32" w:rsidRPr="0009150F">
        <w:rPr>
          <w:rFonts w:asciiTheme="minorHAnsi" w:hAnsiTheme="minorHAnsi"/>
          <w:sz w:val="22"/>
          <w:szCs w:val="22"/>
        </w:rPr>
        <w:t>3</w:t>
      </w:r>
      <w:r w:rsidR="00AC72BC" w:rsidRPr="0009150F">
        <w:rPr>
          <w:rFonts w:asciiTheme="minorHAnsi" w:hAnsiTheme="minorHAnsi"/>
          <w:sz w:val="22"/>
          <w:szCs w:val="22"/>
        </w:rPr>
        <w:t> 000 000</w:t>
      </w:r>
      <w:r w:rsidR="002261A3" w:rsidRPr="0009150F">
        <w:rPr>
          <w:rFonts w:asciiTheme="minorHAnsi" w:hAnsiTheme="minorHAnsi"/>
          <w:sz w:val="22"/>
          <w:szCs w:val="22"/>
        </w:rPr>
        <w:t>,00</w:t>
      </w:r>
      <w:r w:rsidR="25C07D87" w:rsidRPr="0009150F">
        <w:rPr>
          <w:rFonts w:asciiTheme="minorHAnsi" w:hAnsiTheme="minorHAnsi"/>
          <w:sz w:val="22"/>
          <w:szCs w:val="22"/>
        </w:rPr>
        <w:t xml:space="preserve"> </w:t>
      </w:r>
      <w:r w:rsidR="00B6339C" w:rsidRPr="0009150F">
        <w:rPr>
          <w:rFonts w:asciiTheme="minorHAnsi" w:hAnsiTheme="minorHAnsi"/>
          <w:sz w:val="22"/>
          <w:szCs w:val="22"/>
        </w:rPr>
        <w:t xml:space="preserve">tys. </w:t>
      </w:r>
      <w:r w:rsidR="25C07D87" w:rsidRPr="0009150F">
        <w:rPr>
          <w:rFonts w:asciiTheme="minorHAnsi" w:hAnsiTheme="minorHAnsi"/>
          <w:sz w:val="22"/>
          <w:szCs w:val="22"/>
        </w:rPr>
        <w:t>zł</w:t>
      </w:r>
      <w:r w:rsidR="00595C43" w:rsidRPr="0009150F">
        <w:rPr>
          <w:rFonts w:asciiTheme="minorHAnsi" w:hAnsiTheme="minorHAnsi"/>
          <w:sz w:val="22"/>
          <w:szCs w:val="22"/>
        </w:rPr>
        <w:t>.</w:t>
      </w:r>
    </w:p>
    <w:p w14:paraId="29EE225C" w14:textId="77777777" w:rsidR="008755B1" w:rsidRDefault="008755B1" w:rsidP="34A40F4C">
      <w:pPr>
        <w:spacing w:before="60" w:after="60"/>
        <w:rPr>
          <w:rFonts w:asciiTheme="minorHAnsi" w:hAnsiTheme="minorHAnsi"/>
          <w:sz w:val="22"/>
          <w:szCs w:val="22"/>
        </w:rPr>
      </w:pPr>
    </w:p>
    <w:p w14:paraId="2E5B74F6" w14:textId="1532BDD8" w:rsidR="007F40FC" w:rsidRPr="007F40FC" w:rsidRDefault="007F40FC" w:rsidP="007F40FC">
      <w:pPr>
        <w:numPr>
          <w:ilvl w:val="0"/>
          <w:numId w:val="20"/>
        </w:numPr>
        <w:spacing w:before="60" w:after="60"/>
        <w:rPr>
          <w:rFonts w:asciiTheme="minorHAnsi" w:hAnsiTheme="minorHAnsi"/>
          <w:sz w:val="22"/>
          <w:szCs w:val="22"/>
        </w:rPr>
      </w:pPr>
      <w:r w:rsidRPr="007F40FC">
        <w:rPr>
          <w:rFonts w:asciiTheme="minorHAnsi" w:hAnsiTheme="minorHAnsi"/>
          <w:sz w:val="22"/>
          <w:szCs w:val="22"/>
        </w:rPr>
        <w:lastRenderedPageBreak/>
        <w:t xml:space="preserve">co najmniej 80% budżetu przeznaczone będzie na wsparcie budowy lub rozbudowy infrastruktury niezbędnej do zapewnienia zasilania </w:t>
      </w:r>
      <w:r>
        <w:rPr>
          <w:rFonts w:asciiTheme="minorHAnsi" w:hAnsiTheme="minorHAnsi"/>
          <w:sz w:val="22"/>
          <w:szCs w:val="22"/>
        </w:rPr>
        <w:t xml:space="preserve">ogólnodostępnych </w:t>
      </w:r>
      <w:r w:rsidRPr="007F40FC">
        <w:rPr>
          <w:rFonts w:asciiTheme="minorHAnsi" w:hAnsiTheme="minorHAnsi"/>
          <w:sz w:val="22"/>
          <w:szCs w:val="22"/>
        </w:rPr>
        <w:t>stacji ładowania</w:t>
      </w:r>
      <w:r>
        <w:rPr>
          <w:rFonts w:asciiTheme="minorHAnsi" w:hAnsiTheme="minorHAnsi"/>
          <w:sz w:val="22"/>
          <w:szCs w:val="22"/>
        </w:rPr>
        <w:t xml:space="preserve"> dużych mocy</w:t>
      </w:r>
      <w:r w:rsidRPr="007F40FC">
        <w:rPr>
          <w:rFonts w:asciiTheme="minorHAnsi" w:hAnsiTheme="minorHAnsi"/>
          <w:sz w:val="22"/>
          <w:szCs w:val="22"/>
        </w:rPr>
        <w:t>, zlokalizowanych wzdłuż sieci bazowej TEN-T;</w:t>
      </w:r>
    </w:p>
    <w:p w14:paraId="05A2DEF5" w14:textId="003C3FDC" w:rsidR="007F40FC" w:rsidRPr="007F40FC" w:rsidRDefault="007F40FC" w:rsidP="007F40FC">
      <w:pPr>
        <w:numPr>
          <w:ilvl w:val="0"/>
          <w:numId w:val="20"/>
        </w:numPr>
        <w:spacing w:before="60" w:after="60"/>
        <w:rPr>
          <w:rFonts w:asciiTheme="minorHAnsi" w:hAnsiTheme="minorHAnsi"/>
          <w:bCs/>
          <w:sz w:val="22"/>
          <w:szCs w:val="22"/>
        </w:rPr>
      </w:pPr>
      <w:r w:rsidRPr="007F40FC">
        <w:rPr>
          <w:rFonts w:asciiTheme="minorHAnsi" w:hAnsiTheme="minorHAnsi"/>
          <w:bCs/>
          <w:sz w:val="22"/>
          <w:szCs w:val="22"/>
        </w:rPr>
        <w:t xml:space="preserve">do 20% budżetu przeznaczone będzie na wsparcie </w:t>
      </w:r>
      <w:r w:rsidRPr="007F40FC">
        <w:rPr>
          <w:rFonts w:asciiTheme="minorHAnsi" w:hAnsiTheme="minorHAnsi"/>
          <w:sz w:val="22"/>
          <w:szCs w:val="22"/>
        </w:rPr>
        <w:t xml:space="preserve">budowy lub rozbudowy infrastruktury niezbędnej do zapewnienia zasilania </w:t>
      </w:r>
      <w:r>
        <w:rPr>
          <w:rFonts w:asciiTheme="minorHAnsi" w:hAnsiTheme="minorHAnsi"/>
          <w:sz w:val="22"/>
          <w:szCs w:val="22"/>
        </w:rPr>
        <w:t xml:space="preserve">ogólnodostępnych </w:t>
      </w:r>
      <w:r w:rsidRPr="007F40FC">
        <w:rPr>
          <w:rFonts w:asciiTheme="minorHAnsi" w:hAnsiTheme="minorHAnsi"/>
          <w:sz w:val="22"/>
          <w:szCs w:val="22"/>
        </w:rPr>
        <w:t>stacji ładowania</w:t>
      </w:r>
      <w:r>
        <w:rPr>
          <w:rFonts w:asciiTheme="minorHAnsi" w:hAnsiTheme="minorHAnsi"/>
          <w:sz w:val="22"/>
          <w:szCs w:val="22"/>
        </w:rPr>
        <w:t xml:space="preserve"> dużych mocy</w:t>
      </w:r>
      <w:r w:rsidRPr="007F40FC">
        <w:rPr>
          <w:rFonts w:asciiTheme="minorHAnsi" w:hAnsiTheme="minorHAnsi"/>
          <w:bCs/>
          <w:sz w:val="22"/>
          <w:szCs w:val="22"/>
        </w:rPr>
        <w:t xml:space="preserve">, zlokalizowanych przy centrum logistycznym, bazie eksploatacyjnej lub terminalu intermodalnym. </w:t>
      </w:r>
    </w:p>
    <w:p w14:paraId="61DA9EE0" w14:textId="77777777" w:rsidR="003E6A6B" w:rsidRPr="0009150F" w:rsidRDefault="003E6A6B" w:rsidP="34A40F4C">
      <w:pPr>
        <w:spacing w:before="60" w:after="60"/>
        <w:rPr>
          <w:rFonts w:asciiTheme="minorHAnsi" w:hAnsiTheme="minorHAnsi"/>
          <w:sz w:val="22"/>
          <w:szCs w:val="22"/>
        </w:rPr>
      </w:pPr>
    </w:p>
    <w:p w14:paraId="54A70FF2" w14:textId="78C40692" w:rsidR="005E49F1" w:rsidRPr="0009150F"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sidRPr="0009150F">
        <w:rPr>
          <w:rFonts w:asciiTheme="minorHAnsi" w:hAnsiTheme="minorHAnsi"/>
          <w:b/>
          <w:bCs/>
          <w:color w:val="000000" w:themeColor="text1"/>
          <w:sz w:val="22"/>
          <w:szCs w:val="22"/>
        </w:rPr>
        <w:t>4.</w:t>
      </w:r>
      <w:r w:rsidR="009D5541" w:rsidRPr="0009150F">
        <w:rPr>
          <w:rFonts w:asciiTheme="minorHAnsi" w:hAnsiTheme="minorHAnsi"/>
          <w:b/>
          <w:bCs/>
          <w:color w:val="000000" w:themeColor="text1"/>
          <w:sz w:val="22"/>
          <w:szCs w:val="22"/>
        </w:rPr>
        <w:t xml:space="preserve"> </w:t>
      </w:r>
      <w:r w:rsidR="33B284A1" w:rsidRPr="0009150F">
        <w:rPr>
          <w:rFonts w:asciiTheme="minorHAnsi" w:hAnsiTheme="minorHAnsi"/>
          <w:b/>
          <w:bCs/>
          <w:color w:val="000000" w:themeColor="text1"/>
          <w:sz w:val="22"/>
          <w:szCs w:val="22"/>
        </w:rPr>
        <w:t xml:space="preserve">Okres wdrażania </w:t>
      </w:r>
    </w:p>
    <w:p w14:paraId="1D776D4F" w14:textId="66E81214" w:rsidR="00A15406" w:rsidRPr="0009150F" w:rsidRDefault="00A15406" w:rsidP="34A40F4C">
      <w:pPr>
        <w:tabs>
          <w:tab w:val="left" w:pos="284"/>
        </w:tabs>
        <w:autoSpaceDE w:val="0"/>
        <w:autoSpaceDN w:val="0"/>
        <w:adjustRightInd w:val="0"/>
        <w:spacing w:before="60" w:after="60"/>
        <w:jc w:val="both"/>
        <w:rPr>
          <w:rFonts w:asciiTheme="minorHAnsi" w:hAnsiTheme="minorHAnsi"/>
          <w:color w:val="000000" w:themeColor="text1"/>
          <w:sz w:val="22"/>
          <w:szCs w:val="22"/>
        </w:rPr>
      </w:pPr>
      <w:r w:rsidRPr="0009150F">
        <w:rPr>
          <w:rFonts w:asciiTheme="minorHAnsi" w:hAnsiTheme="minorHAnsi"/>
          <w:bCs/>
          <w:color w:val="000000" w:themeColor="text1"/>
          <w:sz w:val="22"/>
          <w:szCs w:val="22"/>
        </w:rPr>
        <w:t xml:space="preserve">Program realizowany będzie w latach </w:t>
      </w:r>
      <w:r w:rsidR="00D504ED" w:rsidRPr="003453B2">
        <w:rPr>
          <w:rFonts w:asciiTheme="minorHAnsi" w:hAnsiTheme="minorHAnsi"/>
          <w:bCs/>
          <w:color w:val="000000" w:themeColor="text1"/>
          <w:sz w:val="22"/>
          <w:szCs w:val="22"/>
        </w:rPr>
        <w:t xml:space="preserve">2025 </w:t>
      </w:r>
      <w:r w:rsidRPr="003453B2">
        <w:rPr>
          <w:rFonts w:asciiTheme="minorHAnsi" w:hAnsiTheme="minorHAnsi"/>
          <w:bCs/>
          <w:color w:val="000000" w:themeColor="text1"/>
          <w:sz w:val="22"/>
          <w:szCs w:val="22"/>
        </w:rPr>
        <w:t>-</w:t>
      </w:r>
      <w:r w:rsidR="00D504ED" w:rsidRPr="003453B2">
        <w:rPr>
          <w:rFonts w:asciiTheme="minorHAnsi" w:hAnsiTheme="minorHAnsi"/>
          <w:bCs/>
          <w:color w:val="000000" w:themeColor="text1"/>
          <w:sz w:val="22"/>
          <w:szCs w:val="22"/>
        </w:rPr>
        <w:t>2029</w:t>
      </w:r>
      <w:r w:rsidRPr="003453B2">
        <w:rPr>
          <w:rFonts w:asciiTheme="minorHAnsi" w:hAnsiTheme="minorHAnsi"/>
          <w:bCs/>
          <w:color w:val="000000" w:themeColor="text1"/>
          <w:sz w:val="22"/>
          <w:szCs w:val="22"/>
        </w:rPr>
        <w:t>,</w:t>
      </w:r>
      <w:r w:rsidRPr="0009150F">
        <w:rPr>
          <w:rFonts w:asciiTheme="minorHAnsi" w:hAnsiTheme="minorHAnsi"/>
          <w:bCs/>
          <w:color w:val="000000" w:themeColor="text1"/>
          <w:sz w:val="22"/>
          <w:szCs w:val="22"/>
        </w:rPr>
        <w:t xml:space="preserve"> przy czym:</w:t>
      </w:r>
    </w:p>
    <w:p w14:paraId="281B9999" w14:textId="700A7B74" w:rsidR="005E49F1" w:rsidRPr="0009150F" w:rsidRDefault="34A40F4C" w:rsidP="34A40F4C">
      <w:pPr>
        <w:tabs>
          <w:tab w:val="left" w:pos="284"/>
        </w:tabs>
        <w:autoSpaceDE w:val="0"/>
        <w:autoSpaceDN w:val="0"/>
        <w:adjustRightInd w:val="0"/>
        <w:spacing w:before="60" w:after="60"/>
        <w:jc w:val="both"/>
        <w:rPr>
          <w:rFonts w:asciiTheme="minorHAnsi" w:hAnsiTheme="minorHAnsi"/>
          <w:color w:val="000000" w:themeColor="text1"/>
          <w:sz w:val="22"/>
          <w:szCs w:val="22"/>
        </w:rPr>
      </w:pPr>
      <w:r w:rsidRPr="0009150F">
        <w:rPr>
          <w:rFonts w:asciiTheme="minorHAnsi" w:hAnsiTheme="minorHAnsi"/>
          <w:color w:val="000000" w:themeColor="text1"/>
          <w:sz w:val="22"/>
          <w:szCs w:val="22"/>
        </w:rPr>
        <w:t>1)</w:t>
      </w:r>
      <w:r w:rsidR="008D1C89" w:rsidRPr="0009150F">
        <w:rPr>
          <w:color w:val="000000" w:themeColor="text1"/>
        </w:rPr>
        <w:tab/>
      </w:r>
      <w:r w:rsidRPr="0009150F">
        <w:rPr>
          <w:rFonts w:asciiTheme="minorHAnsi" w:hAnsiTheme="minorHAnsi"/>
          <w:color w:val="000000" w:themeColor="text1"/>
          <w:sz w:val="22"/>
          <w:szCs w:val="22"/>
        </w:rPr>
        <w:t xml:space="preserve">zobowiązania (rozumiane jako podpisywanie umów) podejmowane będą do </w:t>
      </w:r>
      <w:r w:rsidR="00F509FF" w:rsidRPr="0009150F">
        <w:rPr>
          <w:rFonts w:asciiTheme="minorHAnsi" w:hAnsiTheme="minorHAnsi"/>
          <w:color w:val="000000" w:themeColor="text1"/>
          <w:sz w:val="22"/>
          <w:szCs w:val="22"/>
        </w:rPr>
        <w:t>31.12.</w:t>
      </w:r>
      <w:r w:rsidR="00D504ED" w:rsidRPr="003453B2">
        <w:rPr>
          <w:rFonts w:asciiTheme="minorHAnsi" w:hAnsiTheme="minorHAnsi"/>
          <w:color w:val="000000" w:themeColor="text1"/>
          <w:sz w:val="22"/>
          <w:szCs w:val="22"/>
        </w:rPr>
        <w:t>2028</w:t>
      </w:r>
      <w:r w:rsidR="00D504ED" w:rsidRPr="0009150F">
        <w:rPr>
          <w:rFonts w:asciiTheme="minorHAnsi" w:hAnsiTheme="minorHAnsi"/>
          <w:color w:val="000000" w:themeColor="text1"/>
          <w:sz w:val="22"/>
          <w:szCs w:val="22"/>
        </w:rPr>
        <w:t xml:space="preserve"> </w:t>
      </w:r>
      <w:r w:rsidRPr="0009150F">
        <w:rPr>
          <w:rFonts w:asciiTheme="minorHAnsi" w:hAnsiTheme="minorHAnsi"/>
          <w:color w:val="000000" w:themeColor="text1"/>
          <w:sz w:val="22"/>
          <w:szCs w:val="22"/>
        </w:rPr>
        <w:t>r.,</w:t>
      </w:r>
    </w:p>
    <w:p w14:paraId="4F3AE1F0" w14:textId="70B0BA9C" w:rsidR="0066777C" w:rsidRPr="0009150F" w:rsidRDefault="34A40F4C" w:rsidP="34A40F4C">
      <w:pPr>
        <w:pStyle w:val="Akapitzlist"/>
        <w:tabs>
          <w:tab w:val="left" w:pos="284"/>
        </w:tabs>
        <w:autoSpaceDE w:val="0"/>
        <w:autoSpaceDN w:val="0"/>
        <w:adjustRightInd w:val="0"/>
        <w:spacing w:before="60" w:after="60"/>
        <w:ind w:left="0"/>
        <w:contextualSpacing w:val="0"/>
        <w:jc w:val="both"/>
        <w:rPr>
          <w:rFonts w:asciiTheme="minorHAnsi" w:hAnsiTheme="minorHAnsi"/>
          <w:color w:val="000000" w:themeColor="text1"/>
          <w:sz w:val="22"/>
          <w:szCs w:val="22"/>
        </w:rPr>
      </w:pPr>
      <w:r w:rsidRPr="0009150F">
        <w:rPr>
          <w:rFonts w:asciiTheme="minorHAnsi" w:hAnsiTheme="minorHAnsi"/>
          <w:color w:val="000000" w:themeColor="text1"/>
          <w:sz w:val="22"/>
          <w:szCs w:val="22"/>
        </w:rPr>
        <w:t>2)</w:t>
      </w:r>
      <w:r w:rsidR="00364984" w:rsidRPr="0009150F">
        <w:tab/>
      </w:r>
      <w:r w:rsidRPr="0009150F">
        <w:rPr>
          <w:rFonts w:asciiTheme="minorHAnsi" w:hAnsiTheme="minorHAnsi"/>
          <w:color w:val="000000" w:themeColor="text1"/>
          <w:sz w:val="22"/>
          <w:szCs w:val="22"/>
        </w:rPr>
        <w:t xml:space="preserve">środki wydatkowane będą do </w:t>
      </w:r>
      <w:r w:rsidR="00F509FF" w:rsidRPr="0009150F">
        <w:rPr>
          <w:rFonts w:asciiTheme="minorHAnsi" w:hAnsiTheme="minorHAnsi"/>
          <w:color w:val="000000" w:themeColor="text1"/>
          <w:sz w:val="22"/>
          <w:szCs w:val="22"/>
        </w:rPr>
        <w:t>31.12.</w:t>
      </w:r>
      <w:r w:rsidR="00D504ED" w:rsidRPr="003453B2">
        <w:rPr>
          <w:rFonts w:asciiTheme="minorHAnsi" w:hAnsiTheme="minorHAnsi"/>
          <w:color w:val="000000" w:themeColor="text1"/>
          <w:sz w:val="22"/>
          <w:szCs w:val="22"/>
        </w:rPr>
        <w:t xml:space="preserve">2029 </w:t>
      </w:r>
      <w:r w:rsidRPr="003453B2">
        <w:rPr>
          <w:rFonts w:asciiTheme="minorHAnsi" w:hAnsiTheme="minorHAnsi"/>
          <w:color w:val="000000" w:themeColor="text1"/>
          <w:sz w:val="22"/>
          <w:szCs w:val="22"/>
        </w:rPr>
        <w:t>r</w:t>
      </w:r>
      <w:r w:rsidRPr="0009150F">
        <w:rPr>
          <w:rFonts w:asciiTheme="minorHAnsi" w:hAnsiTheme="minorHAnsi"/>
          <w:color w:val="000000" w:themeColor="text1"/>
          <w:sz w:val="22"/>
          <w:szCs w:val="22"/>
        </w:rPr>
        <w:t>.</w:t>
      </w:r>
    </w:p>
    <w:p w14:paraId="05B66C04" w14:textId="77777777" w:rsidR="004979D0" w:rsidRPr="0009150F" w:rsidRDefault="004979D0" w:rsidP="34A40F4C">
      <w:pPr>
        <w:pStyle w:val="Akapitzlist"/>
        <w:tabs>
          <w:tab w:val="left" w:pos="284"/>
        </w:tabs>
        <w:autoSpaceDE w:val="0"/>
        <w:autoSpaceDN w:val="0"/>
        <w:adjustRightInd w:val="0"/>
        <w:spacing w:before="60" w:after="60"/>
        <w:ind w:left="0"/>
        <w:contextualSpacing w:val="0"/>
        <w:jc w:val="both"/>
        <w:rPr>
          <w:rFonts w:asciiTheme="minorHAnsi" w:hAnsiTheme="minorHAnsi"/>
          <w:color w:val="000000"/>
          <w:sz w:val="22"/>
          <w:szCs w:val="22"/>
        </w:rPr>
      </w:pPr>
    </w:p>
    <w:p w14:paraId="46CB8082" w14:textId="03E65EC7" w:rsidR="00F5249F" w:rsidRPr="0009150F"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sidRPr="0009150F">
        <w:rPr>
          <w:rFonts w:asciiTheme="minorHAnsi" w:hAnsiTheme="minorHAnsi"/>
          <w:b/>
          <w:bCs/>
          <w:color w:val="000000" w:themeColor="text1"/>
          <w:sz w:val="22"/>
          <w:szCs w:val="22"/>
        </w:rPr>
        <w:t xml:space="preserve">5. </w:t>
      </w:r>
      <w:r w:rsidR="33B284A1" w:rsidRPr="0009150F">
        <w:rPr>
          <w:rFonts w:asciiTheme="minorHAnsi" w:hAnsiTheme="minorHAnsi"/>
          <w:b/>
          <w:bCs/>
          <w:color w:val="000000" w:themeColor="text1"/>
          <w:sz w:val="22"/>
          <w:szCs w:val="22"/>
        </w:rPr>
        <w:t>Terminy i sposób składania wniosków</w:t>
      </w:r>
    </w:p>
    <w:p w14:paraId="080DCF4D" w14:textId="4C77A2A5" w:rsidR="005E49F1" w:rsidRPr="0009150F" w:rsidRDefault="501E32B3">
      <w:pPr>
        <w:tabs>
          <w:tab w:val="left" w:pos="284"/>
        </w:tabs>
        <w:autoSpaceDE w:val="0"/>
        <w:autoSpaceDN w:val="0"/>
        <w:adjustRightInd w:val="0"/>
        <w:jc w:val="both"/>
        <w:rPr>
          <w:rFonts w:asciiTheme="minorHAnsi" w:hAnsiTheme="minorHAnsi" w:cstheme="minorBidi"/>
          <w:color w:val="000000"/>
          <w:sz w:val="22"/>
          <w:szCs w:val="22"/>
        </w:rPr>
      </w:pPr>
      <w:r w:rsidRPr="0009150F">
        <w:rPr>
          <w:rFonts w:asciiTheme="minorHAnsi" w:hAnsiTheme="minorHAnsi"/>
          <w:color w:val="000000" w:themeColor="text1"/>
          <w:sz w:val="22"/>
          <w:szCs w:val="22"/>
        </w:rPr>
        <w:t>Nabór wniosków</w:t>
      </w:r>
      <w:r w:rsidRPr="0009150F">
        <w:rPr>
          <w:rFonts w:asciiTheme="minorHAnsi" w:hAnsiTheme="minorHAnsi"/>
          <w:sz w:val="22"/>
          <w:szCs w:val="22"/>
        </w:rPr>
        <w:t xml:space="preserve"> odbywa się trybie </w:t>
      </w:r>
      <w:r w:rsidRPr="0009150F">
        <w:rPr>
          <w:rFonts w:asciiTheme="minorHAnsi" w:hAnsiTheme="minorHAnsi" w:cstheme="minorBidi"/>
          <w:sz w:val="22"/>
          <w:szCs w:val="22"/>
        </w:rPr>
        <w:t>ciągłym</w:t>
      </w:r>
      <w:r w:rsidR="00E40A73" w:rsidRPr="0009150F">
        <w:rPr>
          <w:rFonts w:asciiTheme="minorHAnsi" w:hAnsiTheme="minorHAnsi" w:cstheme="minorBidi"/>
          <w:sz w:val="22"/>
          <w:szCs w:val="22"/>
        </w:rPr>
        <w:t>, do wyczerpania dedykowanej puli środków</w:t>
      </w:r>
      <w:r w:rsidR="54A291D4" w:rsidRPr="0009150F">
        <w:rPr>
          <w:rFonts w:asciiTheme="minorHAnsi" w:hAnsiTheme="minorHAnsi" w:cstheme="minorBidi"/>
          <w:sz w:val="22"/>
          <w:szCs w:val="22"/>
        </w:rPr>
        <w:t>.</w:t>
      </w:r>
    </w:p>
    <w:p w14:paraId="14D668CF" w14:textId="04B925DC" w:rsidR="000343DD" w:rsidRPr="0009150F" w:rsidRDefault="00F75465">
      <w:pPr>
        <w:tabs>
          <w:tab w:val="left" w:pos="284"/>
        </w:tabs>
        <w:autoSpaceDE w:val="0"/>
        <w:autoSpaceDN w:val="0"/>
        <w:adjustRightInd w:val="0"/>
        <w:jc w:val="both"/>
        <w:rPr>
          <w:rFonts w:asciiTheme="minorHAnsi" w:hAnsiTheme="minorHAnsi" w:cstheme="minorHAnsi"/>
          <w:color w:val="000000"/>
          <w:sz w:val="22"/>
        </w:rPr>
      </w:pPr>
      <w:r w:rsidRPr="0009150F">
        <w:rPr>
          <w:rFonts w:asciiTheme="minorHAnsi" w:hAnsiTheme="minorHAnsi" w:cstheme="minorHAnsi"/>
          <w:color w:val="000000"/>
          <w:sz w:val="22"/>
        </w:rPr>
        <w:t>Terminy, sposób składania i rozpatrywania wniosków określone zostaną odpowiednio w Regulaminie naboru lub w ogłoszeniu o naborze, które zamieszczone będą na stronie internetowej NFOŚiGW.</w:t>
      </w:r>
    </w:p>
    <w:p w14:paraId="0EC6133D" w14:textId="77777777" w:rsidR="004979D0" w:rsidRPr="0009150F" w:rsidRDefault="004979D0" w:rsidP="004979D0">
      <w:pPr>
        <w:pStyle w:val="Akapitzlist"/>
        <w:tabs>
          <w:tab w:val="left" w:pos="284"/>
        </w:tabs>
        <w:autoSpaceDE w:val="0"/>
        <w:autoSpaceDN w:val="0"/>
        <w:adjustRightInd w:val="0"/>
        <w:ind w:left="0"/>
        <w:contextualSpacing w:val="0"/>
        <w:jc w:val="both"/>
        <w:rPr>
          <w:rFonts w:asciiTheme="minorHAnsi" w:hAnsiTheme="minorHAnsi"/>
          <w:b/>
          <w:bCs/>
          <w:color w:val="000000" w:themeColor="text1"/>
          <w:sz w:val="22"/>
          <w:szCs w:val="22"/>
        </w:rPr>
      </w:pPr>
    </w:p>
    <w:p w14:paraId="007F8AA5" w14:textId="66DB868F" w:rsidR="00DA7CFB" w:rsidRPr="0009150F" w:rsidRDefault="008D75F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themeColor="text1"/>
          <w:sz w:val="22"/>
          <w:szCs w:val="22"/>
        </w:rPr>
      </w:pPr>
      <w:r w:rsidRPr="0009150F">
        <w:rPr>
          <w:rFonts w:asciiTheme="minorHAnsi" w:hAnsiTheme="minorHAnsi"/>
          <w:b/>
          <w:bCs/>
          <w:color w:val="000000" w:themeColor="text1"/>
          <w:sz w:val="22"/>
          <w:szCs w:val="22"/>
        </w:rPr>
        <w:t xml:space="preserve">6. </w:t>
      </w:r>
      <w:r w:rsidR="33B284A1" w:rsidRPr="0009150F">
        <w:rPr>
          <w:rFonts w:asciiTheme="minorHAnsi" w:hAnsiTheme="minorHAnsi"/>
          <w:b/>
          <w:bCs/>
          <w:color w:val="000000" w:themeColor="text1"/>
          <w:sz w:val="22"/>
          <w:szCs w:val="22"/>
        </w:rPr>
        <w:t xml:space="preserve">Koszty kwalifikowane </w:t>
      </w:r>
    </w:p>
    <w:p w14:paraId="6A017DE5" w14:textId="072311B4" w:rsidR="004E760B" w:rsidRPr="0009150F" w:rsidRDefault="501E32B3" w:rsidP="004E760B">
      <w:pPr>
        <w:pStyle w:val="Akapitzlist"/>
        <w:numPr>
          <w:ilvl w:val="0"/>
          <w:numId w:val="2"/>
        </w:numPr>
        <w:tabs>
          <w:tab w:val="left" w:pos="284"/>
        </w:tabs>
        <w:autoSpaceDE w:val="0"/>
        <w:autoSpaceDN w:val="0"/>
        <w:adjustRightInd w:val="0"/>
        <w:spacing w:before="240" w:after="60"/>
        <w:ind w:left="284" w:hanging="284"/>
        <w:contextualSpacing w:val="0"/>
        <w:jc w:val="both"/>
        <w:rPr>
          <w:rFonts w:asciiTheme="minorHAnsi" w:hAnsiTheme="minorHAnsi"/>
          <w:color w:val="000000" w:themeColor="text1"/>
          <w:sz w:val="22"/>
          <w:szCs w:val="22"/>
        </w:rPr>
      </w:pPr>
      <w:r w:rsidRPr="0009150F">
        <w:rPr>
          <w:rFonts w:asciiTheme="minorHAnsi" w:hAnsiTheme="minorHAnsi"/>
          <w:color w:val="000000" w:themeColor="text1"/>
          <w:sz w:val="22"/>
          <w:szCs w:val="22"/>
        </w:rPr>
        <w:t xml:space="preserve">okres kwalifikowalności kosztów od </w:t>
      </w:r>
      <w:r w:rsidR="7ACA918D" w:rsidRPr="0009150F">
        <w:rPr>
          <w:rFonts w:asciiTheme="minorHAnsi" w:hAnsiTheme="minorHAnsi"/>
          <w:color w:val="000000" w:themeColor="text1"/>
          <w:sz w:val="22"/>
          <w:szCs w:val="22"/>
        </w:rPr>
        <w:t>01.01.202</w:t>
      </w:r>
      <w:r w:rsidR="006C585F" w:rsidRPr="0009150F">
        <w:rPr>
          <w:rFonts w:asciiTheme="minorHAnsi" w:hAnsiTheme="minorHAnsi"/>
          <w:color w:val="000000" w:themeColor="text1"/>
          <w:sz w:val="22"/>
          <w:szCs w:val="22"/>
        </w:rPr>
        <w:t>4</w:t>
      </w:r>
      <w:r w:rsidRPr="0009150F">
        <w:rPr>
          <w:rFonts w:asciiTheme="minorHAnsi" w:hAnsiTheme="minorHAnsi"/>
          <w:color w:val="000000" w:themeColor="text1"/>
          <w:sz w:val="22"/>
          <w:szCs w:val="22"/>
        </w:rPr>
        <w:t xml:space="preserve"> r. do </w:t>
      </w:r>
      <w:r w:rsidR="00AE2CAD">
        <w:rPr>
          <w:rFonts w:asciiTheme="minorHAnsi" w:hAnsiTheme="minorHAnsi"/>
          <w:color w:val="000000" w:themeColor="text1"/>
          <w:sz w:val="22"/>
          <w:szCs w:val="22"/>
        </w:rPr>
        <w:t>31.12.</w:t>
      </w:r>
      <w:r w:rsidR="00D504ED" w:rsidRPr="003453B2">
        <w:rPr>
          <w:rFonts w:asciiTheme="minorHAnsi" w:hAnsiTheme="minorHAnsi"/>
          <w:color w:val="000000" w:themeColor="text1"/>
          <w:sz w:val="22"/>
          <w:szCs w:val="22"/>
        </w:rPr>
        <w:t xml:space="preserve">2029 </w:t>
      </w:r>
      <w:r w:rsidRPr="003453B2">
        <w:rPr>
          <w:rFonts w:asciiTheme="minorHAnsi" w:hAnsiTheme="minorHAnsi"/>
          <w:color w:val="000000" w:themeColor="text1"/>
          <w:sz w:val="22"/>
          <w:szCs w:val="22"/>
        </w:rPr>
        <w:t>r.,</w:t>
      </w:r>
      <w:r w:rsidRPr="0009150F">
        <w:rPr>
          <w:rFonts w:asciiTheme="minorHAnsi" w:hAnsiTheme="minorHAnsi"/>
          <w:color w:val="000000" w:themeColor="text1"/>
          <w:sz w:val="22"/>
          <w:szCs w:val="22"/>
        </w:rPr>
        <w:t xml:space="preserve"> w którym to okresie poniesione koszty mogą być uznane za kwalifikowane,</w:t>
      </w:r>
    </w:p>
    <w:p w14:paraId="451691ED" w14:textId="77777777" w:rsidR="004E760B" w:rsidRPr="0009150F" w:rsidRDefault="004E760B" w:rsidP="004E760B">
      <w:pPr>
        <w:pStyle w:val="Akapitzlist"/>
        <w:numPr>
          <w:ilvl w:val="0"/>
          <w:numId w:val="2"/>
        </w:numPr>
        <w:tabs>
          <w:tab w:val="left" w:pos="284"/>
        </w:tabs>
        <w:autoSpaceDE w:val="0"/>
        <w:autoSpaceDN w:val="0"/>
        <w:adjustRightInd w:val="0"/>
        <w:spacing w:before="240" w:after="60"/>
        <w:ind w:left="284" w:hanging="284"/>
        <w:contextualSpacing w:val="0"/>
        <w:jc w:val="both"/>
        <w:rPr>
          <w:rFonts w:asciiTheme="minorHAnsi" w:hAnsiTheme="minorHAnsi"/>
          <w:sz w:val="22"/>
          <w:szCs w:val="22"/>
        </w:rPr>
      </w:pPr>
      <w:r w:rsidRPr="0009150F">
        <w:rPr>
          <w:rFonts w:asciiTheme="minorHAnsi" w:hAnsiTheme="minorHAnsi"/>
          <w:sz w:val="22"/>
          <w:szCs w:val="22"/>
        </w:rPr>
        <w:t>koszty kwalifikowane - zgodnie z „Wytycznymi w zakresie kosztów kwalifikowanych finansowanych ze środków NFOŚiGW", z zastrzeżeniem, że:</w:t>
      </w:r>
    </w:p>
    <w:p w14:paraId="760B640D" w14:textId="0E9EDD69" w:rsidR="004E760B" w:rsidRPr="0009150F" w:rsidRDefault="004E760B" w:rsidP="004E760B">
      <w:pPr>
        <w:pStyle w:val="Akapitzlist"/>
        <w:numPr>
          <w:ilvl w:val="0"/>
          <w:numId w:val="15"/>
        </w:numPr>
        <w:tabs>
          <w:tab w:val="left" w:pos="284"/>
        </w:tabs>
        <w:autoSpaceDE w:val="0"/>
        <w:autoSpaceDN w:val="0"/>
        <w:adjustRightInd w:val="0"/>
        <w:spacing w:before="240" w:after="60"/>
        <w:contextualSpacing w:val="0"/>
        <w:jc w:val="both"/>
        <w:rPr>
          <w:rFonts w:asciiTheme="minorHAnsi" w:hAnsiTheme="minorHAnsi"/>
          <w:sz w:val="22"/>
          <w:szCs w:val="22"/>
        </w:rPr>
      </w:pPr>
      <w:r w:rsidRPr="0009150F">
        <w:rPr>
          <w:rFonts w:asciiTheme="minorHAnsi" w:hAnsiTheme="minorHAnsi"/>
          <w:sz w:val="22"/>
          <w:szCs w:val="22"/>
        </w:rPr>
        <w:t>koszty związane z przygotowaniem inwestycji kwalifikuje się do wysokości nieprzekraczającej 10% sumy kosztów kwalifikowanych inwestycji,</w:t>
      </w:r>
    </w:p>
    <w:p w14:paraId="61F59572" w14:textId="676ADD50" w:rsidR="004E760B" w:rsidRPr="0009150F" w:rsidRDefault="004E760B" w:rsidP="004E760B">
      <w:pPr>
        <w:pStyle w:val="Akapitzlist"/>
        <w:numPr>
          <w:ilvl w:val="0"/>
          <w:numId w:val="15"/>
        </w:numPr>
        <w:tabs>
          <w:tab w:val="left" w:pos="284"/>
        </w:tabs>
        <w:autoSpaceDE w:val="0"/>
        <w:autoSpaceDN w:val="0"/>
        <w:adjustRightInd w:val="0"/>
        <w:spacing w:before="240" w:after="60"/>
        <w:contextualSpacing w:val="0"/>
        <w:jc w:val="both"/>
        <w:rPr>
          <w:rFonts w:asciiTheme="minorHAnsi" w:hAnsiTheme="minorHAnsi"/>
          <w:sz w:val="22"/>
          <w:szCs w:val="22"/>
        </w:rPr>
      </w:pPr>
      <w:r w:rsidRPr="0009150F">
        <w:rPr>
          <w:rFonts w:asciiTheme="minorHAnsi" w:hAnsiTheme="minorHAnsi"/>
          <w:sz w:val="22"/>
          <w:szCs w:val="22"/>
        </w:rPr>
        <w:t xml:space="preserve">koszty nabycia nieruchomości niezabudowanej / nieruchomości zabudowanej </w:t>
      </w:r>
      <w:r w:rsidR="00B519D8" w:rsidRPr="0009150F">
        <w:rPr>
          <w:rFonts w:asciiTheme="minorHAnsi" w:hAnsiTheme="minorHAnsi"/>
          <w:sz w:val="22"/>
          <w:szCs w:val="22"/>
        </w:rPr>
        <w:t>nie są kosztem kwalifikowanym</w:t>
      </w:r>
    </w:p>
    <w:p w14:paraId="17D331EB" w14:textId="77777777" w:rsidR="00DB3E66" w:rsidRPr="0009150F" w:rsidRDefault="00DB3E66" w:rsidP="000E477F">
      <w:pPr>
        <w:pStyle w:val="Akapitzlist"/>
        <w:tabs>
          <w:tab w:val="left" w:pos="284"/>
        </w:tabs>
        <w:autoSpaceDE w:val="0"/>
        <w:autoSpaceDN w:val="0"/>
        <w:adjustRightInd w:val="0"/>
        <w:spacing w:before="60" w:after="120"/>
        <w:jc w:val="both"/>
        <w:rPr>
          <w:rFonts w:asciiTheme="minorHAnsi" w:eastAsia="Calibri" w:hAnsiTheme="minorHAnsi" w:cstheme="minorBidi"/>
          <w:szCs w:val="22"/>
        </w:rPr>
      </w:pPr>
    </w:p>
    <w:p w14:paraId="1C2EBEE5" w14:textId="5704C9BD" w:rsidR="00E5082D" w:rsidRPr="0009150F" w:rsidRDefault="00CA4403" w:rsidP="004979D0">
      <w:pPr>
        <w:pStyle w:val="Akapitzlist"/>
        <w:tabs>
          <w:tab w:val="left" w:pos="284"/>
        </w:tabs>
        <w:autoSpaceDE w:val="0"/>
        <w:autoSpaceDN w:val="0"/>
        <w:adjustRightInd w:val="0"/>
        <w:spacing w:after="120"/>
        <w:ind w:left="0"/>
        <w:contextualSpacing w:val="0"/>
        <w:jc w:val="both"/>
        <w:rPr>
          <w:rFonts w:asciiTheme="minorHAnsi" w:hAnsiTheme="minorHAnsi"/>
          <w:b/>
          <w:bCs/>
          <w:color w:val="000000"/>
          <w:sz w:val="22"/>
          <w:szCs w:val="22"/>
        </w:rPr>
      </w:pPr>
      <w:r w:rsidRPr="0009150F">
        <w:rPr>
          <w:rFonts w:asciiTheme="minorHAnsi" w:hAnsiTheme="minorHAnsi"/>
          <w:b/>
          <w:bCs/>
          <w:color w:val="000000" w:themeColor="text1"/>
          <w:sz w:val="22"/>
          <w:szCs w:val="22"/>
        </w:rPr>
        <w:t xml:space="preserve">7. </w:t>
      </w:r>
      <w:r w:rsidR="33B284A1" w:rsidRPr="0009150F">
        <w:rPr>
          <w:rFonts w:asciiTheme="minorHAnsi" w:hAnsiTheme="minorHAnsi"/>
          <w:b/>
          <w:bCs/>
          <w:color w:val="000000" w:themeColor="text1"/>
          <w:sz w:val="22"/>
          <w:szCs w:val="22"/>
        </w:rPr>
        <w:t xml:space="preserve">Formy i warunki udzielania dofinansowania </w:t>
      </w:r>
    </w:p>
    <w:p w14:paraId="485E0559" w14:textId="77777777" w:rsidR="001D6399" w:rsidRPr="0009150F" w:rsidRDefault="00B36E2E" w:rsidP="00E062D9">
      <w:pPr>
        <w:pStyle w:val="Akapitzlist"/>
        <w:numPr>
          <w:ilvl w:val="1"/>
          <w:numId w:val="3"/>
        </w:numPr>
        <w:tabs>
          <w:tab w:val="left" w:pos="426"/>
        </w:tabs>
        <w:autoSpaceDE w:val="0"/>
        <w:autoSpaceDN w:val="0"/>
        <w:adjustRightInd w:val="0"/>
        <w:ind w:left="425" w:hanging="425"/>
        <w:contextualSpacing w:val="0"/>
        <w:jc w:val="both"/>
        <w:rPr>
          <w:rFonts w:asciiTheme="minorHAnsi" w:hAnsiTheme="minorHAnsi"/>
          <w:b/>
          <w:color w:val="000000"/>
          <w:sz w:val="22"/>
          <w:szCs w:val="22"/>
        </w:rPr>
      </w:pPr>
      <w:r w:rsidRPr="0009150F">
        <w:rPr>
          <w:rFonts w:asciiTheme="minorHAnsi" w:hAnsiTheme="minorHAnsi"/>
          <w:b/>
          <w:color w:val="000000"/>
          <w:sz w:val="22"/>
          <w:szCs w:val="22"/>
        </w:rPr>
        <w:t>Form</w:t>
      </w:r>
      <w:r w:rsidR="000F2A93" w:rsidRPr="0009150F">
        <w:rPr>
          <w:rFonts w:asciiTheme="minorHAnsi" w:hAnsiTheme="minorHAnsi"/>
          <w:b/>
          <w:color w:val="000000"/>
          <w:sz w:val="22"/>
          <w:szCs w:val="22"/>
        </w:rPr>
        <w:t>y</w:t>
      </w:r>
      <w:r w:rsidR="00EF2200" w:rsidRPr="0009150F">
        <w:rPr>
          <w:rFonts w:asciiTheme="minorHAnsi" w:hAnsiTheme="minorHAnsi"/>
          <w:b/>
          <w:color w:val="000000"/>
          <w:sz w:val="22"/>
          <w:szCs w:val="22"/>
        </w:rPr>
        <w:t xml:space="preserve"> dofinansowania</w:t>
      </w:r>
    </w:p>
    <w:p w14:paraId="5C39D341" w14:textId="75C686D8" w:rsidR="004979D0" w:rsidRPr="0009150F" w:rsidRDefault="501E32B3" w:rsidP="501E32B3">
      <w:pPr>
        <w:pStyle w:val="Akapitzlist"/>
        <w:autoSpaceDE w:val="0"/>
        <w:autoSpaceDN w:val="0"/>
        <w:adjustRightInd w:val="0"/>
        <w:spacing w:before="120"/>
        <w:ind w:left="0"/>
        <w:contextualSpacing w:val="0"/>
        <w:jc w:val="both"/>
        <w:rPr>
          <w:rFonts w:asciiTheme="minorHAnsi" w:hAnsiTheme="minorHAnsi"/>
          <w:sz w:val="22"/>
          <w:szCs w:val="22"/>
        </w:rPr>
      </w:pPr>
      <w:r w:rsidRPr="0009150F">
        <w:rPr>
          <w:rFonts w:asciiTheme="minorHAnsi" w:hAnsiTheme="minorHAnsi"/>
          <w:sz w:val="22"/>
          <w:szCs w:val="22"/>
        </w:rPr>
        <w:t>1) dotacja</w:t>
      </w:r>
      <w:r w:rsidR="00713C14" w:rsidRPr="0009150F">
        <w:rPr>
          <w:rFonts w:asciiTheme="minorHAnsi" w:hAnsiTheme="minorHAnsi"/>
          <w:sz w:val="22"/>
          <w:szCs w:val="22"/>
        </w:rPr>
        <w:t>.</w:t>
      </w:r>
    </w:p>
    <w:p w14:paraId="67AA161A" w14:textId="77777777" w:rsidR="00EF2200" w:rsidRPr="0009150F" w:rsidRDefault="00FC3057" w:rsidP="00E062D9">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b/>
          <w:color w:val="000000"/>
          <w:sz w:val="22"/>
          <w:szCs w:val="22"/>
        </w:rPr>
      </w:pPr>
      <w:r w:rsidRPr="0009150F">
        <w:rPr>
          <w:rFonts w:asciiTheme="minorHAnsi" w:hAnsiTheme="minorHAnsi"/>
          <w:b/>
          <w:color w:val="000000"/>
          <w:sz w:val="22"/>
          <w:szCs w:val="22"/>
        </w:rPr>
        <w:t xml:space="preserve">Intensywność dofinansowania </w:t>
      </w:r>
    </w:p>
    <w:p w14:paraId="0C7AE0BF" w14:textId="62454F28" w:rsidR="00B6751D" w:rsidRPr="0009150F" w:rsidRDefault="00B92AAA" w:rsidP="00234210">
      <w:pPr>
        <w:tabs>
          <w:tab w:val="left" w:pos="426"/>
        </w:tabs>
        <w:autoSpaceDE w:val="0"/>
        <w:autoSpaceDN w:val="0"/>
        <w:adjustRightInd w:val="0"/>
        <w:spacing w:before="120" w:after="120"/>
        <w:jc w:val="both"/>
        <w:rPr>
          <w:rFonts w:asciiTheme="minorHAnsi" w:eastAsiaTheme="minorEastAsia" w:hAnsiTheme="minorHAnsi" w:cstheme="minorBidi"/>
          <w:color w:val="0D0D0D" w:themeColor="text1" w:themeTint="F2"/>
          <w:sz w:val="22"/>
          <w:szCs w:val="22"/>
        </w:rPr>
      </w:pPr>
      <w:r w:rsidRPr="0009150F">
        <w:rPr>
          <w:rFonts w:asciiTheme="minorHAnsi" w:hAnsiTheme="minorHAnsi"/>
          <w:color w:val="0D0D0D" w:themeColor="text1" w:themeTint="F2"/>
          <w:sz w:val="22"/>
          <w:szCs w:val="22"/>
        </w:rPr>
        <w:t>D</w:t>
      </w:r>
      <w:r w:rsidR="501E32B3" w:rsidRPr="0009150F">
        <w:rPr>
          <w:rFonts w:asciiTheme="minorHAnsi" w:hAnsiTheme="minorHAnsi"/>
          <w:color w:val="0D0D0D" w:themeColor="text1" w:themeTint="F2"/>
          <w:sz w:val="22"/>
          <w:szCs w:val="22"/>
        </w:rPr>
        <w:t xml:space="preserve">ofinansowanie w formie dotacji w wysokości </w:t>
      </w:r>
      <w:r w:rsidR="501E32B3" w:rsidRPr="0009150F">
        <w:rPr>
          <w:rFonts w:asciiTheme="minorHAnsi" w:hAnsiTheme="minorHAnsi"/>
          <w:color w:val="000000" w:themeColor="text1"/>
          <w:sz w:val="22"/>
          <w:szCs w:val="22"/>
        </w:rPr>
        <w:t xml:space="preserve">do </w:t>
      </w:r>
      <w:r w:rsidR="00B621A3" w:rsidRPr="0009150F">
        <w:rPr>
          <w:rFonts w:asciiTheme="minorHAnsi" w:hAnsiTheme="minorHAnsi"/>
          <w:color w:val="000000" w:themeColor="text1"/>
          <w:sz w:val="22"/>
          <w:szCs w:val="22"/>
        </w:rPr>
        <w:t xml:space="preserve">100 </w:t>
      </w:r>
      <w:r w:rsidR="501E32B3" w:rsidRPr="0009150F">
        <w:rPr>
          <w:rFonts w:asciiTheme="minorHAnsi" w:hAnsiTheme="minorHAnsi"/>
          <w:color w:val="000000" w:themeColor="text1"/>
          <w:sz w:val="22"/>
          <w:szCs w:val="22"/>
        </w:rPr>
        <w:t xml:space="preserve">% </w:t>
      </w:r>
      <w:r w:rsidR="501E32B3" w:rsidRPr="0009150F">
        <w:rPr>
          <w:rFonts w:asciiTheme="minorHAnsi" w:hAnsiTheme="minorHAnsi"/>
          <w:color w:val="0D0D0D" w:themeColor="text1" w:themeTint="F2"/>
          <w:sz w:val="22"/>
          <w:szCs w:val="22"/>
        </w:rPr>
        <w:t>kosztów kwalifikowanych</w:t>
      </w:r>
      <w:r w:rsidR="00B6751D" w:rsidRPr="0009150F">
        <w:rPr>
          <w:rFonts w:asciiTheme="minorHAnsi" w:hAnsiTheme="minorHAnsi"/>
          <w:color w:val="0D0D0D" w:themeColor="text1" w:themeTint="F2"/>
          <w:sz w:val="22"/>
          <w:szCs w:val="22"/>
        </w:rPr>
        <w:t xml:space="preserve">. </w:t>
      </w:r>
    </w:p>
    <w:p w14:paraId="69B061E6" w14:textId="7BCE1FDA" w:rsidR="00503831" w:rsidRPr="0009150F" w:rsidRDefault="000F2A93" w:rsidP="00E062D9">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D0D0D" w:themeColor="text1" w:themeTint="F2"/>
          <w:sz w:val="22"/>
          <w:szCs w:val="22"/>
        </w:rPr>
      </w:pPr>
      <w:r w:rsidRPr="0009150F">
        <w:rPr>
          <w:rFonts w:asciiTheme="minorHAnsi" w:hAnsiTheme="minorHAnsi"/>
          <w:b/>
          <w:color w:val="0D0D0D" w:themeColor="text1" w:themeTint="F2"/>
          <w:sz w:val="22"/>
          <w:szCs w:val="22"/>
        </w:rPr>
        <w:t>Warunki dofinansowania</w:t>
      </w:r>
    </w:p>
    <w:p w14:paraId="7BEF9ECA" w14:textId="6A08FCFE" w:rsidR="007372FA" w:rsidRPr="003453B2" w:rsidRDefault="007372FA"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bookmarkStart w:id="1" w:name="_Hlk173327788"/>
      <w:r w:rsidRPr="003453B2">
        <w:rPr>
          <w:rFonts w:asciiTheme="minorHAnsi" w:hAnsiTheme="minorHAnsi" w:cstheme="minorBidi"/>
          <w:sz w:val="22"/>
          <w:szCs w:val="22"/>
        </w:rPr>
        <w:t>objęt</w:t>
      </w:r>
      <w:r w:rsidR="00AE6680">
        <w:rPr>
          <w:rFonts w:asciiTheme="minorHAnsi" w:hAnsiTheme="minorHAnsi" w:cstheme="minorBidi"/>
          <w:sz w:val="22"/>
          <w:szCs w:val="22"/>
        </w:rPr>
        <w:t>a</w:t>
      </w:r>
      <w:r w:rsidRPr="003453B2">
        <w:rPr>
          <w:rFonts w:asciiTheme="minorHAnsi" w:hAnsiTheme="minorHAnsi" w:cstheme="minorBidi"/>
          <w:sz w:val="22"/>
          <w:szCs w:val="22"/>
        </w:rPr>
        <w:t xml:space="preserve"> dofinansowaniem </w:t>
      </w:r>
      <w:r w:rsidR="00CD7849">
        <w:rPr>
          <w:rFonts w:asciiTheme="minorHAnsi" w:hAnsiTheme="minorHAnsi" w:cstheme="minorBidi"/>
          <w:sz w:val="22"/>
          <w:szCs w:val="22"/>
        </w:rPr>
        <w:t xml:space="preserve">budowa i </w:t>
      </w:r>
      <w:r w:rsidR="00797BFF">
        <w:rPr>
          <w:rFonts w:asciiTheme="minorHAnsi" w:hAnsiTheme="minorHAnsi" w:cstheme="minorBidi"/>
          <w:sz w:val="22"/>
          <w:szCs w:val="22"/>
        </w:rPr>
        <w:t>roz</w:t>
      </w:r>
      <w:r w:rsidR="00CD7849">
        <w:rPr>
          <w:rFonts w:asciiTheme="minorHAnsi" w:hAnsiTheme="minorHAnsi" w:cstheme="minorBidi"/>
          <w:sz w:val="22"/>
          <w:szCs w:val="22"/>
        </w:rPr>
        <w:t xml:space="preserve">budowa sieci elektroenergetycznej na potrzeby zapewnienia </w:t>
      </w:r>
      <w:r w:rsidR="00A4051A" w:rsidRPr="003453B2">
        <w:rPr>
          <w:rFonts w:asciiTheme="minorHAnsi" w:hAnsiTheme="minorHAnsi" w:cstheme="minorBidi"/>
          <w:sz w:val="22"/>
          <w:szCs w:val="22"/>
        </w:rPr>
        <w:t>zasilani</w:t>
      </w:r>
      <w:r w:rsidR="00CD7849">
        <w:rPr>
          <w:rFonts w:asciiTheme="minorHAnsi" w:hAnsiTheme="minorHAnsi" w:cstheme="minorBidi"/>
          <w:sz w:val="22"/>
          <w:szCs w:val="22"/>
        </w:rPr>
        <w:t xml:space="preserve">a ogólnodostępnych stacji ładowania dużych mocy </w:t>
      </w:r>
      <w:r w:rsidR="00A4051A" w:rsidRPr="003453B2">
        <w:rPr>
          <w:rFonts w:asciiTheme="minorHAnsi" w:hAnsiTheme="minorHAnsi" w:cstheme="minorBidi"/>
          <w:sz w:val="22"/>
          <w:szCs w:val="22"/>
        </w:rPr>
        <w:t xml:space="preserve"> (</w:t>
      </w:r>
      <w:r w:rsidR="0096302F" w:rsidRPr="003453B2">
        <w:rPr>
          <w:rFonts w:asciiTheme="minorHAnsi" w:hAnsiTheme="minorHAnsi" w:cstheme="minorBidi"/>
          <w:sz w:val="22"/>
          <w:szCs w:val="22"/>
        </w:rPr>
        <w:t>sieć elektroenergetyczna</w:t>
      </w:r>
      <w:r w:rsidR="002D72A7" w:rsidRPr="003453B2">
        <w:rPr>
          <w:rFonts w:asciiTheme="minorHAnsi" w:hAnsiTheme="minorHAnsi" w:cstheme="minorBidi"/>
          <w:sz w:val="22"/>
          <w:szCs w:val="22"/>
        </w:rPr>
        <w:t xml:space="preserve"> realizowan</w:t>
      </w:r>
      <w:r w:rsidR="00A4051A" w:rsidRPr="003453B2">
        <w:rPr>
          <w:rFonts w:asciiTheme="minorHAnsi" w:hAnsiTheme="minorHAnsi" w:cstheme="minorBidi"/>
          <w:sz w:val="22"/>
          <w:szCs w:val="22"/>
        </w:rPr>
        <w:t>a</w:t>
      </w:r>
      <w:r w:rsidR="002D72A7" w:rsidRPr="003453B2">
        <w:rPr>
          <w:rFonts w:asciiTheme="minorHAnsi" w:hAnsiTheme="minorHAnsi" w:cstheme="minorBidi"/>
          <w:sz w:val="22"/>
          <w:szCs w:val="22"/>
        </w:rPr>
        <w:t xml:space="preserve"> wraz z niezbędną </w:t>
      </w:r>
      <w:r w:rsidR="00F31197" w:rsidRPr="00F31197">
        <w:rPr>
          <w:rFonts w:asciiTheme="minorHAnsi" w:hAnsiTheme="minorHAnsi" w:cstheme="minorBidi"/>
          <w:sz w:val="22"/>
          <w:szCs w:val="22"/>
        </w:rPr>
        <w:t xml:space="preserve">infrastrukturą </w:t>
      </w:r>
      <w:r w:rsidR="00C179B8">
        <w:rPr>
          <w:rFonts w:asciiTheme="minorHAnsi" w:hAnsiTheme="minorHAnsi" w:cstheme="minorBidi"/>
          <w:sz w:val="22"/>
          <w:szCs w:val="22"/>
        </w:rPr>
        <w:t>towarzyszącą</w:t>
      </w:r>
      <w:r w:rsidR="00F31197" w:rsidRPr="00F31197">
        <w:rPr>
          <w:rFonts w:asciiTheme="minorHAnsi" w:hAnsiTheme="minorHAnsi" w:cstheme="minorBidi"/>
          <w:sz w:val="22"/>
          <w:szCs w:val="22"/>
        </w:rPr>
        <w:t xml:space="preserve"> </w:t>
      </w:r>
      <w:r w:rsidR="002D72A7" w:rsidRPr="003453B2">
        <w:rPr>
          <w:rFonts w:asciiTheme="minorHAnsi" w:hAnsiTheme="minorHAnsi" w:cstheme="minorBidi"/>
          <w:sz w:val="22"/>
          <w:szCs w:val="22"/>
        </w:rPr>
        <w:t>)</w:t>
      </w:r>
      <w:r w:rsidR="00EA5F1B" w:rsidRPr="003453B2">
        <w:rPr>
          <w:rFonts w:asciiTheme="minorHAnsi" w:hAnsiTheme="minorHAnsi" w:cstheme="minorBidi"/>
          <w:sz w:val="22"/>
          <w:szCs w:val="22"/>
        </w:rPr>
        <w:t xml:space="preserve"> </w:t>
      </w:r>
      <w:r w:rsidR="007622C2" w:rsidRPr="003453B2">
        <w:rPr>
          <w:rFonts w:asciiTheme="minorHAnsi" w:hAnsiTheme="minorHAnsi" w:cstheme="minorBidi"/>
          <w:sz w:val="22"/>
          <w:szCs w:val="22"/>
        </w:rPr>
        <w:t>musi zostać doprowadzon</w:t>
      </w:r>
      <w:r w:rsidR="00CD7849">
        <w:rPr>
          <w:rFonts w:asciiTheme="minorHAnsi" w:hAnsiTheme="minorHAnsi" w:cstheme="minorBidi"/>
          <w:sz w:val="22"/>
          <w:szCs w:val="22"/>
        </w:rPr>
        <w:t>a</w:t>
      </w:r>
      <w:r w:rsidR="005119DB" w:rsidRPr="003453B2">
        <w:rPr>
          <w:rFonts w:asciiTheme="minorHAnsi" w:hAnsiTheme="minorHAnsi" w:cstheme="minorBidi"/>
          <w:sz w:val="22"/>
          <w:szCs w:val="22"/>
        </w:rPr>
        <w:t xml:space="preserve"> co najmniej do granicy </w:t>
      </w:r>
      <w:r w:rsidR="00F31197" w:rsidRPr="00F31197">
        <w:rPr>
          <w:rFonts w:asciiTheme="minorHAnsi" w:hAnsiTheme="minorHAnsi" w:cstheme="minorBidi"/>
          <w:sz w:val="22"/>
          <w:szCs w:val="22"/>
        </w:rPr>
        <w:t>nieruchomości</w:t>
      </w:r>
      <w:r w:rsidR="00AE6680">
        <w:rPr>
          <w:rFonts w:asciiTheme="minorHAnsi" w:hAnsiTheme="minorHAnsi" w:cstheme="minorBidi"/>
          <w:sz w:val="22"/>
          <w:szCs w:val="22"/>
        </w:rPr>
        <w:t>, na której zlokalizowane są</w:t>
      </w:r>
      <w:bookmarkStart w:id="2" w:name="_Hlk172621684"/>
      <w:r w:rsidR="005119DB" w:rsidRPr="003453B2">
        <w:rPr>
          <w:rFonts w:asciiTheme="minorHAnsi" w:hAnsiTheme="minorHAnsi" w:cstheme="minorBidi"/>
          <w:sz w:val="22"/>
          <w:szCs w:val="22"/>
        </w:rPr>
        <w:t>,</w:t>
      </w:r>
      <w:r w:rsidR="00A4051A" w:rsidRPr="003453B2">
        <w:rPr>
          <w:rFonts w:asciiTheme="minorHAnsi" w:hAnsiTheme="minorHAnsi" w:cstheme="minorBidi"/>
          <w:sz w:val="22"/>
          <w:szCs w:val="22"/>
        </w:rPr>
        <w:t>.</w:t>
      </w:r>
      <w:r w:rsidRPr="003453B2">
        <w:rPr>
          <w:rFonts w:asciiTheme="minorHAnsi" w:hAnsiTheme="minorHAnsi" w:cstheme="minorBidi"/>
          <w:sz w:val="22"/>
          <w:szCs w:val="22"/>
        </w:rPr>
        <w:t>:</w:t>
      </w:r>
    </w:p>
    <w:p w14:paraId="629D1DEB" w14:textId="56801818" w:rsidR="007372FA" w:rsidRPr="003453B2" w:rsidRDefault="00511C95" w:rsidP="00564DFC">
      <w:pPr>
        <w:pStyle w:val="Akapitzlist"/>
        <w:numPr>
          <w:ilvl w:val="0"/>
          <w:numId w:val="16"/>
        </w:numPr>
        <w:tabs>
          <w:tab w:val="left" w:pos="284"/>
        </w:tabs>
        <w:autoSpaceDE w:val="0"/>
        <w:autoSpaceDN w:val="0"/>
        <w:adjustRightInd w:val="0"/>
        <w:spacing w:before="120"/>
        <w:jc w:val="both"/>
        <w:rPr>
          <w:rFonts w:asciiTheme="minorHAnsi" w:hAnsiTheme="minorHAnsi" w:cstheme="minorBidi"/>
          <w:sz w:val="22"/>
          <w:szCs w:val="22"/>
        </w:rPr>
      </w:pPr>
      <w:bookmarkStart w:id="3" w:name="_Hlk172632282"/>
      <w:bookmarkEnd w:id="1"/>
      <w:r w:rsidRPr="0009150F">
        <w:rPr>
          <w:rFonts w:ascii="Calibri" w:eastAsia="Calibri" w:hAnsi="Calibri" w:cs="Calibri"/>
          <w:sz w:val="22"/>
          <w:szCs w:val="22"/>
        </w:rPr>
        <w:t xml:space="preserve">Miejsca Obsługi Podróżnych (MOP) znajdującego się bezpośrednio </w:t>
      </w:r>
      <w:r w:rsidR="007622C2" w:rsidRPr="0009150F">
        <w:rPr>
          <w:rFonts w:ascii="Calibri" w:eastAsia="Calibri" w:hAnsi="Calibri" w:cs="Calibri"/>
          <w:sz w:val="22"/>
          <w:szCs w:val="22"/>
        </w:rPr>
        <w:t xml:space="preserve"> </w:t>
      </w:r>
      <w:r w:rsidR="00EC70FF" w:rsidRPr="0009150F">
        <w:rPr>
          <w:rFonts w:ascii="Calibri" w:eastAsia="Calibri" w:hAnsi="Calibri" w:cs="Calibri"/>
          <w:sz w:val="22"/>
          <w:szCs w:val="22"/>
        </w:rPr>
        <w:t>wzdłuż sieci drogowej</w:t>
      </w:r>
      <w:r w:rsidRPr="0009150F">
        <w:rPr>
          <w:rFonts w:ascii="Calibri" w:eastAsia="Calibri" w:hAnsi="Calibri" w:cs="Calibri"/>
          <w:sz w:val="22"/>
          <w:szCs w:val="22"/>
        </w:rPr>
        <w:t xml:space="preserve"> TEN-T lub </w:t>
      </w:r>
      <w:r w:rsidR="007372FA" w:rsidRPr="0009150F">
        <w:rPr>
          <w:rFonts w:asciiTheme="minorHAnsi" w:hAnsiTheme="minorHAnsi" w:cstheme="minorBidi"/>
          <w:sz w:val="22"/>
          <w:szCs w:val="22"/>
        </w:rPr>
        <w:t>w</w:t>
      </w:r>
      <w:r w:rsidRPr="0009150F">
        <w:rPr>
          <w:rFonts w:asciiTheme="minorHAnsi" w:hAnsiTheme="minorHAnsi" w:cstheme="minorBidi"/>
          <w:sz w:val="22"/>
          <w:szCs w:val="22"/>
        </w:rPr>
        <w:t xml:space="preserve"> </w:t>
      </w:r>
      <w:r w:rsidR="007372FA" w:rsidRPr="0009150F">
        <w:rPr>
          <w:rFonts w:asciiTheme="minorHAnsi" w:hAnsiTheme="minorHAnsi" w:cstheme="minorBidi"/>
          <w:sz w:val="22"/>
          <w:szCs w:val="22"/>
        </w:rPr>
        <w:t xml:space="preserve">odległości do 3 km jazdy od najbliższego zjazdu z drogi </w:t>
      </w:r>
      <w:r w:rsidR="00AE2CAD">
        <w:rPr>
          <w:rFonts w:asciiTheme="minorHAnsi" w:hAnsiTheme="minorHAnsi" w:cstheme="minorBidi"/>
          <w:sz w:val="22"/>
          <w:szCs w:val="22"/>
        </w:rPr>
        <w:t xml:space="preserve">sieci bazowej </w:t>
      </w:r>
      <w:r w:rsidR="007372FA" w:rsidRPr="0009150F">
        <w:rPr>
          <w:rFonts w:asciiTheme="minorHAnsi" w:hAnsiTheme="minorHAnsi" w:cstheme="minorBidi"/>
          <w:sz w:val="22"/>
          <w:szCs w:val="22"/>
        </w:rPr>
        <w:t>TEN-T</w:t>
      </w:r>
      <w:bookmarkEnd w:id="3"/>
      <w:r w:rsidR="007372FA" w:rsidRPr="0009150F">
        <w:rPr>
          <w:rFonts w:asciiTheme="minorHAnsi" w:hAnsiTheme="minorHAnsi" w:cstheme="minorBidi"/>
          <w:sz w:val="22"/>
          <w:szCs w:val="22"/>
        </w:rPr>
        <w:t>,</w:t>
      </w:r>
      <w:r w:rsidRPr="0009150F">
        <w:rPr>
          <w:rFonts w:asciiTheme="minorHAnsi" w:hAnsiTheme="minorHAnsi" w:cstheme="minorBidi"/>
          <w:sz w:val="22"/>
          <w:szCs w:val="22"/>
        </w:rPr>
        <w:t xml:space="preserve"> na którym znajduje się lub planowana jest budowa ogólnodostępnych </w:t>
      </w:r>
      <w:r w:rsidRPr="003453B2">
        <w:rPr>
          <w:rFonts w:asciiTheme="minorHAnsi" w:hAnsiTheme="minorHAnsi" w:cstheme="minorBidi"/>
          <w:sz w:val="22"/>
          <w:szCs w:val="22"/>
        </w:rPr>
        <w:t>stacji ładowania dużych mocy</w:t>
      </w:r>
      <w:r w:rsidR="001C75EF" w:rsidRPr="003453B2">
        <w:rPr>
          <w:rFonts w:asciiTheme="minorHAnsi" w:hAnsiTheme="minorHAnsi" w:cstheme="minorBidi"/>
          <w:sz w:val="22"/>
          <w:szCs w:val="22"/>
        </w:rPr>
        <w:t>.</w:t>
      </w:r>
    </w:p>
    <w:p w14:paraId="4091B662" w14:textId="77777777" w:rsidR="007372FA" w:rsidRPr="0009150F" w:rsidRDefault="007372FA" w:rsidP="007372FA">
      <w:pPr>
        <w:pStyle w:val="Akapitzlist"/>
        <w:tabs>
          <w:tab w:val="left" w:pos="284"/>
        </w:tabs>
        <w:autoSpaceDE w:val="0"/>
        <w:autoSpaceDN w:val="0"/>
        <w:adjustRightInd w:val="0"/>
        <w:spacing w:before="120"/>
        <w:ind w:left="567"/>
        <w:jc w:val="both"/>
        <w:rPr>
          <w:rFonts w:asciiTheme="minorHAnsi" w:hAnsiTheme="minorHAnsi" w:cstheme="minorBidi"/>
          <w:sz w:val="22"/>
          <w:szCs w:val="22"/>
        </w:rPr>
      </w:pPr>
      <w:r w:rsidRPr="003453B2">
        <w:rPr>
          <w:rFonts w:asciiTheme="minorHAnsi" w:hAnsiTheme="minorHAnsi" w:cstheme="minorBidi"/>
          <w:sz w:val="22"/>
          <w:szCs w:val="22"/>
        </w:rPr>
        <w:t xml:space="preserve"> lub</w:t>
      </w:r>
      <w:r w:rsidRPr="0009150F">
        <w:rPr>
          <w:rFonts w:asciiTheme="minorHAnsi" w:hAnsiTheme="minorHAnsi" w:cstheme="minorBidi"/>
          <w:sz w:val="22"/>
          <w:szCs w:val="22"/>
        </w:rPr>
        <w:t xml:space="preserve"> </w:t>
      </w:r>
    </w:p>
    <w:p w14:paraId="26C59051" w14:textId="75DE829F" w:rsidR="00354A44" w:rsidRDefault="00564DFC" w:rsidP="00B048B2">
      <w:pPr>
        <w:pStyle w:val="Akapitzlist"/>
        <w:numPr>
          <w:ilvl w:val="0"/>
          <w:numId w:val="16"/>
        </w:numPr>
        <w:tabs>
          <w:tab w:val="left" w:pos="284"/>
        </w:tabs>
        <w:autoSpaceDE w:val="0"/>
        <w:autoSpaceDN w:val="0"/>
        <w:adjustRightInd w:val="0"/>
        <w:spacing w:before="120"/>
        <w:jc w:val="both"/>
        <w:rPr>
          <w:rFonts w:asciiTheme="minorHAnsi" w:hAnsiTheme="minorHAnsi" w:cstheme="minorBidi"/>
          <w:sz w:val="22"/>
          <w:szCs w:val="22"/>
        </w:rPr>
      </w:pPr>
      <w:r w:rsidRPr="0009150F">
        <w:rPr>
          <w:rFonts w:asciiTheme="minorHAnsi" w:hAnsiTheme="minorHAnsi" w:cstheme="minorBidi"/>
          <w:sz w:val="22"/>
          <w:szCs w:val="22"/>
        </w:rPr>
        <w:lastRenderedPageBreak/>
        <w:t>obszaru</w:t>
      </w:r>
      <w:r w:rsidR="007372FA" w:rsidRPr="0009150F">
        <w:rPr>
          <w:rFonts w:asciiTheme="minorHAnsi" w:hAnsiTheme="minorHAnsi" w:cstheme="minorBidi"/>
          <w:sz w:val="22"/>
          <w:szCs w:val="22"/>
        </w:rPr>
        <w:t xml:space="preserve"> centrum logistycznego (DEPOT), bazy eksploatacyjnej</w:t>
      </w:r>
      <w:r w:rsidR="003F2F63" w:rsidRPr="0009150F">
        <w:rPr>
          <w:rFonts w:asciiTheme="minorHAnsi" w:hAnsiTheme="minorHAnsi" w:cstheme="minorBidi"/>
          <w:sz w:val="22"/>
          <w:szCs w:val="22"/>
        </w:rPr>
        <w:t xml:space="preserve"> </w:t>
      </w:r>
      <w:r w:rsidR="007372FA" w:rsidRPr="0009150F">
        <w:rPr>
          <w:rFonts w:asciiTheme="minorHAnsi" w:hAnsiTheme="minorHAnsi" w:cstheme="minorBidi"/>
          <w:sz w:val="22"/>
          <w:szCs w:val="22"/>
        </w:rPr>
        <w:t>lub terminalu intermodalnego lub w odległości do 3 km jazdy od tych obiektów,</w:t>
      </w:r>
      <w:r w:rsidRPr="0009150F">
        <w:rPr>
          <w:rFonts w:asciiTheme="minorHAnsi" w:hAnsiTheme="minorHAnsi" w:cstheme="minorBidi"/>
          <w:sz w:val="22"/>
          <w:szCs w:val="22"/>
        </w:rPr>
        <w:t xml:space="preserve"> na którym znajduje się lub planowana jest budowa ogólnodostępnych stacji ładowania dużych mocy.</w:t>
      </w:r>
    </w:p>
    <w:bookmarkEnd w:id="2"/>
    <w:p w14:paraId="15977A89" w14:textId="64F25879" w:rsidR="007372FA" w:rsidRPr="00424FEF" w:rsidRDefault="007372FA" w:rsidP="00AD0234">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09150F">
        <w:rPr>
          <w:rFonts w:asciiTheme="minorHAnsi" w:hAnsiTheme="minorHAnsi" w:cstheme="minorBidi"/>
          <w:sz w:val="22"/>
          <w:szCs w:val="22"/>
        </w:rPr>
        <w:t>objęt</w:t>
      </w:r>
      <w:r w:rsidR="002D1F3E">
        <w:rPr>
          <w:rFonts w:asciiTheme="minorHAnsi" w:hAnsiTheme="minorHAnsi" w:cstheme="minorBidi"/>
          <w:sz w:val="22"/>
          <w:szCs w:val="22"/>
        </w:rPr>
        <w:t>a</w:t>
      </w:r>
      <w:r w:rsidRPr="0009150F">
        <w:rPr>
          <w:rFonts w:asciiTheme="minorHAnsi" w:hAnsiTheme="minorHAnsi" w:cstheme="minorBidi"/>
          <w:sz w:val="22"/>
          <w:szCs w:val="22"/>
        </w:rPr>
        <w:t xml:space="preserve"> dofinansowaniem </w:t>
      </w:r>
      <w:r w:rsidR="002D1F3E">
        <w:rPr>
          <w:rFonts w:asciiTheme="minorHAnsi" w:hAnsiTheme="minorHAnsi" w:cstheme="minorBidi"/>
          <w:sz w:val="22"/>
          <w:szCs w:val="22"/>
        </w:rPr>
        <w:t xml:space="preserve">infrastruktura elektroenergetyczna </w:t>
      </w:r>
      <w:r w:rsidR="004B1B59" w:rsidRPr="0009150F">
        <w:rPr>
          <w:rFonts w:asciiTheme="minorHAnsi" w:hAnsiTheme="minorHAnsi" w:cstheme="minorBidi"/>
          <w:sz w:val="22"/>
          <w:szCs w:val="22"/>
        </w:rPr>
        <w:t xml:space="preserve">musi posiadać możliwość dostarczenia </w:t>
      </w:r>
      <w:r w:rsidR="004B1B59" w:rsidRPr="003453B2">
        <w:rPr>
          <w:rFonts w:asciiTheme="minorHAnsi" w:hAnsiTheme="minorHAnsi" w:cstheme="minorBidi"/>
          <w:sz w:val="22"/>
          <w:szCs w:val="22"/>
        </w:rPr>
        <w:t>mocy</w:t>
      </w:r>
      <w:r w:rsidR="004B1B59" w:rsidRPr="0009150F">
        <w:rPr>
          <w:rFonts w:asciiTheme="minorHAnsi" w:hAnsiTheme="minorHAnsi" w:cstheme="minorBidi"/>
          <w:sz w:val="22"/>
          <w:szCs w:val="22"/>
        </w:rPr>
        <w:t xml:space="preserve"> na poziomie minimum </w:t>
      </w:r>
      <w:r w:rsidR="00112F5F" w:rsidRPr="00424FEF">
        <w:rPr>
          <w:rFonts w:asciiTheme="minorHAnsi" w:hAnsiTheme="minorHAnsi" w:cstheme="minorBidi"/>
          <w:sz w:val="22"/>
          <w:szCs w:val="22"/>
        </w:rPr>
        <w:t>700</w:t>
      </w:r>
      <w:r w:rsidR="00503E56" w:rsidRPr="00424FEF">
        <w:rPr>
          <w:rFonts w:asciiTheme="minorHAnsi" w:hAnsiTheme="minorHAnsi" w:cstheme="minorBidi"/>
          <w:sz w:val="22"/>
          <w:szCs w:val="22"/>
        </w:rPr>
        <w:t xml:space="preserve"> </w:t>
      </w:r>
      <w:r w:rsidR="00112F5F" w:rsidRPr="00424FEF">
        <w:rPr>
          <w:rFonts w:asciiTheme="minorHAnsi" w:hAnsiTheme="minorHAnsi" w:cstheme="minorBidi"/>
          <w:sz w:val="22"/>
          <w:szCs w:val="22"/>
        </w:rPr>
        <w:t>kW</w:t>
      </w:r>
      <w:r w:rsidR="00564DFC" w:rsidRPr="00424FEF">
        <w:rPr>
          <w:rFonts w:asciiTheme="minorHAnsi" w:hAnsiTheme="minorHAnsi" w:cstheme="minorBidi"/>
          <w:sz w:val="22"/>
          <w:szCs w:val="22"/>
        </w:rPr>
        <w:t xml:space="preserve"> dla inw</w:t>
      </w:r>
      <w:r w:rsidR="00C148A4" w:rsidRPr="00424FEF">
        <w:rPr>
          <w:rFonts w:asciiTheme="minorHAnsi" w:hAnsiTheme="minorHAnsi" w:cstheme="minorBidi"/>
          <w:sz w:val="22"/>
          <w:szCs w:val="22"/>
        </w:rPr>
        <w:t>e</w:t>
      </w:r>
      <w:r w:rsidR="00564DFC" w:rsidRPr="00424FEF">
        <w:rPr>
          <w:rFonts w:asciiTheme="minorHAnsi" w:hAnsiTheme="minorHAnsi" w:cstheme="minorBidi"/>
          <w:sz w:val="22"/>
          <w:szCs w:val="22"/>
        </w:rPr>
        <w:t>stycji o których mowa w pkt. 1.a) i</w:t>
      </w:r>
      <w:r w:rsidR="001A62A0" w:rsidRPr="00424FEF">
        <w:rPr>
          <w:rFonts w:asciiTheme="minorHAnsi" w:hAnsiTheme="minorHAnsi" w:cstheme="minorBidi"/>
          <w:sz w:val="22"/>
          <w:szCs w:val="22"/>
        </w:rPr>
        <w:t xml:space="preserve"> co najmniej</w:t>
      </w:r>
      <w:r w:rsidR="00564DFC" w:rsidRPr="00424FEF">
        <w:rPr>
          <w:rFonts w:asciiTheme="minorHAnsi" w:hAnsiTheme="minorHAnsi" w:cstheme="minorBidi"/>
          <w:sz w:val="22"/>
          <w:szCs w:val="22"/>
        </w:rPr>
        <w:t xml:space="preserve"> 350 kW dla inwestycji o</w:t>
      </w:r>
      <w:r w:rsidR="009C06DE" w:rsidRPr="00424FEF">
        <w:rPr>
          <w:rFonts w:asciiTheme="minorHAnsi" w:hAnsiTheme="minorHAnsi" w:cstheme="minorBidi"/>
          <w:sz w:val="22"/>
          <w:szCs w:val="22"/>
        </w:rPr>
        <w:t> </w:t>
      </w:r>
      <w:r w:rsidR="00564DFC" w:rsidRPr="00424FEF">
        <w:rPr>
          <w:rFonts w:asciiTheme="minorHAnsi" w:hAnsiTheme="minorHAnsi" w:cstheme="minorBidi"/>
          <w:sz w:val="22"/>
          <w:szCs w:val="22"/>
        </w:rPr>
        <w:t>których mowa w pkt. 1.b),</w:t>
      </w:r>
    </w:p>
    <w:p w14:paraId="60A05340" w14:textId="3FF78433" w:rsidR="007372FA" w:rsidRPr="00F24BC7" w:rsidRDefault="00E742FA"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F24BC7">
        <w:rPr>
          <w:rFonts w:asciiTheme="minorHAnsi" w:hAnsiTheme="minorHAnsi"/>
          <w:color w:val="0D0D0D" w:themeColor="text1" w:themeTint="F2"/>
          <w:sz w:val="22"/>
          <w:szCs w:val="22"/>
        </w:rPr>
        <w:t xml:space="preserve">dofinansowanie nie będzie udzielone na </w:t>
      </w:r>
      <w:r w:rsidR="002A1337" w:rsidRPr="00F24BC7">
        <w:rPr>
          <w:rFonts w:asciiTheme="minorHAnsi" w:hAnsiTheme="minorHAnsi"/>
          <w:color w:val="0D0D0D" w:themeColor="text1" w:themeTint="F2"/>
          <w:sz w:val="22"/>
          <w:szCs w:val="22"/>
        </w:rPr>
        <w:t>inwestycje</w:t>
      </w:r>
      <w:r w:rsidRPr="00F24BC7">
        <w:rPr>
          <w:rFonts w:asciiTheme="minorHAnsi" w:hAnsiTheme="minorHAnsi"/>
          <w:color w:val="0D0D0D" w:themeColor="text1" w:themeTint="F2"/>
          <w:sz w:val="22"/>
          <w:szCs w:val="22"/>
        </w:rPr>
        <w:t xml:space="preserve"> zakończone przed dniem złożenia wniosku o dofinansowanie,</w:t>
      </w:r>
    </w:p>
    <w:p w14:paraId="7699371F" w14:textId="3CC0D31C" w:rsidR="00564DFC" w:rsidRPr="00F24BC7" w:rsidRDefault="00564DFC"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F24BC7">
        <w:rPr>
          <w:rFonts w:asciiTheme="minorHAnsi" w:hAnsiTheme="minorHAnsi" w:cstheme="minorHAnsi"/>
          <w:sz w:val="22"/>
          <w:szCs w:val="22"/>
        </w:rPr>
        <w:t xml:space="preserve">wnioskodawca może złożyć w jednym naborze </w:t>
      </w:r>
      <w:r w:rsidR="000C5B88" w:rsidRPr="00F24BC7">
        <w:rPr>
          <w:rFonts w:asciiTheme="minorHAnsi" w:hAnsiTheme="minorHAnsi" w:cstheme="minorHAnsi"/>
          <w:sz w:val="22"/>
          <w:szCs w:val="22"/>
        </w:rPr>
        <w:t xml:space="preserve">więcej niż jeden wniosek </w:t>
      </w:r>
      <w:r w:rsidRPr="00F24BC7">
        <w:rPr>
          <w:rFonts w:asciiTheme="minorHAnsi" w:hAnsiTheme="minorHAnsi" w:cstheme="minorHAnsi"/>
          <w:sz w:val="22"/>
          <w:szCs w:val="22"/>
        </w:rPr>
        <w:t xml:space="preserve">o </w:t>
      </w:r>
      <w:r w:rsidR="000C5B88" w:rsidRPr="00F24BC7">
        <w:rPr>
          <w:rFonts w:asciiTheme="minorHAnsi" w:hAnsiTheme="minorHAnsi" w:cstheme="minorHAnsi"/>
          <w:sz w:val="22"/>
          <w:szCs w:val="22"/>
        </w:rPr>
        <w:t xml:space="preserve"> </w:t>
      </w:r>
      <w:r w:rsidR="000C5B88" w:rsidRPr="00F24BC7">
        <w:rPr>
          <w:rFonts w:asciiTheme="minorHAnsi" w:hAnsiTheme="minorHAnsi" w:cstheme="minorHAnsi"/>
          <w:sz w:val="22"/>
          <w:szCs w:val="22"/>
        </w:rPr>
        <w:br/>
        <w:t xml:space="preserve">dofinansowanie, przy czym łączna wartość złożonych wniosków przez jednego wnioskodawcę nie może być wyższa niż </w:t>
      </w:r>
      <w:r w:rsidR="00F615EC" w:rsidRPr="00F24BC7">
        <w:rPr>
          <w:rFonts w:asciiTheme="minorHAnsi" w:hAnsiTheme="minorHAnsi" w:cstheme="minorHAnsi"/>
          <w:sz w:val="22"/>
          <w:szCs w:val="22"/>
        </w:rPr>
        <w:t xml:space="preserve">40 </w:t>
      </w:r>
      <w:r w:rsidR="000C5B88" w:rsidRPr="00F24BC7">
        <w:rPr>
          <w:rFonts w:asciiTheme="minorHAnsi" w:hAnsiTheme="minorHAnsi" w:cstheme="minorHAnsi"/>
          <w:sz w:val="22"/>
          <w:szCs w:val="22"/>
        </w:rPr>
        <w:t xml:space="preserve">% </w:t>
      </w:r>
      <w:r w:rsidR="000769C8" w:rsidRPr="00F24BC7">
        <w:rPr>
          <w:rFonts w:asciiTheme="minorHAnsi" w:hAnsiTheme="minorHAnsi" w:cstheme="minorHAnsi"/>
          <w:sz w:val="22"/>
          <w:szCs w:val="22"/>
        </w:rPr>
        <w:t xml:space="preserve">budżetu </w:t>
      </w:r>
      <w:r w:rsidR="000C5B88" w:rsidRPr="00F24BC7">
        <w:rPr>
          <w:rFonts w:asciiTheme="minorHAnsi" w:hAnsiTheme="minorHAnsi" w:cstheme="minorHAnsi"/>
          <w:sz w:val="22"/>
          <w:szCs w:val="22"/>
        </w:rPr>
        <w:t>danego naboru,</w:t>
      </w:r>
      <w:r w:rsidR="00097055" w:rsidRPr="00F24BC7">
        <w:rPr>
          <w:rFonts w:asciiTheme="minorHAnsi" w:hAnsiTheme="minorHAnsi" w:cstheme="minorHAnsi"/>
          <w:sz w:val="22"/>
          <w:szCs w:val="22"/>
        </w:rPr>
        <w:t xml:space="preserve"> </w:t>
      </w:r>
      <w:r w:rsidR="000C5B88" w:rsidRPr="00F24BC7">
        <w:rPr>
          <w:rFonts w:asciiTheme="minorHAnsi" w:hAnsiTheme="minorHAnsi" w:cstheme="minorHAnsi"/>
          <w:sz w:val="22"/>
          <w:szCs w:val="22"/>
        </w:rPr>
        <w:t xml:space="preserve"> </w:t>
      </w:r>
    </w:p>
    <w:p w14:paraId="5A581B88" w14:textId="014D210A" w:rsidR="00797BFF" w:rsidRPr="00F24BC7" w:rsidRDefault="00797BFF"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F24BC7">
        <w:rPr>
          <w:rFonts w:asciiTheme="minorHAnsi" w:hAnsiTheme="minorHAnsi" w:cstheme="minorHAnsi"/>
          <w:sz w:val="22"/>
          <w:szCs w:val="22"/>
        </w:rPr>
        <w:t>W przypadku gdy łączna wartość pozytywnie ocenionych wniosków przekroczy 100% budżetu NFOŚiGW dokona proporcjonalnego pomniejszenia przyznanego dofinansowania</w:t>
      </w:r>
      <w:r w:rsidR="003E6A6B" w:rsidRPr="00F24BC7">
        <w:rPr>
          <w:rFonts w:asciiTheme="minorHAnsi" w:hAnsiTheme="minorHAnsi" w:cstheme="minorHAnsi"/>
          <w:sz w:val="22"/>
          <w:szCs w:val="22"/>
        </w:rPr>
        <w:t>,</w:t>
      </w:r>
    </w:p>
    <w:p w14:paraId="411295E7" w14:textId="1CBCD2DF" w:rsidR="007372FA" w:rsidRPr="00F24BC7" w:rsidRDefault="00234210"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F24BC7">
        <w:rPr>
          <w:rFonts w:asciiTheme="minorHAnsi" w:hAnsiTheme="minorHAnsi"/>
          <w:color w:val="0D0D0D" w:themeColor="text1" w:themeTint="F2"/>
          <w:sz w:val="22"/>
          <w:szCs w:val="22"/>
        </w:rPr>
        <w:t>warunkiem uzyskania dofinansowania jest realizacja</w:t>
      </w:r>
      <w:r w:rsidR="00EC70FF" w:rsidRPr="00F24BC7">
        <w:rPr>
          <w:rFonts w:asciiTheme="minorHAnsi" w:hAnsiTheme="minorHAnsi"/>
          <w:color w:val="0D0D0D" w:themeColor="text1" w:themeTint="F2"/>
          <w:sz w:val="22"/>
          <w:szCs w:val="22"/>
        </w:rPr>
        <w:t>,</w:t>
      </w:r>
      <w:r w:rsidRPr="00F24BC7">
        <w:rPr>
          <w:rFonts w:asciiTheme="minorHAnsi" w:hAnsiTheme="minorHAnsi"/>
          <w:color w:val="0D0D0D" w:themeColor="text1" w:themeTint="F2"/>
          <w:sz w:val="22"/>
          <w:szCs w:val="22"/>
        </w:rPr>
        <w:t xml:space="preserve"> w ramach </w:t>
      </w:r>
      <w:r w:rsidR="002A1337" w:rsidRPr="00F24BC7">
        <w:rPr>
          <w:rFonts w:asciiTheme="minorHAnsi" w:hAnsiTheme="minorHAnsi"/>
          <w:color w:val="0D0D0D" w:themeColor="text1" w:themeTint="F2"/>
          <w:sz w:val="22"/>
          <w:szCs w:val="22"/>
        </w:rPr>
        <w:t>inwestycji</w:t>
      </w:r>
      <w:r w:rsidR="00EC70FF" w:rsidRPr="00F24BC7">
        <w:rPr>
          <w:rFonts w:asciiTheme="minorHAnsi" w:hAnsiTheme="minorHAnsi"/>
          <w:color w:val="0D0D0D" w:themeColor="text1" w:themeTint="F2"/>
          <w:sz w:val="22"/>
          <w:szCs w:val="22"/>
        </w:rPr>
        <w:t>,</w:t>
      </w:r>
      <w:r w:rsidRPr="00F24BC7">
        <w:rPr>
          <w:rFonts w:asciiTheme="minorHAnsi" w:hAnsiTheme="minorHAnsi"/>
          <w:color w:val="0D0D0D" w:themeColor="text1" w:themeTint="F2"/>
          <w:sz w:val="22"/>
          <w:szCs w:val="22"/>
        </w:rPr>
        <w:t xml:space="preserve"> zakresu działania</w:t>
      </w:r>
      <w:r w:rsidR="0085614D" w:rsidRPr="00F24BC7">
        <w:rPr>
          <w:rFonts w:asciiTheme="minorHAnsi" w:hAnsiTheme="minorHAnsi"/>
          <w:color w:val="0D0D0D" w:themeColor="text1" w:themeTint="F2"/>
          <w:sz w:val="22"/>
          <w:szCs w:val="22"/>
        </w:rPr>
        <w:t xml:space="preserve">, </w:t>
      </w:r>
      <w:r w:rsidRPr="00F24BC7">
        <w:rPr>
          <w:rFonts w:asciiTheme="minorHAnsi" w:hAnsiTheme="minorHAnsi"/>
          <w:color w:val="0D0D0D" w:themeColor="text1" w:themeTint="F2"/>
          <w:sz w:val="22"/>
          <w:szCs w:val="22"/>
        </w:rPr>
        <w:t xml:space="preserve"> </w:t>
      </w:r>
      <w:r w:rsidR="008755B1" w:rsidRPr="00F24BC7">
        <w:rPr>
          <w:rFonts w:eastAsiaTheme="minorHAnsi"/>
          <w:i/>
          <w:iCs/>
          <w:sz w:val="18"/>
          <w:szCs w:val="18"/>
          <w:lang w:eastAsia="en-US"/>
        </w:rPr>
        <w:br/>
      </w:r>
      <w:r w:rsidR="00BB7190" w:rsidRPr="00F24BC7">
        <w:rPr>
          <w:rFonts w:asciiTheme="minorHAnsi" w:hAnsiTheme="minorHAnsi"/>
          <w:iCs/>
          <w:color w:val="0D0D0D" w:themeColor="text1" w:themeTint="F2"/>
          <w:sz w:val="22"/>
          <w:szCs w:val="22"/>
        </w:rPr>
        <w:t>o którym</w:t>
      </w:r>
      <w:r w:rsidR="00BB7190" w:rsidRPr="00F24BC7">
        <w:rPr>
          <w:rFonts w:asciiTheme="minorHAnsi" w:hAnsiTheme="minorHAnsi"/>
          <w:color w:val="0D0D0D" w:themeColor="text1" w:themeTint="F2"/>
          <w:sz w:val="22"/>
          <w:szCs w:val="22"/>
        </w:rPr>
        <w:t xml:space="preserve"> </w:t>
      </w:r>
      <w:r w:rsidR="00BB7190" w:rsidRPr="00F24BC7">
        <w:rPr>
          <w:rFonts w:asciiTheme="minorHAnsi" w:hAnsiTheme="minorHAnsi"/>
          <w:iCs/>
          <w:color w:val="0D0D0D" w:themeColor="text1" w:themeTint="F2"/>
          <w:sz w:val="22"/>
          <w:szCs w:val="22"/>
        </w:rPr>
        <w:t xml:space="preserve">mowa w </w:t>
      </w:r>
      <w:r w:rsidR="00BB7190" w:rsidRPr="00F24BC7">
        <w:rPr>
          <w:rFonts w:asciiTheme="minorHAnsi" w:hAnsiTheme="minorHAnsi"/>
          <w:iCs/>
          <w:color w:val="000000" w:themeColor="text1"/>
          <w:sz w:val="22"/>
          <w:szCs w:val="22"/>
        </w:rPr>
        <w:t xml:space="preserve">pkt 7.5. ppkt 1) lub </w:t>
      </w:r>
      <w:r w:rsidR="00E53F02" w:rsidRPr="00F24BC7">
        <w:rPr>
          <w:rFonts w:asciiTheme="minorHAnsi" w:hAnsiTheme="minorHAnsi"/>
          <w:iCs/>
          <w:color w:val="000000" w:themeColor="text1"/>
          <w:sz w:val="22"/>
          <w:szCs w:val="22"/>
        </w:rPr>
        <w:t>2</w:t>
      </w:r>
      <w:r w:rsidR="00BB7190" w:rsidRPr="00F24BC7">
        <w:rPr>
          <w:rFonts w:asciiTheme="minorHAnsi" w:hAnsiTheme="minorHAnsi"/>
          <w:iCs/>
          <w:color w:val="000000" w:themeColor="text1"/>
          <w:sz w:val="22"/>
          <w:szCs w:val="22"/>
        </w:rPr>
        <w:t>)</w:t>
      </w:r>
      <w:r w:rsidR="00BB7190" w:rsidRPr="00F24BC7">
        <w:rPr>
          <w:rFonts w:asciiTheme="minorHAnsi" w:hAnsiTheme="minorHAnsi"/>
          <w:color w:val="000000" w:themeColor="text1"/>
          <w:sz w:val="22"/>
          <w:szCs w:val="22"/>
        </w:rPr>
        <w:t>,</w:t>
      </w:r>
    </w:p>
    <w:p w14:paraId="6D21C6F4" w14:textId="77777777" w:rsidR="007372FA" w:rsidRPr="0009150F" w:rsidRDefault="501E32B3"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F24BC7">
        <w:rPr>
          <w:rFonts w:asciiTheme="minorHAnsi" w:hAnsiTheme="minorHAnsi"/>
          <w:color w:val="0D0D0D" w:themeColor="text1" w:themeTint="F2"/>
          <w:sz w:val="22"/>
          <w:szCs w:val="22"/>
        </w:rPr>
        <w:t>dofinansowanie nie będzie udzielane na koszty</w:t>
      </w:r>
      <w:r w:rsidRPr="0009150F">
        <w:rPr>
          <w:rFonts w:asciiTheme="minorHAnsi" w:hAnsiTheme="minorHAnsi"/>
          <w:color w:val="0D0D0D" w:themeColor="text1" w:themeTint="F2"/>
          <w:sz w:val="22"/>
          <w:szCs w:val="22"/>
        </w:rPr>
        <w:t xml:space="preserve"> </w:t>
      </w:r>
      <w:r w:rsidR="002A1337" w:rsidRPr="0009150F">
        <w:rPr>
          <w:rFonts w:asciiTheme="minorHAnsi" w:hAnsiTheme="minorHAnsi"/>
          <w:color w:val="0D0D0D" w:themeColor="text1" w:themeTint="F2"/>
          <w:sz w:val="22"/>
          <w:szCs w:val="22"/>
        </w:rPr>
        <w:t>inwestycji</w:t>
      </w:r>
      <w:r w:rsidRPr="0009150F">
        <w:rPr>
          <w:rFonts w:asciiTheme="minorHAnsi" w:hAnsiTheme="minorHAnsi"/>
          <w:color w:val="0D0D0D" w:themeColor="text1" w:themeTint="F2"/>
          <w:sz w:val="22"/>
          <w:szCs w:val="22"/>
        </w:rPr>
        <w:t xml:space="preserve">, które zostały sfinansowane </w:t>
      </w:r>
      <w:r w:rsidRPr="0009150F">
        <w:rPr>
          <w:rFonts w:asciiTheme="minorHAnsi" w:hAnsiTheme="minorHAnsi" w:cstheme="minorBidi"/>
          <w:sz w:val="22"/>
          <w:szCs w:val="22"/>
        </w:rPr>
        <w:t>z  publicznych środków krajowych lub zagranicznych oraz innych środków budżetu Unii Europejskiej</w:t>
      </w:r>
      <w:r w:rsidRPr="0009150F">
        <w:rPr>
          <w:rFonts w:asciiTheme="minorHAnsi" w:hAnsiTheme="minorHAnsi"/>
          <w:sz w:val="22"/>
          <w:szCs w:val="22"/>
        </w:rPr>
        <w:t>,</w:t>
      </w:r>
    </w:p>
    <w:p w14:paraId="792EEBF1" w14:textId="1485D3F9" w:rsidR="2E9735E7" w:rsidRPr="0009150F" w:rsidRDefault="007D007D" w:rsidP="00E062D9">
      <w:pPr>
        <w:pStyle w:val="Akapitzlist"/>
        <w:numPr>
          <w:ilvl w:val="0"/>
          <w:numId w:val="11"/>
        </w:numPr>
        <w:tabs>
          <w:tab w:val="left" w:pos="284"/>
        </w:tabs>
        <w:autoSpaceDE w:val="0"/>
        <w:autoSpaceDN w:val="0"/>
        <w:adjustRightInd w:val="0"/>
        <w:spacing w:before="120"/>
        <w:ind w:left="284" w:hanging="284"/>
        <w:jc w:val="both"/>
        <w:rPr>
          <w:rFonts w:asciiTheme="minorHAnsi" w:hAnsiTheme="minorHAnsi" w:cstheme="minorBidi"/>
          <w:sz w:val="22"/>
          <w:szCs w:val="22"/>
        </w:rPr>
      </w:pPr>
      <w:r w:rsidRPr="0009150F">
        <w:rPr>
          <w:rFonts w:asciiTheme="minorHAnsi" w:hAnsiTheme="minorHAnsi"/>
          <w:sz w:val="22"/>
          <w:szCs w:val="22"/>
        </w:rPr>
        <w:t xml:space="preserve">okres trwałości wynosi </w:t>
      </w:r>
      <w:r w:rsidR="004C1233" w:rsidRPr="0009150F">
        <w:rPr>
          <w:rFonts w:asciiTheme="minorHAnsi" w:hAnsiTheme="minorHAnsi"/>
          <w:sz w:val="22"/>
          <w:szCs w:val="22"/>
        </w:rPr>
        <w:t>5</w:t>
      </w:r>
      <w:r w:rsidRPr="0009150F">
        <w:rPr>
          <w:rFonts w:asciiTheme="minorHAnsi" w:hAnsiTheme="minorHAnsi"/>
          <w:sz w:val="22"/>
          <w:szCs w:val="22"/>
        </w:rPr>
        <w:t xml:space="preserve"> lat od dnia zakończenia realizacji </w:t>
      </w:r>
      <w:r w:rsidR="002A1337" w:rsidRPr="0009150F">
        <w:rPr>
          <w:rFonts w:asciiTheme="minorHAnsi" w:hAnsiTheme="minorHAnsi"/>
          <w:sz w:val="22"/>
          <w:szCs w:val="22"/>
        </w:rPr>
        <w:t>inwestycji</w:t>
      </w:r>
      <w:r w:rsidRPr="0009150F">
        <w:rPr>
          <w:rFonts w:asciiTheme="minorHAnsi" w:hAnsiTheme="minorHAnsi"/>
          <w:sz w:val="22"/>
          <w:szCs w:val="22"/>
        </w:rPr>
        <w:t xml:space="preserve">, przy czym </w:t>
      </w:r>
      <w:r w:rsidR="2E9735E7" w:rsidRPr="0009150F">
        <w:br/>
      </w:r>
      <w:r w:rsidRPr="0009150F">
        <w:rPr>
          <w:rFonts w:asciiTheme="minorHAnsi" w:hAnsiTheme="minorHAnsi"/>
          <w:sz w:val="22"/>
          <w:szCs w:val="22"/>
        </w:rPr>
        <w:t xml:space="preserve">za zakończenie realizacji </w:t>
      </w:r>
      <w:r w:rsidR="002A1337" w:rsidRPr="0009150F">
        <w:rPr>
          <w:rFonts w:asciiTheme="minorHAnsi" w:hAnsiTheme="minorHAnsi"/>
          <w:sz w:val="22"/>
          <w:szCs w:val="22"/>
        </w:rPr>
        <w:t>inwestycji</w:t>
      </w:r>
      <w:r w:rsidRPr="0009150F">
        <w:rPr>
          <w:rFonts w:asciiTheme="minorHAnsi" w:hAnsiTheme="minorHAnsi"/>
          <w:sz w:val="22"/>
          <w:szCs w:val="22"/>
        </w:rPr>
        <w:t xml:space="preserve"> rozumie się podpisanie ostatniego protokołu zdawczo- odbiorczego</w:t>
      </w:r>
      <w:r w:rsidR="66AB7DBC" w:rsidRPr="0009150F">
        <w:rPr>
          <w:rFonts w:asciiTheme="minorHAnsi" w:hAnsiTheme="minorHAnsi"/>
          <w:sz w:val="22"/>
          <w:szCs w:val="22"/>
        </w:rPr>
        <w:t>.</w:t>
      </w:r>
    </w:p>
    <w:p w14:paraId="06E61527" w14:textId="77777777" w:rsidR="001949DE" w:rsidRPr="0009150F" w:rsidRDefault="001949DE" w:rsidP="004979D0">
      <w:pPr>
        <w:tabs>
          <w:tab w:val="left" w:pos="426"/>
        </w:tabs>
        <w:ind w:left="426"/>
        <w:jc w:val="both"/>
        <w:rPr>
          <w:color w:val="000000" w:themeColor="text1"/>
          <w:sz w:val="22"/>
          <w:szCs w:val="22"/>
        </w:rPr>
      </w:pPr>
    </w:p>
    <w:p w14:paraId="05DE8739" w14:textId="4C398825" w:rsidR="005A30B1" w:rsidRPr="0009150F" w:rsidRDefault="00825F71" w:rsidP="00E062D9">
      <w:pPr>
        <w:numPr>
          <w:ilvl w:val="1"/>
          <w:numId w:val="3"/>
        </w:numPr>
        <w:tabs>
          <w:tab w:val="left" w:pos="426"/>
        </w:tabs>
        <w:spacing w:after="120"/>
        <w:ind w:left="425" w:hanging="425"/>
        <w:jc w:val="both"/>
        <w:rPr>
          <w:rFonts w:asciiTheme="minorHAnsi" w:eastAsiaTheme="minorEastAsia" w:hAnsiTheme="minorHAnsi" w:cstheme="minorBidi"/>
          <w:b/>
          <w:bCs/>
          <w:sz w:val="22"/>
          <w:szCs w:val="22"/>
          <w:lang w:eastAsia="en-US"/>
        </w:rPr>
      </w:pPr>
      <w:r w:rsidRPr="0009150F">
        <w:rPr>
          <w:rFonts w:asciiTheme="minorHAnsi" w:hAnsiTheme="minorHAnsi"/>
          <w:b/>
          <w:sz w:val="22"/>
          <w:szCs w:val="22"/>
        </w:rPr>
        <w:t xml:space="preserve">Beneficjenci </w:t>
      </w:r>
    </w:p>
    <w:p w14:paraId="44F63A32" w14:textId="53DC76F3" w:rsidR="005A30B1" w:rsidRPr="0009150F" w:rsidRDefault="002F46F1" w:rsidP="004C344C">
      <w:pPr>
        <w:spacing w:before="120" w:after="120"/>
        <w:jc w:val="both"/>
        <w:rPr>
          <w:rFonts w:asciiTheme="minorHAnsi" w:hAnsiTheme="minorHAnsi"/>
          <w:sz w:val="22"/>
          <w:szCs w:val="22"/>
        </w:rPr>
      </w:pPr>
      <w:r w:rsidRPr="0009150F">
        <w:rPr>
          <w:rFonts w:asciiTheme="minorHAnsi" w:hAnsiTheme="minorHAnsi"/>
          <w:sz w:val="22"/>
          <w:szCs w:val="22"/>
        </w:rPr>
        <w:t>Operatorzy systemu dystr</w:t>
      </w:r>
      <w:r w:rsidR="00AF5174" w:rsidRPr="0009150F">
        <w:rPr>
          <w:rFonts w:asciiTheme="minorHAnsi" w:hAnsiTheme="minorHAnsi"/>
          <w:sz w:val="22"/>
          <w:szCs w:val="22"/>
        </w:rPr>
        <w:t>ybucyjnego</w:t>
      </w:r>
      <w:r w:rsidRPr="0009150F">
        <w:rPr>
          <w:rFonts w:asciiTheme="minorHAnsi" w:hAnsiTheme="minorHAnsi"/>
          <w:sz w:val="22"/>
          <w:szCs w:val="22"/>
        </w:rPr>
        <w:t xml:space="preserve"> </w:t>
      </w:r>
      <w:r w:rsidR="0046321F" w:rsidRPr="0009150F">
        <w:rPr>
          <w:rFonts w:asciiTheme="minorHAnsi" w:hAnsiTheme="minorHAnsi"/>
          <w:sz w:val="22"/>
          <w:szCs w:val="22"/>
        </w:rPr>
        <w:t xml:space="preserve">(OSD) </w:t>
      </w:r>
      <w:r w:rsidRPr="0009150F">
        <w:rPr>
          <w:rFonts w:asciiTheme="minorHAnsi" w:hAnsiTheme="minorHAnsi"/>
          <w:sz w:val="22"/>
          <w:szCs w:val="22"/>
        </w:rPr>
        <w:t>- operatorzy systemu dystrybucyjnego elektroenergetyczne</w:t>
      </w:r>
      <w:r w:rsidR="0046321F" w:rsidRPr="0009150F">
        <w:rPr>
          <w:rFonts w:asciiTheme="minorHAnsi" w:hAnsiTheme="minorHAnsi"/>
          <w:sz w:val="22"/>
          <w:szCs w:val="22"/>
        </w:rPr>
        <w:t>go w rozumieniu art. 3 pkt 25 u</w:t>
      </w:r>
      <w:r w:rsidRPr="0009150F">
        <w:rPr>
          <w:rFonts w:asciiTheme="minorHAnsi" w:hAnsiTheme="minorHAnsi"/>
          <w:sz w:val="22"/>
          <w:szCs w:val="22"/>
        </w:rPr>
        <w:t>stawy z dnia 10 kwietnia 1997 r. - Prawo energetyczne (</w:t>
      </w:r>
      <w:r w:rsidR="00802AB9" w:rsidRPr="0009150F">
        <w:rPr>
          <w:rFonts w:asciiTheme="minorHAnsi" w:hAnsiTheme="minorHAnsi"/>
          <w:sz w:val="22"/>
          <w:szCs w:val="22"/>
        </w:rPr>
        <w:t>t.j.</w:t>
      </w:r>
      <w:r w:rsidR="00656219" w:rsidRPr="0009150F">
        <w:rPr>
          <w:rFonts w:asciiTheme="minorHAnsi" w:hAnsiTheme="minorHAnsi"/>
          <w:sz w:val="22"/>
          <w:szCs w:val="22"/>
        </w:rPr>
        <w:t>:</w:t>
      </w:r>
      <w:r w:rsidR="00802AB9" w:rsidRPr="0009150F">
        <w:rPr>
          <w:rFonts w:asciiTheme="minorHAnsi" w:hAnsiTheme="minorHAnsi"/>
          <w:sz w:val="22"/>
          <w:szCs w:val="22"/>
        </w:rPr>
        <w:t xml:space="preserve"> Dz.U. z 202</w:t>
      </w:r>
      <w:r w:rsidR="00656219" w:rsidRPr="0009150F">
        <w:rPr>
          <w:rFonts w:asciiTheme="minorHAnsi" w:hAnsiTheme="minorHAnsi"/>
          <w:sz w:val="22"/>
          <w:szCs w:val="22"/>
        </w:rPr>
        <w:t>4</w:t>
      </w:r>
      <w:r w:rsidR="00802AB9" w:rsidRPr="0009150F">
        <w:rPr>
          <w:rFonts w:asciiTheme="minorHAnsi" w:hAnsiTheme="minorHAnsi"/>
          <w:sz w:val="22"/>
          <w:szCs w:val="22"/>
        </w:rPr>
        <w:t xml:space="preserve"> r. poz. </w:t>
      </w:r>
      <w:r w:rsidR="00656219" w:rsidRPr="0009150F">
        <w:rPr>
          <w:rFonts w:asciiTheme="minorHAnsi" w:hAnsiTheme="minorHAnsi"/>
          <w:sz w:val="22"/>
          <w:szCs w:val="22"/>
        </w:rPr>
        <w:t>266</w:t>
      </w:r>
      <w:r w:rsidRPr="0009150F">
        <w:rPr>
          <w:rFonts w:asciiTheme="minorHAnsi" w:hAnsiTheme="minorHAnsi"/>
          <w:sz w:val="22"/>
          <w:szCs w:val="22"/>
        </w:rPr>
        <w:t>).</w:t>
      </w:r>
      <w:r w:rsidR="005A30B1" w:rsidRPr="0009150F">
        <w:rPr>
          <w:rFonts w:asciiTheme="minorHAnsi" w:hAnsiTheme="minorHAnsi"/>
          <w:sz w:val="22"/>
          <w:szCs w:val="22"/>
        </w:rPr>
        <w:t xml:space="preserve"> </w:t>
      </w:r>
    </w:p>
    <w:p w14:paraId="6B7E5504" w14:textId="77777777" w:rsidR="00503E56" w:rsidRPr="0009150F" w:rsidRDefault="00503E56" w:rsidP="004C344C">
      <w:pPr>
        <w:spacing w:before="120" w:after="120"/>
        <w:jc w:val="both"/>
        <w:rPr>
          <w:rFonts w:asciiTheme="minorHAnsi" w:hAnsiTheme="minorHAnsi"/>
          <w:sz w:val="22"/>
          <w:szCs w:val="22"/>
        </w:rPr>
      </w:pPr>
    </w:p>
    <w:p w14:paraId="1F95324A" w14:textId="1DA32D8B" w:rsidR="005720A5" w:rsidRPr="0009150F" w:rsidRDefault="00825F71" w:rsidP="00E062D9">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eastAsiaTheme="minorEastAsia" w:hAnsiTheme="minorHAnsi" w:cstheme="minorBidi"/>
          <w:b/>
          <w:bCs/>
          <w:sz w:val="22"/>
          <w:szCs w:val="22"/>
        </w:rPr>
      </w:pPr>
      <w:r w:rsidRPr="0009150F">
        <w:rPr>
          <w:rFonts w:asciiTheme="minorHAnsi" w:hAnsiTheme="minorHAnsi"/>
          <w:b/>
          <w:sz w:val="22"/>
          <w:szCs w:val="22"/>
        </w:rPr>
        <w:t xml:space="preserve">Rodzaje </w:t>
      </w:r>
      <w:r w:rsidR="0046321F" w:rsidRPr="0009150F">
        <w:rPr>
          <w:rFonts w:asciiTheme="minorHAnsi" w:hAnsiTheme="minorHAnsi"/>
          <w:b/>
          <w:sz w:val="22"/>
          <w:szCs w:val="22"/>
        </w:rPr>
        <w:t>inwestycji</w:t>
      </w:r>
    </w:p>
    <w:p w14:paraId="239DD6DB" w14:textId="5D3E876B" w:rsidR="005A509F" w:rsidRPr="0009150F" w:rsidRDefault="005A509F" w:rsidP="00D23453">
      <w:pPr>
        <w:tabs>
          <w:tab w:val="left" w:pos="426"/>
        </w:tabs>
        <w:spacing w:before="120" w:after="120"/>
        <w:jc w:val="both"/>
        <w:rPr>
          <w:rFonts w:asciiTheme="minorHAnsi" w:hAnsiTheme="minorHAnsi"/>
          <w:sz w:val="22"/>
          <w:szCs w:val="22"/>
        </w:rPr>
      </w:pPr>
      <w:r w:rsidRPr="0009150F">
        <w:rPr>
          <w:rFonts w:asciiTheme="minorHAnsi" w:hAnsiTheme="minorHAnsi"/>
          <w:sz w:val="22"/>
          <w:szCs w:val="22"/>
        </w:rPr>
        <w:t>W ramach programu przewiduje się wsparcie następujących działań:</w:t>
      </w:r>
    </w:p>
    <w:p w14:paraId="2F51AA87" w14:textId="53CD3839" w:rsidR="008243B2" w:rsidRPr="0009150F" w:rsidRDefault="00C33C00" w:rsidP="008243B2">
      <w:pPr>
        <w:pStyle w:val="Akapitzlist"/>
        <w:numPr>
          <w:ilvl w:val="0"/>
          <w:numId w:val="7"/>
        </w:numPr>
        <w:tabs>
          <w:tab w:val="left" w:pos="426"/>
        </w:tabs>
        <w:spacing w:before="120" w:after="120"/>
        <w:jc w:val="both"/>
        <w:rPr>
          <w:rFonts w:asciiTheme="minorHAnsi" w:hAnsiTheme="minorHAnsi"/>
          <w:sz w:val="22"/>
          <w:szCs w:val="22"/>
        </w:rPr>
      </w:pPr>
      <w:r w:rsidRPr="0009150F">
        <w:rPr>
          <w:rFonts w:asciiTheme="minorHAnsi" w:hAnsiTheme="minorHAnsi"/>
          <w:sz w:val="22"/>
          <w:szCs w:val="22"/>
        </w:rPr>
        <w:t>budowa/</w:t>
      </w:r>
      <w:r w:rsidR="00797BFF" w:rsidRPr="0009150F" w:rsidDel="00797BFF">
        <w:rPr>
          <w:rFonts w:asciiTheme="minorHAnsi" w:hAnsiTheme="minorHAnsi"/>
          <w:sz w:val="22"/>
          <w:szCs w:val="22"/>
        </w:rPr>
        <w:t xml:space="preserve"> </w:t>
      </w:r>
      <w:r w:rsidRPr="0009150F">
        <w:rPr>
          <w:rFonts w:asciiTheme="minorHAnsi" w:hAnsiTheme="minorHAnsi"/>
          <w:sz w:val="22"/>
          <w:szCs w:val="22"/>
        </w:rPr>
        <w:t>rozbudowa</w:t>
      </w:r>
      <w:r w:rsidR="008243B2" w:rsidRPr="0009150F">
        <w:rPr>
          <w:rFonts w:asciiTheme="minorHAnsi" w:hAnsiTheme="minorHAnsi"/>
          <w:sz w:val="22"/>
          <w:szCs w:val="22"/>
        </w:rPr>
        <w:t xml:space="preserve"> </w:t>
      </w:r>
      <w:r w:rsidR="00951022">
        <w:rPr>
          <w:rFonts w:asciiTheme="minorHAnsi" w:hAnsiTheme="minorHAnsi"/>
          <w:sz w:val="22"/>
          <w:szCs w:val="22"/>
        </w:rPr>
        <w:t xml:space="preserve">infrastruktury niezbędnej do zapewnienia </w:t>
      </w:r>
      <w:r w:rsidR="006968D6" w:rsidRPr="0009150F">
        <w:rPr>
          <w:rFonts w:asciiTheme="minorHAnsi" w:hAnsiTheme="minorHAnsi"/>
          <w:sz w:val="22"/>
          <w:szCs w:val="22"/>
        </w:rPr>
        <w:t>zasilania</w:t>
      </w:r>
      <w:r w:rsidR="00951022">
        <w:rPr>
          <w:rFonts w:asciiTheme="minorHAnsi" w:hAnsiTheme="minorHAnsi"/>
          <w:sz w:val="22"/>
          <w:szCs w:val="22"/>
        </w:rPr>
        <w:t xml:space="preserve"> stacji ładowania</w:t>
      </w:r>
      <w:r w:rsidR="006968D6" w:rsidRPr="0009150F">
        <w:rPr>
          <w:rFonts w:asciiTheme="minorHAnsi" w:hAnsiTheme="minorHAnsi"/>
          <w:sz w:val="22"/>
          <w:szCs w:val="22"/>
        </w:rPr>
        <w:t xml:space="preserve"> (</w:t>
      </w:r>
      <w:r w:rsidR="00503E56" w:rsidRPr="0009150F">
        <w:rPr>
          <w:rFonts w:asciiTheme="minorHAnsi" w:hAnsiTheme="minorHAnsi"/>
          <w:sz w:val="22"/>
          <w:szCs w:val="22"/>
        </w:rPr>
        <w:t>sieć  elektroenergetyczn</w:t>
      </w:r>
      <w:r w:rsidR="00951022">
        <w:rPr>
          <w:rFonts w:asciiTheme="minorHAnsi" w:hAnsiTheme="minorHAnsi"/>
          <w:sz w:val="22"/>
          <w:szCs w:val="22"/>
        </w:rPr>
        <w:t>a</w:t>
      </w:r>
      <w:r w:rsidR="00503E56" w:rsidRPr="0009150F">
        <w:rPr>
          <w:rFonts w:asciiTheme="minorHAnsi" w:hAnsiTheme="minorHAnsi"/>
          <w:sz w:val="22"/>
          <w:szCs w:val="22"/>
        </w:rPr>
        <w:t xml:space="preserve"> wraz z niezbędną </w:t>
      </w:r>
      <w:r w:rsidR="00F31197" w:rsidRPr="00F31197">
        <w:rPr>
          <w:rFonts w:asciiTheme="minorHAnsi" w:hAnsiTheme="minorHAnsi"/>
          <w:sz w:val="22"/>
          <w:szCs w:val="22"/>
        </w:rPr>
        <w:t>infrastrukturą</w:t>
      </w:r>
      <w:r w:rsidR="00951022">
        <w:rPr>
          <w:rFonts w:asciiTheme="minorHAnsi" w:hAnsiTheme="minorHAnsi"/>
          <w:sz w:val="22"/>
          <w:szCs w:val="22"/>
        </w:rPr>
        <w:t xml:space="preserve"> towarzyszącą</w:t>
      </w:r>
      <w:r w:rsidR="006968D6" w:rsidRPr="0009150F">
        <w:rPr>
          <w:rFonts w:asciiTheme="minorHAnsi" w:hAnsiTheme="minorHAnsi"/>
          <w:sz w:val="22"/>
          <w:szCs w:val="22"/>
        </w:rPr>
        <w:t xml:space="preserve">) </w:t>
      </w:r>
      <w:r w:rsidR="008243B2" w:rsidRPr="0009150F">
        <w:rPr>
          <w:rFonts w:asciiTheme="minorHAnsi" w:hAnsiTheme="minorHAnsi"/>
          <w:sz w:val="22"/>
          <w:szCs w:val="22"/>
        </w:rPr>
        <w:t xml:space="preserve">o </w:t>
      </w:r>
      <w:r w:rsidR="00F31197" w:rsidRPr="00F31197">
        <w:rPr>
          <w:rFonts w:asciiTheme="minorHAnsi" w:hAnsiTheme="minorHAnsi"/>
          <w:sz w:val="22"/>
          <w:szCs w:val="22"/>
        </w:rPr>
        <w:t xml:space="preserve">przepustowości prądowej gwarantującej moc </w:t>
      </w:r>
      <w:r w:rsidR="008243B2" w:rsidRPr="0009150F">
        <w:rPr>
          <w:rFonts w:asciiTheme="minorHAnsi" w:hAnsiTheme="minorHAnsi"/>
          <w:sz w:val="22"/>
          <w:szCs w:val="22"/>
        </w:rPr>
        <w:t>nie mniejsz</w:t>
      </w:r>
      <w:r w:rsidR="00F31197" w:rsidRPr="00F31197">
        <w:rPr>
          <w:rFonts w:asciiTheme="minorHAnsi" w:hAnsiTheme="minorHAnsi"/>
          <w:sz w:val="22"/>
          <w:szCs w:val="22"/>
        </w:rPr>
        <w:t>ą</w:t>
      </w:r>
      <w:r w:rsidR="008243B2" w:rsidRPr="0009150F">
        <w:rPr>
          <w:rFonts w:asciiTheme="minorHAnsi" w:hAnsiTheme="minorHAnsi"/>
          <w:sz w:val="22"/>
          <w:szCs w:val="22"/>
        </w:rPr>
        <w:t xml:space="preserve"> niż 700</w:t>
      </w:r>
      <w:r w:rsidR="006968D6" w:rsidRPr="0009150F">
        <w:rPr>
          <w:rFonts w:asciiTheme="minorHAnsi" w:hAnsiTheme="minorHAnsi"/>
          <w:sz w:val="22"/>
          <w:szCs w:val="22"/>
        </w:rPr>
        <w:t xml:space="preserve"> </w:t>
      </w:r>
      <w:r w:rsidR="008243B2" w:rsidRPr="0009150F">
        <w:rPr>
          <w:rFonts w:asciiTheme="minorHAnsi" w:hAnsiTheme="minorHAnsi"/>
          <w:sz w:val="22"/>
          <w:szCs w:val="22"/>
        </w:rPr>
        <w:t>kW</w:t>
      </w:r>
      <w:r w:rsidR="004F5837" w:rsidRPr="0009150F">
        <w:rPr>
          <w:rFonts w:asciiTheme="minorHAnsi" w:hAnsiTheme="minorHAnsi"/>
          <w:sz w:val="22"/>
          <w:szCs w:val="22"/>
        </w:rPr>
        <w:t>,</w:t>
      </w:r>
      <w:r w:rsidR="005119DB" w:rsidRPr="0009150F">
        <w:rPr>
          <w:rFonts w:asciiTheme="minorHAnsi" w:hAnsiTheme="minorHAnsi"/>
          <w:sz w:val="22"/>
          <w:szCs w:val="22"/>
        </w:rPr>
        <w:t xml:space="preserve"> </w:t>
      </w:r>
      <w:r w:rsidR="00503E56" w:rsidRPr="0009150F">
        <w:rPr>
          <w:rFonts w:asciiTheme="minorHAnsi" w:hAnsiTheme="minorHAnsi"/>
          <w:sz w:val="22"/>
          <w:szCs w:val="22"/>
        </w:rPr>
        <w:t xml:space="preserve"> </w:t>
      </w:r>
      <w:bookmarkStart w:id="4" w:name="_Hlk173414300"/>
      <w:r w:rsidR="005119DB" w:rsidRPr="0009150F">
        <w:rPr>
          <w:rFonts w:asciiTheme="minorHAnsi" w:hAnsiTheme="minorHAnsi"/>
          <w:sz w:val="22"/>
          <w:szCs w:val="22"/>
        </w:rPr>
        <w:t xml:space="preserve">doprowadzonego co najmniej do granicy </w:t>
      </w:r>
      <w:r w:rsidR="00F31197" w:rsidRPr="00F31197">
        <w:rPr>
          <w:rFonts w:asciiTheme="minorHAnsi" w:hAnsiTheme="minorHAnsi"/>
          <w:sz w:val="22"/>
          <w:szCs w:val="22"/>
        </w:rPr>
        <w:t>nieruchomości</w:t>
      </w:r>
      <w:r w:rsidR="005119DB" w:rsidRPr="0009150F">
        <w:rPr>
          <w:rFonts w:asciiTheme="minorHAnsi" w:hAnsiTheme="minorHAnsi"/>
          <w:sz w:val="22"/>
          <w:szCs w:val="22"/>
        </w:rPr>
        <w:t xml:space="preserve">, na której jest lub będzie planowana budowa ogólnodostępnych stacji ładowania dużych </w:t>
      </w:r>
      <w:r w:rsidR="004F5837" w:rsidRPr="0009150F">
        <w:rPr>
          <w:rFonts w:asciiTheme="minorHAnsi" w:hAnsiTheme="minorHAnsi"/>
          <w:sz w:val="22"/>
          <w:szCs w:val="22"/>
        </w:rPr>
        <w:t>mocy</w:t>
      </w:r>
      <w:bookmarkEnd w:id="4"/>
      <w:r w:rsidR="004F5837" w:rsidRPr="0009150F" w:rsidDel="005119DB">
        <w:rPr>
          <w:rFonts w:asciiTheme="minorHAnsi" w:hAnsiTheme="minorHAnsi"/>
          <w:sz w:val="22"/>
          <w:szCs w:val="22"/>
        </w:rPr>
        <w:t xml:space="preserve"> </w:t>
      </w:r>
      <w:r w:rsidR="00534670" w:rsidRPr="0009150F">
        <w:rPr>
          <w:rFonts w:asciiTheme="minorHAnsi" w:hAnsiTheme="minorHAnsi"/>
          <w:sz w:val="22"/>
          <w:szCs w:val="22"/>
        </w:rPr>
        <w:t>tj.</w:t>
      </w:r>
      <w:r w:rsidR="004F5837" w:rsidRPr="0009150F">
        <w:rPr>
          <w:rFonts w:asciiTheme="minorHAnsi" w:hAnsiTheme="minorHAnsi"/>
          <w:sz w:val="22"/>
          <w:szCs w:val="22"/>
        </w:rPr>
        <w:t>:</w:t>
      </w:r>
      <w:r w:rsidR="00534670" w:rsidRPr="0009150F">
        <w:rPr>
          <w:rFonts w:asciiTheme="minorHAnsi" w:hAnsiTheme="minorHAnsi"/>
          <w:sz w:val="22"/>
          <w:szCs w:val="22"/>
        </w:rPr>
        <w:t xml:space="preserve"> </w:t>
      </w:r>
      <w:r w:rsidR="008243B2" w:rsidRPr="0009150F">
        <w:rPr>
          <w:rFonts w:asciiTheme="minorHAnsi" w:hAnsiTheme="minorHAnsi"/>
          <w:sz w:val="22"/>
          <w:szCs w:val="22"/>
        </w:rPr>
        <w:t>Miejsca Obsługi Podróżnych (MOP)</w:t>
      </w:r>
      <w:r w:rsidR="004F5837" w:rsidRPr="0009150F">
        <w:rPr>
          <w:rFonts w:asciiTheme="minorHAnsi" w:hAnsiTheme="minorHAnsi"/>
          <w:sz w:val="22"/>
          <w:szCs w:val="22"/>
        </w:rPr>
        <w:t xml:space="preserve"> </w:t>
      </w:r>
      <w:r w:rsidR="008243B2" w:rsidRPr="0009150F">
        <w:rPr>
          <w:rFonts w:asciiTheme="minorHAnsi" w:hAnsiTheme="minorHAnsi"/>
          <w:sz w:val="22"/>
          <w:szCs w:val="22"/>
        </w:rPr>
        <w:t xml:space="preserve">znajdującego się bezpośrednio </w:t>
      </w:r>
      <w:r w:rsidR="004F5837" w:rsidRPr="0009150F">
        <w:rPr>
          <w:rFonts w:asciiTheme="minorHAnsi" w:hAnsiTheme="minorHAnsi"/>
          <w:sz w:val="22"/>
          <w:szCs w:val="22"/>
        </w:rPr>
        <w:t>wzdłuż sieci drogowej TEN-T lub w odległości do 3 km jazdy od najbliższego zjazdu z drogi TEN-T, na którym znajduje się lub planowana jest budowa ogólnodostępnych stacji ładowania dużych mocy</w:t>
      </w:r>
      <w:r w:rsidR="002D1F3E">
        <w:rPr>
          <w:rFonts w:asciiTheme="minorHAnsi" w:hAnsiTheme="minorHAnsi"/>
          <w:sz w:val="22"/>
          <w:szCs w:val="22"/>
        </w:rPr>
        <w:t>.</w:t>
      </w:r>
    </w:p>
    <w:p w14:paraId="6B3B9639" w14:textId="6A6387CA" w:rsidR="00216386" w:rsidRPr="00424FEF" w:rsidRDefault="008243B2" w:rsidP="00424FEF">
      <w:pPr>
        <w:pStyle w:val="Akapitzlist"/>
        <w:numPr>
          <w:ilvl w:val="0"/>
          <w:numId w:val="7"/>
        </w:numPr>
        <w:rPr>
          <w:rFonts w:asciiTheme="minorHAnsi" w:hAnsiTheme="minorHAnsi"/>
          <w:sz w:val="22"/>
          <w:szCs w:val="22"/>
        </w:rPr>
      </w:pPr>
      <w:r w:rsidRPr="002D1F3E">
        <w:rPr>
          <w:rFonts w:asciiTheme="minorHAnsi" w:hAnsiTheme="minorHAnsi"/>
          <w:sz w:val="22"/>
          <w:szCs w:val="22"/>
        </w:rPr>
        <w:t xml:space="preserve">budowa/rozbudowa </w:t>
      </w:r>
      <w:r w:rsidR="00534670" w:rsidRPr="002D1F3E">
        <w:rPr>
          <w:rFonts w:asciiTheme="minorHAnsi" w:hAnsiTheme="minorHAnsi"/>
          <w:sz w:val="22"/>
          <w:szCs w:val="22"/>
        </w:rPr>
        <w:t xml:space="preserve">zasilania </w:t>
      </w:r>
      <w:r w:rsidR="00503E56" w:rsidRPr="002D1F3E">
        <w:rPr>
          <w:rFonts w:asciiTheme="minorHAnsi" w:hAnsiTheme="minorHAnsi"/>
          <w:sz w:val="22"/>
          <w:szCs w:val="22"/>
        </w:rPr>
        <w:t>(sieć  elektroenergetyczn</w:t>
      </w:r>
      <w:r w:rsidR="00951022" w:rsidRPr="002D1F3E">
        <w:rPr>
          <w:rFonts w:asciiTheme="minorHAnsi" w:hAnsiTheme="minorHAnsi"/>
          <w:sz w:val="22"/>
          <w:szCs w:val="22"/>
        </w:rPr>
        <w:t>a</w:t>
      </w:r>
      <w:r w:rsidR="00503E56" w:rsidRPr="002D1F3E">
        <w:rPr>
          <w:rFonts w:asciiTheme="minorHAnsi" w:hAnsiTheme="minorHAnsi"/>
          <w:sz w:val="22"/>
          <w:szCs w:val="22"/>
        </w:rPr>
        <w:t xml:space="preserve"> wraz z niezbędną </w:t>
      </w:r>
      <w:r w:rsidR="00F31197" w:rsidRPr="002D1F3E">
        <w:rPr>
          <w:rFonts w:asciiTheme="minorHAnsi" w:hAnsiTheme="minorHAnsi"/>
          <w:sz w:val="22"/>
          <w:szCs w:val="22"/>
        </w:rPr>
        <w:t xml:space="preserve">infrastrukturą </w:t>
      </w:r>
      <w:r w:rsidR="00951022" w:rsidRPr="002D1F3E">
        <w:rPr>
          <w:rFonts w:asciiTheme="minorHAnsi" w:hAnsiTheme="minorHAnsi"/>
          <w:sz w:val="22"/>
          <w:szCs w:val="22"/>
        </w:rPr>
        <w:t xml:space="preserve">towarzyszącą </w:t>
      </w:r>
      <w:r w:rsidR="00503E56" w:rsidRPr="002D1F3E">
        <w:rPr>
          <w:rFonts w:asciiTheme="minorHAnsi" w:hAnsiTheme="minorHAnsi"/>
          <w:sz w:val="22"/>
          <w:szCs w:val="22"/>
        </w:rPr>
        <w:t xml:space="preserve">) </w:t>
      </w:r>
      <w:r w:rsidRPr="002D1F3E">
        <w:rPr>
          <w:rFonts w:asciiTheme="minorHAnsi" w:hAnsiTheme="minorHAnsi"/>
          <w:sz w:val="22"/>
          <w:szCs w:val="22"/>
        </w:rPr>
        <w:t xml:space="preserve">o </w:t>
      </w:r>
      <w:r w:rsidR="00F31197" w:rsidRPr="002D1F3E">
        <w:rPr>
          <w:rFonts w:asciiTheme="minorHAnsi" w:hAnsiTheme="minorHAnsi"/>
          <w:sz w:val="22"/>
          <w:szCs w:val="22"/>
        </w:rPr>
        <w:t>przepustowości prądowej gwarantującej moc</w:t>
      </w:r>
      <w:r w:rsidRPr="002D1F3E">
        <w:rPr>
          <w:rFonts w:asciiTheme="minorHAnsi" w:hAnsiTheme="minorHAnsi"/>
          <w:sz w:val="22"/>
          <w:szCs w:val="22"/>
        </w:rPr>
        <w:t xml:space="preserve"> nie mniejsz</w:t>
      </w:r>
      <w:r w:rsidR="00F31197" w:rsidRPr="002D1F3E">
        <w:rPr>
          <w:rFonts w:asciiTheme="minorHAnsi" w:hAnsiTheme="minorHAnsi"/>
          <w:sz w:val="22"/>
          <w:szCs w:val="22"/>
        </w:rPr>
        <w:t>ą</w:t>
      </w:r>
      <w:r w:rsidRPr="002D1F3E">
        <w:rPr>
          <w:rFonts w:asciiTheme="minorHAnsi" w:hAnsiTheme="minorHAnsi"/>
          <w:sz w:val="22"/>
          <w:szCs w:val="22"/>
        </w:rPr>
        <w:t xml:space="preserve"> niż 350 kW</w:t>
      </w:r>
      <w:r w:rsidR="004F5837" w:rsidRPr="002D1F3E">
        <w:rPr>
          <w:rFonts w:asciiTheme="minorHAnsi" w:hAnsiTheme="minorHAnsi"/>
          <w:sz w:val="22"/>
          <w:szCs w:val="22"/>
        </w:rPr>
        <w:t>,</w:t>
      </w:r>
      <w:r w:rsidRPr="002D1F3E">
        <w:rPr>
          <w:rFonts w:asciiTheme="minorHAnsi" w:hAnsiTheme="minorHAnsi"/>
          <w:sz w:val="22"/>
          <w:szCs w:val="22"/>
        </w:rPr>
        <w:t xml:space="preserve"> </w:t>
      </w:r>
      <w:r w:rsidR="004F5837" w:rsidRPr="002D1F3E">
        <w:rPr>
          <w:rFonts w:asciiTheme="minorHAnsi" w:hAnsiTheme="minorHAnsi"/>
          <w:sz w:val="22"/>
          <w:szCs w:val="22"/>
        </w:rPr>
        <w:t xml:space="preserve">doprowadzonego co najmniej do granicy </w:t>
      </w:r>
      <w:r w:rsidR="00F31197" w:rsidRPr="002D1F3E">
        <w:rPr>
          <w:rFonts w:asciiTheme="minorHAnsi" w:hAnsiTheme="minorHAnsi"/>
          <w:sz w:val="22"/>
          <w:szCs w:val="22"/>
        </w:rPr>
        <w:t>nieruchomości</w:t>
      </w:r>
      <w:r w:rsidR="004F5837" w:rsidRPr="002D1F3E">
        <w:rPr>
          <w:rFonts w:asciiTheme="minorHAnsi" w:hAnsiTheme="minorHAnsi"/>
          <w:sz w:val="22"/>
          <w:szCs w:val="22"/>
        </w:rPr>
        <w:t>, na której jest lub będzie planowana budowa ogólnodostępnych stacji ładowania dużych mocy</w:t>
      </w:r>
      <w:r w:rsidR="00534670" w:rsidRPr="002D1F3E">
        <w:rPr>
          <w:rFonts w:asciiTheme="minorHAnsi" w:hAnsiTheme="minorHAnsi" w:cstheme="minorBidi"/>
          <w:sz w:val="22"/>
          <w:szCs w:val="22"/>
        </w:rPr>
        <w:t xml:space="preserve"> tj.:</w:t>
      </w:r>
      <w:r w:rsidR="00534670" w:rsidRPr="002D1F3E" w:rsidDel="00534670">
        <w:rPr>
          <w:rFonts w:asciiTheme="minorHAnsi" w:hAnsiTheme="minorHAnsi"/>
          <w:sz w:val="22"/>
          <w:szCs w:val="22"/>
        </w:rPr>
        <w:t xml:space="preserve"> </w:t>
      </w:r>
      <w:r w:rsidR="004F5837" w:rsidRPr="002D1F3E">
        <w:rPr>
          <w:rFonts w:asciiTheme="minorHAnsi" w:hAnsiTheme="minorHAnsi"/>
          <w:sz w:val="22"/>
          <w:szCs w:val="22"/>
        </w:rPr>
        <w:t>obszaru centrum logistycznego (DEPOT), bazy eksploatacyjnej lub terminalu intermodalnego lub w odległości do 3 km jazdy od tych obiektów, na którym znajduje się lub planowana jest budowa ogólnodostępnych stacji ładowania dużych mocy</w:t>
      </w:r>
    </w:p>
    <w:p w14:paraId="121EA0AB" w14:textId="075D3816" w:rsidR="00216386" w:rsidRPr="003453B2" w:rsidRDefault="00034181" w:rsidP="00534670">
      <w:pPr>
        <w:pStyle w:val="Akapitzlist"/>
        <w:numPr>
          <w:ilvl w:val="0"/>
          <w:numId w:val="7"/>
        </w:numPr>
        <w:tabs>
          <w:tab w:val="left" w:pos="426"/>
        </w:tabs>
        <w:spacing w:before="120" w:after="120"/>
        <w:jc w:val="both"/>
        <w:rPr>
          <w:rFonts w:asciiTheme="minorHAnsi" w:hAnsiTheme="minorHAnsi"/>
          <w:sz w:val="22"/>
          <w:szCs w:val="22"/>
        </w:rPr>
      </w:pPr>
      <w:r w:rsidRPr="003453B2">
        <w:rPr>
          <w:rFonts w:asciiTheme="minorHAnsi" w:hAnsiTheme="minorHAnsi"/>
          <w:sz w:val="22"/>
          <w:szCs w:val="22"/>
        </w:rPr>
        <w:t>budowa</w:t>
      </w:r>
      <w:r w:rsidR="00797BFF">
        <w:rPr>
          <w:rFonts w:asciiTheme="minorHAnsi" w:hAnsiTheme="minorHAnsi"/>
          <w:sz w:val="22"/>
          <w:szCs w:val="22"/>
        </w:rPr>
        <w:t>/</w:t>
      </w:r>
      <w:r w:rsidRPr="003453B2">
        <w:rPr>
          <w:rFonts w:asciiTheme="minorHAnsi" w:hAnsiTheme="minorHAnsi"/>
          <w:sz w:val="22"/>
          <w:szCs w:val="22"/>
        </w:rPr>
        <w:t xml:space="preserve">rozbudowa zadań opisanych w pkt 1) i pkt) 2  obejmuje </w:t>
      </w:r>
      <w:r w:rsidR="00216386" w:rsidRPr="003453B2">
        <w:rPr>
          <w:rFonts w:asciiTheme="minorHAnsi" w:hAnsiTheme="minorHAnsi"/>
          <w:sz w:val="22"/>
          <w:szCs w:val="22"/>
        </w:rPr>
        <w:t xml:space="preserve"> </w:t>
      </w:r>
      <w:r w:rsidR="0024037E" w:rsidRPr="003453B2">
        <w:rPr>
          <w:rFonts w:asciiTheme="minorHAnsi" w:hAnsiTheme="minorHAnsi"/>
          <w:sz w:val="22"/>
          <w:szCs w:val="22"/>
        </w:rPr>
        <w:t>w</w:t>
      </w:r>
      <w:r w:rsidRPr="003453B2">
        <w:rPr>
          <w:rFonts w:asciiTheme="minorHAnsi" w:hAnsiTheme="minorHAnsi"/>
          <w:sz w:val="22"/>
          <w:szCs w:val="22"/>
        </w:rPr>
        <w:t xml:space="preserve"> </w:t>
      </w:r>
      <w:r w:rsidR="0024037E" w:rsidRPr="003453B2">
        <w:rPr>
          <w:rFonts w:asciiTheme="minorHAnsi" w:hAnsiTheme="minorHAnsi"/>
          <w:sz w:val="22"/>
          <w:szCs w:val="22"/>
        </w:rPr>
        <w:t>szczególności</w:t>
      </w:r>
      <w:r w:rsidR="00216386" w:rsidRPr="003453B2">
        <w:rPr>
          <w:rFonts w:asciiTheme="minorHAnsi" w:hAnsiTheme="minorHAnsi"/>
          <w:sz w:val="22"/>
          <w:szCs w:val="22"/>
        </w:rPr>
        <w:t>:</w:t>
      </w:r>
    </w:p>
    <w:p w14:paraId="3C067DDD" w14:textId="34904E67" w:rsidR="00216386" w:rsidRPr="003453B2" w:rsidRDefault="00034181" w:rsidP="00216386">
      <w:pPr>
        <w:pStyle w:val="Akapitzlist"/>
        <w:numPr>
          <w:ilvl w:val="0"/>
          <w:numId w:val="17"/>
        </w:numPr>
        <w:tabs>
          <w:tab w:val="left" w:pos="426"/>
        </w:tabs>
        <w:spacing w:before="120" w:after="120"/>
        <w:jc w:val="both"/>
        <w:rPr>
          <w:rFonts w:asciiTheme="minorHAnsi" w:hAnsiTheme="minorHAnsi"/>
          <w:sz w:val="22"/>
          <w:szCs w:val="22"/>
        </w:rPr>
      </w:pPr>
      <w:r w:rsidRPr="003453B2">
        <w:rPr>
          <w:rFonts w:asciiTheme="minorHAnsi" w:hAnsiTheme="minorHAnsi"/>
          <w:sz w:val="22"/>
          <w:szCs w:val="22"/>
        </w:rPr>
        <w:t xml:space="preserve">budowę </w:t>
      </w:r>
      <w:r w:rsidR="00216386" w:rsidRPr="003453B2">
        <w:rPr>
          <w:rFonts w:asciiTheme="minorHAnsi" w:hAnsiTheme="minorHAnsi"/>
          <w:sz w:val="22"/>
          <w:szCs w:val="22"/>
        </w:rPr>
        <w:t>nowych/</w:t>
      </w:r>
      <w:r w:rsidRPr="003453B2">
        <w:rPr>
          <w:rFonts w:asciiTheme="minorHAnsi" w:hAnsiTheme="minorHAnsi"/>
          <w:sz w:val="22"/>
          <w:szCs w:val="22"/>
        </w:rPr>
        <w:t>rozbudowę</w:t>
      </w:r>
      <w:r w:rsidR="00216386" w:rsidRPr="003453B2">
        <w:rPr>
          <w:rFonts w:asciiTheme="minorHAnsi" w:hAnsiTheme="minorHAnsi"/>
          <w:sz w:val="22"/>
          <w:szCs w:val="22"/>
        </w:rPr>
        <w:t>/</w:t>
      </w:r>
      <w:r w:rsidRPr="003453B2">
        <w:rPr>
          <w:rFonts w:asciiTheme="minorHAnsi" w:hAnsiTheme="minorHAnsi"/>
          <w:sz w:val="22"/>
          <w:szCs w:val="22"/>
        </w:rPr>
        <w:t xml:space="preserve">modernizację </w:t>
      </w:r>
      <w:r w:rsidR="00216386" w:rsidRPr="003453B2">
        <w:rPr>
          <w:rFonts w:asciiTheme="minorHAnsi" w:hAnsiTheme="minorHAnsi"/>
          <w:sz w:val="22"/>
          <w:szCs w:val="22"/>
        </w:rPr>
        <w:t>stacji transformatorowo-rozdzielczych (stacji elektroenergetycznych) na</w:t>
      </w:r>
      <w:r w:rsidR="00F31197" w:rsidRPr="00F31197">
        <w:rPr>
          <w:rFonts w:asciiTheme="minorHAnsi" w:hAnsiTheme="minorHAnsi"/>
          <w:sz w:val="22"/>
          <w:szCs w:val="22"/>
        </w:rPr>
        <w:t xml:space="preserve"> </w:t>
      </w:r>
      <w:r w:rsidR="00216386" w:rsidRPr="003453B2">
        <w:rPr>
          <w:rFonts w:asciiTheme="minorHAnsi" w:hAnsiTheme="minorHAnsi"/>
          <w:sz w:val="22"/>
          <w:szCs w:val="22"/>
        </w:rPr>
        <w:t>wszystkich</w:t>
      </w:r>
      <w:r w:rsidR="00C77B2B">
        <w:rPr>
          <w:rFonts w:asciiTheme="minorHAnsi" w:hAnsiTheme="minorHAnsi"/>
          <w:sz w:val="22"/>
          <w:szCs w:val="22"/>
        </w:rPr>
        <w:t xml:space="preserve"> </w:t>
      </w:r>
      <w:r w:rsidR="00216386" w:rsidRPr="003453B2">
        <w:rPr>
          <w:rFonts w:asciiTheme="minorHAnsi" w:hAnsiTheme="minorHAnsi"/>
          <w:sz w:val="22"/>
          <w:szCs w:val="22"/>
        </w:rPr>
        <w:t>poziomach napięcia</w:t>
      </w:r>
      <w:r w:rsidR="00F31197" w:rsidRPr="00F31197">
        <w:rPr>
          <w:rFonts w:asciiTheme="minorHAnsi" w:hAnsiTheme="minorHAnsi"/>
          <w:sz w:val="22"/>
          <w:szCs w:val="22"/>
        </w:rPr>
        <w:t xml:space="preserve"> </w:t>
      </w:r>
      <w:r w:rsidR="00951022">
        <w:rPr>
          <w:rFonts w:asciiTheme="minorHAnsi" w:hAnsiTheme="minorHAnsi"/>
          <w:sz w:val="22"/>
          <w:szCs w:val="22"/>
        </w:rPr>
        <w:t xml:space="preserve">niezbędnych </w:t>
      </w:r>
      <w:r w:rsidR="00F31197" w:rsidRPr="00F31197">
        <w:rPr>
          <w:rFonts w:asciiTheme="minorHAnsi" w:hAnsiTheme="minorHAnsi"/>
          <w:sz w:val="22"/>
          <w:szCs w:val="22"/>
        </w:rPr>
        <w:t xml:space="preserve">do </w:t>
      </w:r>
      <w:r w:rsidR="00951022">
        <w:rPr>
          <w:rFonts w:asciiTheme="minorHAnsi" w:hAnsiTheme="minorHAnsi"/>
          <w:sz w:val="22"/>
          <w:szCs w:val="22"/>
        </w:rPr>
        <w:t>zapewnienia</w:t>
      </w:r>
      <w:r w:rsidR="00F31197" w:rsidRPr="00F31197">
        <w:rPr>
          <w:rFonts w:asciiTheme="minorHAnsi" w:hAnsiTheme="minorHAnsi"/>
          <w:sz w:val="22"/>
          <w:szCs w:val="22"/>
        </w:rPr>
        <w:t xml:space="preserve"> zasilania</w:t>
      </w:r>
      <w:r w:rsidR="00216386" w:rsidRPr="003453B2">
        <w:rPr>
          <w:rFonts w:asciiTheme="minorHAnsi" w:hAnsiTheme="minorHAnsi"/>
          <w:sz w:val="22"/>
          <w:szCs w:val="22"/>
        </w:rPr>
        <w:t>,</w:t>
      </w:r>
    </w:p>
    <w:p w14:paraId="60175489" w14:textId="17424178" w:rsidR="00216386" w:rsidRPr="003453B2" w:rsidRDefault="00034181" w:rsidP="00216386">
      <w:pPr>
        <w:pStyle w:val="Akapitzlist"/>
        <w:numPr>
          <w:ilvl w:val="0"/>
          <w:numId w:val="17"/>
        </w:numPr>
        <w:tabs>
          <w:tab w:val="left" w:pos="426"/>
        </w:tabs>
        <w:spacing w:before="120" w:after="120"/>
        <w:jc w:val="both"/>
        <w:rPr>
          <w:rFonts w:asciiTheme="minorHAnsi" w:hAnsiTheme="minorHAnsi"/>
          <w:sz w:val="22"/>
          <w:szCs w:val="22"/>
        </w:rPr>
      </w:pPr>
      <w:r w:rsidRPr="003453B2">
        <w:rPr>
          <w:rFonts w:asciiTheme="minorHAnsi" w:hAnsiTheme="minorHAnsi"/>
          <w:sz w:val="22"/>
          <w:szCs w:val="22"/>
        </w:rPr>
        <w:t>rozbudowę</w:t>
      </w:r>
      <w:r w:rsidR="00216386" w:rsidRPr="003453B2">
        <w:rPr>
          <w:rFonts w:asciiTheme="minorHAnsi" w:hAnsiTheme="minorHAnsi"/>
          <w:sz w:val="22"/>
          <w:szCs w:val="22"/>
        </w:rPr>
        <w:t>/</w:t>
      </w:r>
      <w:r w:rsidRPr="003453B2">
        <w:rPr>
          <w:rFonts w:asciiTheme="minorHAnsi" w:hAnsiTheme="minorHAnsi"/>
          <w:sz w:val="22"/>
          <w:szCs w:val="22"/>
        </w:rPr>
        <w:t xml:space="preserve">modernizację </w:t>
      </w:r>
      <w:r w:rsidR="00F31197" w:rsidRPr="00F31197">
        <w:rPr>
          <w:rFonts w:asciiTheme="minorHAnsi" w:hAnsiTheme="minorHAnsi"/>
          <w:sz w:val="22"/>
          <w:szCs w:val="22"/>
        </w:rPr>
        <w:t>istniejących stacji transformatorowych lub rozdzielczych</w:t>
      </w:r>
      <w:r w:rsidR="00216386" w:rsidRPr="003453B2">
        <w:rPr>
          <w:rFonts w:asciiTheme="minorHAnsi" w:hAnsiTheme="minorHAnsi"/>
          <w:sz w:val="22"/>
          <w:szCs w:val="22"/>
        </w:rPr>
        <w:t xml:space="preserve"> (w tym wymiana transformatorów) lub poprawa systemu nadzoru i sterowania (w tym monitoring) </w:t>
      </w:r>
    </w:p>
    <w:p w14:paraId="7A12F005" w14:textId="7A9B1A6A" w:rsidR="00216386" w:rsidRPr="003453B2" w:rsidRDefault="00034181" w:rsidP="00216386">
      <w:pPr>
        <w:pStyle w:val="Akapitzlist"/>
        <w:numPr>
          <w:ilvl w:val="0"/>
          <w:numId w:val="17"/>
        </w:numPr>
        <w:tabs>
          <w:tab w:val="left" w:pos="426"/>
        </w:tabs>
        <w:spacing w:before="120" w:after="120"/>
        <w:jc w:val="both"/>
        <w:rPr>
          <w:rFonts w:asciiTheme="minorHAnsi" w:hAnsiTheme="minorHAnsi"/>
          <w:sz w:val="22"/>
          <w:szCs w:val="22"/>
        </w:rPr>
      </w:pPr>
      <w:r w:rsidRPr="003453B2">
        <w:rPr>
          <w:rFonts w:asciiTheme="minorHAnsi" w:hAnsiTheme="minorHAnsi"/>
          <w:sz w:val="22"/>
          <w:szCs w:val="22"/>
        </w:rPr>
        <w:lastRenderedPageBreak/>
        <w:t>budowę</w:t>
      </w:r>
      <w:r w:rsidR="00216386" w:rsidRPr="003453B2">
        <w:rPr>
          <w:rFonts w:asciiTheme="minorHAnsi" w:hAnsiTheme="minorHAnsi"/>
          <w:sz w:val="22"/>
          <w:szCs w:val="22"/>
        </w:rPr>
        <w:t>/</w:t>
      </w:r>
      <w:r w:rsidRPr="003453B2">
        <w:rPr>
          <w:rFonts w:asciiTheme="minorHAnsi" w:hAnsiTheme="minorHAnsi"/>
          <w:sz w:val="22"/>
          <w:szCs w:val="22"/>
        </w:rPr>
        <w:t>przebudowę</w:t>
      </w:r>
      <w:r w:rsidR="002F4ECB" w:rsidRPr="003453B2">
        <w:rPr>
          <w:rFonts w:asciiTheme="minorHAnsi" w:hAnsiTheme="minorHAnsi"/>
          <w:sz w:val="22"/>
          <w:szCs w:val="22"/>
        </w:rPr>
        <w:t>/</w:t>
      </w:r>
      <w:r w:rsidRPr="003453B2">
        <w:rPr>
          <w:rFonts w:asciiTheme="minorHAnsi" w:hAnsiTheme="minorHAnsi"/>
          <w:sz w:val="22"/>
          <w:szCs w:val="22"/>
        </w:rPr>
        <w:t xml:space="preserve">rozbudowę </w:t>
      </w:r>
      <w:r w:rsidR="00216386" w:rsidRPr="003453B2">
        <w:rPr>
          <w:rFonts w:asciiTheme="minorHAnsi" w:hAnsiTheme="minorHAnsi"/>
          <w:sz w:val="22"/>
          <w:szCs w:val="22"/>
        </w:rPr>
        <w:t>linii elektroenergetycznych WN, SN, nn (napowietrzne i kablowe),</w:t>
      </w:r>
    </w:p>
    <w:p w14:paraId="438EF15E" w14:textId="5B357ADE" w:rsidR="00216386" w:rsidRPr="003453B2" w:rsidRDefault="002D1F3E" w:rsidP="00216386">
      <w:pPr>
        <w:pStyle w:val="Akapitzlist"/>
        <w:numPr>
          <w:ilvl w:val="0"/>
          <w:numId w:val="17"/>
        </w:numPr>
        <w:tabs>
          <w:tab w:val="left" w:pos="426"/>
        </w:tabs>
        <w:spacing w:before="120" w:after="120"/>
        <w:jc w:val="both"/>
        <w:rPr>
          <w:rFonts w:asciiTheme="minorHAnsi" w:hAnsiTheme="minorHAnsi"/>
          <w:sz w:val="22"/>
          <w:szCs w:val="22"/>
        </w:rPr>
      </w:pPr>
      <w:r>
        <w:rPr>
          <w:rFonts w:asciiTheme="minorHAnsi" w:hAnsiTheme="minorHAnsi"/>
          <w:sz w:val="22"/>
          <w:szCs w:val="22"/>
        </w:rPr>
        <w:t>zapewnienie/rozwój systemów pomiarowych,</w:t>
      </w:r>
      <w:r w:rsidR="00797BFF">
        <w:rPr>
          <w:rFonts w:asciiTheme="minorHAnsi" w:hAnsiTheme="minorHAnsi"/>
          <w:sz w:val="22"/>
          <w:szCs w:val="22"/>
        </w:rPr>
        <w:t xml:space="preserve"> </w:t>
      </w:r>
      <w:r w:rsidR="00216386" w:rsidRPr="003453B2">
        <w:rPr>
          <w:rFonts w:asciiTheme="minorHAnsi" w:hAnsiTheme="minorHAnsi"/>
          <w:sz w:val="22"/>
          <w:szCs w:val="22"/>
        </w:rPr>
        <w:t xml:space="preserve">automatyzacji sieci, systemów </w:t>
      </w:r>
    </w:p>
    <w:p w14:paraId="5DCE7F3C" w14:textId="09B74736" w:rsidR="00216386" w:rsidRPr="0009150F" w:rsidRDefault="00216386" w:rsidP="00BE1386">
      <w:pPr>
        <w:pStyle w:val="Akapitzlist"/>
        <w:tabs>
          <w:tab w:val="left" w:pos="426"/>
        </w:tabs>
        <w:spacing w:before="120" w:after="120"/>
        <w:ind w:left="1080"/>
        <w:jc w:val="both"/>
        <w:rPr>
          <w:rFonts w:asciiTheme="minorHAnsi" w:hAnsiTheme="minorHAnsi"/>
          <w:sz w:val="22"/>
          <w:szCs w:val="22"/>
        </w:rPr>
      </w:pPr>
      <w:r w:rsidRPr="003453B2">
        <w:rPr>
          <w:rFonts w:asciiTheme="minorHAnsi" w:hAnsiTheme="minorHAnsi"/>
          <w:sz w:val="22"/>
          <w:szCs w:val="22"/>
        </w:rPr>
        <w:t>komunikacji i systemów IT</w:t>
      </w:r>
      <w:r w:rsidR="00BE1386" w:rsidRPr="003453B2">
        <w:rPr>
          <w:rFonts w:asciiTheme="minorHAnsi" w:hAnsiTheme="minorHAnsi"/>
          <w:sz w:val="22"/>
          <w:szCs w:val="22"/>
        </w:rPr>
        <w:t>,</w:t>
      </w:r>
      <w:r w:rsidRPr="003453B2">
        <w:rPr>
          <w:rFonts w:asciiTheme="minorHAnsi" w:hAnsiTheme="minorHAnsi"/>
          <w:sz w:val="22"/>
          <w:szCs w:val="22"/>
        </w:rPr>
        <w:t xml:space="preserve"> umożliwiających lub poprawiających warunki monitoringu i wizualizacji stanu pracy sieci w celu przystosowania jej do wzrostu nasycenia stacjami ładowania pojazdów elektrycznych</w:t>
      </w:r>
      <w:r w:rsidR="002F4ECB" w:rsidRPr="003453B2">
        <w:rPr>
          <w:rFonts w:asciiTheme="minorHAnsi" w:hAnsiTheme="minorHAnsi"/>
          <w:sz w:val="22"/>
          <w:szCs w:val="22"/>
        </w:rPr>
        <w:t>.</w:t>
      </w:r>
    </w:p>
    <w:p w14:paraId="35F37EFF" w14:textId="3129D461" w:rsidR="00802D21" w:rsidRPr="0009150F" w:rsidRDefault="00BE5D37" w:rsidP="00034181">
      <w:pPr>
        <w:tabs>
          <w:tab w:val="left" w:pos="426"/>
        </w:tabs>
        <w:spacing w:before="120" w:after="120"/>
        <w:ind w:left="360"/>
        <w:jc w:val="both"/>
        <w:rPr>
          <w:rFonts w:asciiTheme="minorHAnsi" w:hAnsiTheme="minorHAnsi"/>
          <w:sz w:val="22"/>
          <w:szCs w:val="22"/>
        </w:rPr>
      </w:pPr>
      <w:r w:rsidRPr="0009150F">
        <w:rPr>
          <w:rFonts w:asciiTheme="minorHAnsi" w:hAnsiTheme="minorHAnsi"/>
          <w:sz w:val="22"/>
          <w:szCs w:val="22"/>
        </w:rPr>
        <w:br w:type="page"/>
      </w:r>
    </w:p>
    <w:p w14:paraId="595BCE88" w14:textId="623778DA" w:rsidR="00C0161D" w:rsidRPr="0009150F" w:rsidRDefault="33B284A1" w:rsidP="00E062D9">
      <w:pPr>
        <w:pStyle w:val="Akapitzlist"/>
        <w:numPr>
          <w:ilvl w:val="0"/>
          <w:numId w:val="3"/>
        </w:numPr>
        <w:tabs>
          <w:tab w:val="left" w:pos="284"/>
        </w:tabs>
        <w:autoSpaceDE w:val="0"/>
        <w:autoSpaceDN w:val="0"/>
        <w:adjustRightInd w:val="0"/>
        <w:spacing w:before="120"/>
        <w:jc w:val="both"/>
        <w:rPr>
          <w:rFonts w:asciiTheme="minorHAnsi" w:eastAsiaTheme="minorEastAsia" w:hAnsiTheme="minorHAnsi" w:cstheme="minorBidi"/>
          <w:b/>
          <w:bCs/>
          <w:sz w:val="22"/>
          <w:szCs w:val="22"/>
        </w:rPr>
      </w:pPr>
      <w:r w:rsidRPr="0009150F">
        <w:rPr>
          <w:rFonts w:asciiTheme="minorHAnsi" w:hAnsiTheme="minorHAnsi"/>
          <w:b/>
          <w:sz w:val="22"/>
          <w:szCs w:val="22"/>
        </w:rPr>
        <w:lastRenderedPageBreak/>
        <w:t xml:space="preserve">Szczegółowe kryteria wyboru </w:t>
      </w:r>
      <w:r w:rsidR="003D2651" w:rsidRPr="0009150F">
        <w:rPr>
          <w:rFonts w:asciiTheme="minorHAnsi" w:hAnsiTheme="minorHAnsi"/>
          <w:b/>
          <w:sz w:val="22"/>
          <w:szCs w:val="22"/>
        </w:rPr>
        <w:t>inwestycji</w:t>
      </w:r>
    </w:p>
    <w:p w14:paraId="320F25B4" w14:textId="3FE31916" w:rsidR="00524CA5" w:rsidRPr="0009150F"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b/>
          <w:sz w:val="22"/>
          <w:szCs w:val="22"/>
        </w:rPr>
      </w:pPr>
      <w:r w:rsidRPr="0009150F">
        <w:rPr>
          <w:rFonts w:asciiTheme="minorHAnsi" w:hAnsiTheme="minorHAnsi"/>
          <w:sz w:val="22"/>
          <w:szCs w:val="22"/>
        </w:rPr>
        <w:t xml:space="preserve">  </w:t>
      </w:r>
      <w:r w:rsidRPr="0009150F">
        <w:rPr>
          <w:rFonts w:asciiTheme="minorHAnsi" w:hAnsiTheme="minorHAnsi"/>
          <w:b/>
          <w:sz w:val="22"/>
          <w:szCs w:val="22"/>
        </w:rPr>
        <w:t>KRYTERIA DOSTĘPU</w:t>
      </w:r>
      <w:r w:rsidR="005A509F" w:rsidRPr="0009150F">
        <w:rPr>
          <w:rFonts w:asciiTheme="minorHAnsi" w:hAnsiTheme="minorHAnsi"/>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1"/>
        <w:gridCol w:w="616"/>
        <w:gridCol w:w="549"/>
      </w:tblGrid>
      <w:tr w:rsidR="00E53F02" w:rsidRPr="0009150F" w14:paraId="36AD97EE" w14:textId="77777777" w:rsidTr="0045559C">
        <w:trPr>
          <w:cantSplit/>
        </w:trPr>
        <w:tc>
          <w:tcPr>
            <w:tcW w:w="596" w:type="dxa"/>
            <w:tcBorders>
              <w:top w:val="single" w:sz="4" w:space="0" w:color="auto"/>
              <w:left w:val="single" w:sz="4" w:space="0" w:color="auto"/>
              <w:bottom w:val="single" w:sz="4" w:space="0" w:color="auto"/>
              <w:right w:val="single" w:sz="4" w:space="0" w:color="auto"/>
            </w:tcBorders>
            <w:shd w:val="clear" w:color="auto" w:fill="D9D9D9"/>
          </w:tcPr>
          <w:p w14:paraId="7EEE35C6"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r w:rsidRPr="0009150F">
              <w:rPr>
                <w:rFonts w:asciiTheme="minorHAnsi" w:hAnsiTheme="minorHAnsi" w:cstheme="minorHAnsi"/>
                <w:b/>
                <w:sz w:val="22"/>
                <w:szCs w:val="22"/>
              </w:rPr>
              <w:t>Lp.</w:t>
            </w:r>
          </w:p>
        </w:tc>
        <w:tc>
          <w:tcPr>
            <w:tcW w:w="7091" w:type="dxa"/>
            <w:tcBorders>
              <w:top w:val="single" w:sz="4" w:space="0" w:color="auto"/>
              <w:left w:val="single" w:sz="4" w:space="0" w:color="auto"/>
              <w:bottom w:val="single" w:sz="4" w:space="0" w:color="auto"/>
              <w:right w:val="single" w:sz="4" w:space="0" w:color="auto"/>
            </w:tcBorders>
            <w:shd w:val="clear" w:color="auto" w:fill="D9D9D9"/>
          </w:tcPr>
          <w:p w14:paraId="1391E199"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r w:rsidRPr="0009150F">
              <w:rPr>
                <w:rFonts w:asciiTheme="minorHAnsi" w:hAnsiTheme="minorHAnsi" w:cstheme="minorHAnsi"/>
                <w:b/>
                <w:sz w:val="22"/>
                <w:szCs w:val="22"/>
              </w:rPr>
              <w:t xml:space="preserve">NAZWA KRYTERIUM </w:t>
            </w:r>
          </w:p>
        </w:tc>
        <w:tc>
          <w:tcPr>
            <w:tcW w:w="616" w:type="dxa"/>
            <w:tcBorders>
              <w:top w:val="single" w:sz="4" w:space="0" w:color="auto"/>
              <w:left w:val="single" w:sz="4" w:space="0" w:color="auto"/>
            </w:tcBorders>
            <w:shd w:val="clear" w:color="auto" w:fill="D9D9D9"/>
          </w:tcPr>
          <w:p w14:paraId="5E885703"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r w:rsidRPr="0009150F">
              <w:rPr>
                <w:rFonts w:asciiTheme="minorHAnsi" w:hAnsiTheme="minorHAnsi" w:cstheme="minorHAnsi"/>
                <w:b/>
                <w:sz w:val="22"/>
                <w:szCs w:val="22"/>
              </w:rPr>
              <w:t>Tak</w:t>
            </w:r>
          </w:p>
        </w:tc>
        <w:tc>
          <w:tcPr>
            <w:tcW w:w="549" w:type="dxa"/>
            <w:tcBorders>
              <w:top w:val="single" w:sz="4" w:space="0" w:color="auto"/>
            </w:tcBorders>
            <w:shd w:val="clear" w:color="auto" w:fill="D9D9D9"/>
          </w:tcPr>
          <w:p w14:paraId="2F7F034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r w:rsidRPr="0009150F">
              <w:rPr>
                <w:rFonts w:asciiTheme="minorHAnsi" w:hAnsiTheme="minorHAnsi" w:cstheme="minorHAnsi"/>
                <w:b/>
                <w:sz w:val="22"/>
                <w:szCs w:val="22"/>
              </w:rPr>
              <w:t>Nie</w:t>
            </w:r>
          </w:p>
        </w:tc>
      </w:tr>
      <w:tr w:rsidR="00E53F02" w:rsidRPr="0009150F" w14:paraId="0EE506DE" w14:textId="77777777" w:rsidTr="0045559C">
        <w:trPr>
          <w:cantSplit/>
          <w:trHeight w:val="344"/>
        </w:trPr>
        <w:tc>
          <w:tcPr>
            <w:tcW w:w="596" w:type="dxa"/>
            <w:tcBorders>
              <w:top w:val="single" w:sz="4" w:space="0" w:color="auto"/>
              <w:left w:val="single" w:sz="4" w:space="0" w:color="auto"/>
            </w:tcBorders>
            <w:shd w:val="clear" w:color="auto" w:fill="auto"/>
            <w:vAlign w:val="center"/>
          </w:tcPr>
          <w:p w14:paraId="3CAA56D5"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6DD20D41"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Wniosek jest złożony w terminie określonym w regulaminie naboru</w:t>
            </w:r>
          </w:p>
        </w:tc>
        <w:tc>
          <w:tcPr>
            <w:tcW w:w="616" w:type="dxa"/>
            <w:vAlign w:val="center"/>
          </w:tcPr>
          <w:p w14:paraId="2E537BB0"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53BCD931"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5C60CBD9" w14:textId="77777777" w:rsidTr="0045559C">
        <w:trPr>
          <w:cantSplit/>
          <w:trHeight w:val="344"/>
        </w:trPr>
        <w:tc>
          <w:tcPr>
            <w:tcW w:w="596" w:type="dxa"/>
            <w:tcBorders>
              <w:top w:val="single" w:sz="4" w:space="0" w:color="auto"/>
              <w:left w:val="single" w:sz="4" w:space="0" w:color="auto"/>
            </w:tcBorders>
            <w:shd w:val="clear" w:color="auto" w:fill="auto"/>
            <w:vAlign w:val="center"/>
          </w:tcPr>
          <w:p w14:paraId="034532DE"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10BD1551"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Wniosek jest złożony na obowiązującym formularzu i w wymaganej formie</w:t>
            </w:r>
          </w:p>
        </w:tc>
        <w:tc>
          <w:tcPr>
            <w:tcW w:w="616" w:type="dxa"/>
            <w:vAlign w:val="center"/>
          </w:tcPr>
          <w:p w14:paraId="40E76D6A"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095D53B4"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1ABD2A8B" w14:textId="77777777" w:rsidTr="0045559C">
        <w:trPr>
          <w:cantSplit/>
          <w:trHeight w:val="344"/>
        </w:trPr>
        <w:tc>
          <w:tcPr>
            <w:tcW w:w="596" w:type="dxa"/>
            <w:tcBorders>
              <w:top w:val="single" w:sz="4" w:space="0" w:color="auto"/>
              <w:left w:val="single" w:sz="4" w:space="0" w:color="auto"/>
            </w:tcBorders>
            <w:shd w:val="clear" w:color="auto" w:fill="auto"/>
            <w:vAlign w:val="center"/>
          </w:tcPr>
          <w:p w14:paraId="08792B29"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top w:val="single" w:sz="4" w:space="0" w:color="auto"/>
              <w:left w:val="single" w:sz="4" w:space="0" w:color="auto"/>
            </w:tcBorders>
            <w:shd w:val="clear" w:color="auto" w:fill="auto"/>
            <w:vAlign w:val="center"/>
          </w:tcPr>
          <w:p w14:paraId="2B7989E1"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 xml:space="preserve">Wniosek jest kompletny i prawidłowo podpisany przez osoby uprawnione do reprezentacji, wypełniono wszystkie wymagane pola formularza wniosku oraz dołączono wszystkie wymagane załączniki </w:t>
            </w:r>
          </w:p>
        </w:tc>
        <w:tc>
          <w:tcPr>
            <w:tcW w:w="616" w:type="dxa"/>
            <w:vAlign w:val="center"/>
          </w:tcPr>
          <w:p w14:paraId="70AB493D"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6259474"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4B736E7A" w14:textId="77777777" w:rsidTr="0045559C">
        <w:trPr>
          <w:cantSplit/>
          <w:trHeight w:val="438"/>
        </w:trPr>
        <w:tc>
          <w:tcPr>
            <w:tcW w:w="596" w:type="dxa"/>
            <w:tcBorders>
              <w:left w:val="single" w:sz="4" w:space="0" w:color="auto"/>
            </w:tcBorders>
            <w:shd w:val="clear" w:color="auto" w:fill="auto"/>
            <w:vAlign w:val="center"/>
          </w:tcPr>
          <w:p w14:paraId="6615C879"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6CB8A9B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Wnioskodawca mieści się w katalogu Beneficjentów, określonym w programie priorytetowym</w:t>
            </w:r>
          </w:p>
        </w:tc>
        <w:tc>
          <w:tcPr>
            <w:tcW w:w="616" w:type="dxa"/>
            <w:vAlign w:val="center"/>
          </w:tcPr>
          <w:p w14:paraId="0353B092"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CA9717C"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30EBD830" w14:textId="77777777" w:rsidTr="0045559C">
        <w:trPr>
          <w:cantSplit/>
          <w:trHeight w:val="438"/>
        </w:trPr>
        <w:tc>
          <w:tcPr>
            <w:tcW w:w="596" w:type="dxa"/>
            <w:tcBorders>
              <w:left w:val="single" w:sz="4" w:space="0" w:color="auto"/>
            </w:tcBorders>
            <w:shd w:val="clear" w:color="auto" w:fill="auto"/>
            <w:vAlign w:val="center"/>
          </w:tcPr>
          <w:p w14:paraId="2662134A"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1B8AD6FA"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616" w:type="dxa"/>
            <w:vAlign w:val="center"/>
          </w:tcPr>
          <w:p w14:paraId="3865E72C"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8625F39"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59108DCB" w14:textId="77777777" w:rsidTr="0045559C">
        <w:trPr>
          <w:cantSplit/>
          <w:trHeight w:val="438"/>
        </w:trPr>
        <w:tc>
          <w:tcPr>
            <w:tcW w:w="596" w:type="dxa"/>
            <w:tcBorders>
              <w:left w:val="single" w:sz="4" w:space="0" w:color="auto"/>
            </w:tcBorders>
            <w:shd w:val="clear" w:color="auto" w:fill="auto"/>
            <w:vAlign w:val="center"/>
          </w:tcPr>
          <w:p w14:paraId="62D1720B"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1810EA36"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Wnioskodawca wywiązuje się z zobowiązań publicznoprawnych na rzecz NFOŚiGW, właściwych organów, czy też podmiotów</w:t>
            </w:r>
          </w:p>
        </w:tc>
        <w:tc>
          <w:tcPr>
            <w:tcW w:w="616" w:type="dxa"/>
            <w:vAlign w:val="center"/>
          </w:tcPr>
          <w:p w14:paraId="5BF5E7C4"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03C9355B"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73774AE3" w14:textId="77777777" w:rsidTr="0045559C">
        <w:trPr>
          <w:cantSplit/>
          <w:trHeight w:val="438"/>
        </w:trPr>
        <w:tc>
          <w:tcPr>
            <w:tcW w:w="596" w:type="dxa"/>
            <w:tcBorders>
              <w:left w:val="single" w:sz="4" w:space="0" w:color="auto"/>
            </w:tcBorders>
            <w:shd w:val="clear" w:color="auto" w:fill="auto"/>
            <w:vAlign w:val="center"/>
          </w:tcPr>
          <w:p w14:paraId="6B1C8540"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4030E6A8"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Wnioskodawca wywiązuje się z zobowiązań cywilnoprawnych na rzecz NFOŚiGW</w:t>
            </w:r>
          </w:p>
        </w:tc>
        <w:tc>
          <w:tcPr>
            <w:tcW w:w="616" w:type="dxa"/>
            <w:vAlign w:val="center"/>
          </w:tcPr>
          <w:p w14:paraId="2F0D7EFE"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3CDA673"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6F9CF726" w14:textId="77777777" w:rsidTr="0045559C">
        <w:trPr>
          <w:cantSplit/>
          <w:trHeight w:val="438"/>
        </w:trPr>
        <w:tc>
          <w:tcPr>
            <w:tcW w:w="596" w:type="dxa"/>
            <w:tcBorders>
              <w:left w:val="single" w:sz="4" w:space="0" w:color="auto"/>
            </w:tcBorders>
            <w:shd w:val="clear" w:color="auto" w:fill="auto"/>
            <w:vAlign w:val="center"/>
          </w:tcPr>
          <w:p w14:paraId="4280E0BF"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653AEA02"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Cel i rodzaj inwestycji jest zgodny z programem priorytetowym</w:t>
            </w:r>
          </w:p>
        </w:tc>
        <w:tc>
          <w:tcPr>
            <w:tcW w:w="616" w:type="dxa"/>
            <w:vAlign w:val="center"/>
          </w:tcPr>
          <w:p w14:paraId="20303AC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754B94EB"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0D5C1EB6" w14:textId="77777777" w:rsidTr="0045559C">
        <w:trPr>
          <w:cantSplit/>
          <w:trHeight w:val="438"/>
        </w:trPr>
        <w:tc>
          <w:tcPr>
            <w:tcW w:w="596" w:type="dxa"/>
            <w:tcBorders>
              <w:left w:val="single" w:sz="4" w:space="0" w:color="auto"/>
            </w:tcBorders>
            <w:shd w:val="clear" w:color="auto" w:fill="auto"/>
            <w:vAlign w:val="center"/>
          </w:tcPr>
          <w:p w14:paraId="73C26FB4" w14:textId="77777777" w:rsidR="00E53F02" w:rsidRPr="0009150F" w:rsidDel="00BA5AFE"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054432D2" w14:textId="29D0D274"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Realizacja inwestycji nie została zakończona przed dniem złożenia wniosku</w:t>
            </w:r>
          </w:p>
        </w:tc>
        <w:tc>
          <w:tcPr>
            <w:tcW w:w="616" w:type="dxa"/>
            <w:vAlign w:val="center"/>
          </w:tcPr>
          <w:p w14:paraId="245E6175"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53CD7DB3"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75B2128F" w14:textId="77777777" w:rsidTr="0045559C">
        <w:trPr>
          <w:cantSplit/>
          <w:trHeight w:val="438"/>
        </w:trPr>
        <w:tc>
          <w:tcPr>
            <w:tcW w:w="596" w:type="dxa"/>
            <w:tcBorders>
              <w:left w:val="single" w:sz="4" w:space="0" w:color="auto"/>
            </w:tcBorders>
            <w:shd w:val="clear" w:color="auto" w:fill="auto"/>
            <w:vAlign w:val="center"/>
          </w:tcPr>
          <w:p w14:paraId="2212E810"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4A5D6D4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Okres realizacji inwestycji i wypłaty dofinansowania są zgodne z programem priorytetowym</w:t>
            </w:r>
          </w:p>
        </w:tc>
        <w:tc>
          <w:tcPr>
            <w:tcW w:w="616" w:type="dxa"/>
            <w:vAlign w:val="center"/>
          </w:tcPr>
          <w:p w14:paraId="7D3610DC"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1E31C07C"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480B4686" w14:textId="77777777" w:rsidTr="0045559C">
        <w:trPr>
          <w:cantSplit/>
          <w:trHeight w:val="438"/>
        </w:trPr>
        <w:tc>
          <w:tcPr>
            <w:tcW w:w="596" w:type="dxa"/>
            <w:tcBorders>
              <w:left w:val="single" w:sz="4" w:space="0" w:color="auto"/>
            </w:tcBorders>
            <w:shd w:val="clear" w:color="auto" w:fill="auto"/>
            <w:vAlign w:val="center"/>
          </w:tcPr>
          <w:p w14:paraId="4B7EFD06"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Fonts w:asciiTheme="minorHAnsi" w:hAnsiTheme="minorHAnsi" w:cstheme="minorHAnsi"/>
                <w:sz w:val="22"/>
                <w:szCs w:val="22"/>
              </w:rPr>
            </w:pPr>
          </w:p>
        </w:tc>
        <w:tc>
          <w:tcPr>
            <w:tcW w:w="7091" w:type="dxa"/>
            <w:tcBorders>
              <w:left w:val="single" w:sz="4" w:space="0" w:color="auto"/>
            </w:tcBorders>
            <w:shd w:val="clear" w:color="auto" w:fill="auto"/>
            <w:vAlign w:val="center"/>
          </w:tcPr>
          <w:p w14:paraId="61BD996F"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Forma, intensywność i maksymalny poziom wnioskowanego dofinansowania jest zgodna z programem priorytetowym</w:t>
            </w:r>
          </w:p>
        </w:tc>
        <w:tc>
          <w:tcPr>
            <w:tcW w:w="616" w:type="dxa"/>
            <w:vAlign w:val="center"/>
          </w:tcPr>
          <w:p w14:paraId="41B41163"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40BE98B"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5BC04645" w14:textId="77777777" w:rsidTr="0045559C">
        <w:trPr>
          <w:cantSplit/>
          <w:trHeight w:val="438"/>
        </w:trPr>
        <w:tc>
          <w:tcPr>
            <w:tcW w:w="596" w:type="dxa"/>
            <w:tcBorders>
              <w:left w:val="single" w:sz="4" w:space="0" w:color="auto"/>
            </w:tcBorders>
            <w:shd w:val="clear" w:color="auto" w:fill="auto"/>
            <w:vAlign w:val="center"/>
          </w:tcPr>
          <w:p w14:paraId="739D5207"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Style w:val="Odwoaniedokomentarza"/>
                <w:sz w:val="24"/>
                <w:szCs w:val="24"/>
              </w:rPr>
            </w:pPr>
          </w:p>
        </w:tc>
        <w:tc>
          <w:tcPr>
            <w:tcW w:w="7091" w:type="dxa"/>
            <w:tcBorders>
              <w:left w:val="single" w:sz="4" w:space="0" w:color="auto"/>
            </w:tcBorders>
            <w:shd w:val="clear" w:color="auto" w:fill="auto"/>
            <w:vAlign w:val="center"/>
          </w:tcPr>
          <w:p w14:paraId="7560BE1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Projekt nie ogranicza równego dostępu do zasobów (towarów, usług, infrastruktury) ze względu na płeć, pochodzenie rasowe lub etniczne, religię lub przekonania, niepełnosprawność, wiek lub orientację seksualną.</w:t>
            </w:r>
          </w:p>
        </w:tc>
        <w:tc>
          <w:tcPr>
            <w:tcW w:w="616" w:type="dxa"/>
            <w:vAlign w:val="center"/>
          </w:tcPr>
          <w:p w14:paraId="1B6979C2"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3870D5A1"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r w:rsidR="00E53F02" w:rsidRPr="0009150F" w14:paraId="005AC137" w14:textId="77777777" w:rsidTr="0045559C">
        <w:trPr>
          <w:cantSplit/>
          <w:trHeight w:val="438"/>
        </w:trPr>
        <w:tc>
          <w:tcPr>
            <w:tcW w:w="596" w:type="dxa"/>
            <w:tcBorders>
              <w:left w:val="single" w:sz="4" w:space="0" w:color="auto"/>
            </w:tcBorders>
            <w:shd w:val="clear" w:color="auto" w:fill="auto"/>
            <w:vAlign w:val="center"/>
          </w:tcPr>
          <w:p w14:paraId="7A54BB86" w14:textId="77777777" w:rsidR="00E53F02" w:rsidRPr="0009150F" w:rsidRDefault="00E53F02" w:rsidP="00E53F02">
            <w:pPr>
              <w:pStyle w:val="Akapitzlist"/>
              <w:numPr>
                <w:ilvl w:val="0"/>
                <w:numId w:val="4"/>
              </w:numPr>
              <w:tabs>
                <w:tab w:val="left" w:pos="284"/>
              </w:tabs>
              <w:autoSpaceDE w:val="0"/>
              <w:autoSpaceDN w:val="0"/>
              <w:adjustRightInd w:val="0"/>
              <w:spacing w:before="120"/>
              <w:jc w:val="both"/>
              <w:rPr>
                <w:rStyle w:val="Odwoaniedokomentarza"/>
                <w:sz w:val="24"/>
                <w:szCs w:val="24"/>
              </w:rPr>
            </w:pPr>
          </w:p>
        </w:tc>
        <w:tc>
          <w:tcPr>
            <w:tcW w:w="7091" w:type="dxa"/>
            <w:tcBorders>
              <w:left w:val="single" w:sz="4" w:space="0" w:color="auto"/>
            </w:tcBorders>
            <w:shd w:val="clear" w:color="auto" w:fill="auto"/>
            <w:vAlign w:val="center"/>
          </w:tcPr>
          <w:p w14:paraId="1FAB0A8E"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Wnioskodawca nie jest wykluczony z możliwości otrzymania dofinansowania na podstawie obowiązujących przepisów prawa lub ze względu na umieszczenie go na listach sankcyjnych</w:t>
            </w:r>
          </w:p>
        </w:tc>
        <w:tc>
          <w:tcPr>
            <w:tcW w:w="616" w:type="dxa"/>
            <w:vAlign w:val="center"/>
          </w:tcPr>
          <w:p w14:paraId="7FC09B43"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c>
          <w:tcPr>
            <w:tcW w:w="549" w:type="dxa"/>
            <w:vAlign w:val="center"/>
          </w:tcPr>
          <w:p w14:paraId="1B114397" w14:textId="77777777" w:rsidR="00E53F02" w:rsidRPr="0009150F" w:rsidRDefault="00E53F02" w:rsidP="0045559C">
            <w:pPr>
              <w:tabs>
                <w:tab w:val="left" w:pos="284"/>
              </w:tabs>
              <w:autoSpaceDE w:val="0"/>
              <w:autoSpaceDN w:val="0"/>
              <w:adjustRightInd w:val="0"/>
              <w:spacing w:before="120"/>
              <w:jc w:val="both"/>
              <w:rPr>
                <w:rFonts w:asciiTheme="minorHAnsi" w:hAnsiTheme="minorHAnsi" w:cstheme="minorHAnsi"/>
                <w:b/>
                <w:sz w:val="22"/>
                <w:szCs w:val="22"/>
              </w:rPr>
            </w:pPr>
          </w:p>
        </w:tc>
      </w:tr>
    </w:tbl>
    <w:p w14:paraId="0A262C42" w14:textId="0986C267" w:rsidR="00524CA5" w:rsidRPr="0009150F"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sz w:val="22"/>
          <w:szCs w:val="22"/>
        </w:rPr>
      </w:pPr>
    </w:p>
    <w:p w14:paraId="55E0811E" w14:textId="77777777" w:rsidR="00AD6C6D" w:rsidRPr="0009150F" w:rsidRDefault="00AD6C6D" w:rsidP="103E9640">
      <w:pPr>
        <w:jc w:val="both"/>
        <w:rPr>
          <w:rFonts w:asciiTheme="minorHAnsi" w:hAnsiTheme="minorHAnsi"/>
          <w:sz w:val="22"/>
          <w:szCs w:val="22"/>
        </w:rPr>
      </w:pPr>
    </w:p>
    <w:p w14:paraId="20C64A32" w14:textId="77777777" w:rsidR="004A633B" w:rsidRPr="0009150F" w:rsidRDefault="00883CD7" w:rsidP="00CC77B0">
      <w:pPr>
        <w:rPr>
          <w:rFonts w:asciiTheme="minorHAnsi" w:hAnsiTheme="minorHAnsi"/>
          <w:b/>
          <w:sz w:val="16"/>
          <w:szCs w:val="16"/>
        </w:rPr>
      </w:pPr>
      <w:r w:rsidRPr="0009150F">
        <w:rPr>
          <w:rFonts w:asciiTheme="minorHAnsi" w:hAnsiTheme="minorHAnsi"/>
          <w:b/>
          <w:sz w:val="16"/>
          <w:szCs w:val="16"/>
        </w:rPr>
        <w:br w:type="page"/>
      </w:r>
    </w:p>
    <w:p w14:paraId="04B14D18" w14:textId="0BB54619" w:rsidR="00567F9C" w:rsidRPr="0009150F" w:rsidRDefault="004A633B" w:rsidP="000E477F">
      <w:pPr>
        <w:pStyle w:val="Akapitzlist"/>
        <w:tabs>
          <w:tab w:val="left" w:pos="284"/>
        </w:tabs>
        <w:autoSpaceDE w:val="0"/>
        <w:autoSpaceDN w:val="0"/>
        <w:adjustRightInd w:val="0"/>
        <w:spacing w:before="120"/>
        <w:ind w:left="0"/>
        <w:contextualSpacing w:val="0"/>
        <w:jc w:val="both"/>
        <w:rPr>
          <w:rFonts w:asciiTheme="minorHAnsi" w:hAnsiTheme="minorHAnsi"/>
          <w:b/>
          <w:color w:val="000000"/>
        </w:rPr>
      </w:pPr>
      <w:r w:rsidRPr="0009150F">
        <w:rPr>
          <w:rFonts w:asciiTheme="minorHAnsi" w:hAnsiTheme="minorHAnsi"/>
          <w:b/>
          <w:color w:val="000000"/>
        </w:rPr>
        <w:lastRenderedPageBreak/>
        <w:t xml:space="preserve">KRYTERIA JAKOŚCIOWE DOPUSZCZAJĄCE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6329"/>
        <w:gridCol w:w="709"/>
        <w:gridCol w:w="709"/>
      </w:tblGrid>
      <w:tr w:rsidR="00567F9C" w:rsidRPr="0009150F" w14:paraId="2645D0B3" w14:textId="77777777" w:rsidTr="00C36629">
        <w:trPr>
          <w:cantSplit/>
          <w:trHeight w:val="219"/>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B42C6" w14:textId="77777777" w:rsidR="00567F9C" w:rsidRPr="0009150F" w:rsidRDefault="00567F9C" w:rsidP="00C36629">
            <w:pPr>
              <w:autoSpaceDE w:val="0"/>
              <w:autoSpaceDN w:val="0"/>
              <w:adjustRightInd w:val="0"/>
              <w:spacing w:before="120"/>
              <w:jc w:val="center"/>
              <w:rPr>
                <w:rFonts w:asciiTheme="minorHAnsi" w:hAnsiTheme="minorHAnsi" w:cstheme="minorHAnsi"/>
                <w:b/>
              </w:rPr>
            </w:pPr>
            <w:r w:rsidRPr="0009150F">
              <w:rPr>
                <w:rFonts w:asciiTheme="minorHAnsi" w:hAnsiTheme="minorHAnsi" w:cstheme="minorHAnsi"/>
                <w:b/>
              </w:rPr>
              <w:t>Lp.</w:t>
            </w:r>
          </w:p>
        </w:tc>
        <w:tc>
          <w:tcPr>
            <w:tcW w:w="6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AD96C6" w14:textId="77777777" w:rsidR="00567F9C" w:rsidRPr="0009150F" w:rsidRDefault="00567F9C" w:rsidP="00C36629">
            <w:pPr>
              <w:autoSpaceDE w:val="0"/>
              <w:autoSpaceDN w:val="0"/>
              <w:adjustRightInd w:val="0"/>
              <w:spacing w:before="120"/>
              <w:jc w:val="center"/>
              <w:rPr>
                <w:rFonts w:asciiTheme="minorHAnsi" w:hAnsiTheme="minorHAnsi" w:cstheme="minorHAnsi"/>
                <w:b/>
              </w:rPr>
            </w:pPr>
            <w:r w:rsidRPr="0009150F">
              <w:rPr>
                <w:rFonts w:asciiTheme="minorHAnsi" w:hAnsiTheme="minorHAnsi" w:cstheme="minorHAnsi"/>
                <w:b/>
              </w:rPr>
              <w:t>NAZWA KRYTERIUM</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DF289" w14:textId="77777777" w:rsidR="00567F9C" w:rsidRPr="0009150F" w:rsidRDefault="00567F9C" w:rsidP="00C36629">
            <w:pPr>
              <w:autoSpaceDE w:val="0"/>
              <w:autoSpaceDN w:val="0"/>
              <w:adjustRightInd w:val="0"/>
              <w:spacing w:before="120"/>
              <w:jc w:val="center"/>
              <w:rPr>
                <w:b/>
              </w:rPr>
            </w:pPr>
            <w:r w:rsidRPr="0009150F">
              <w:rPr>
                <w:b/>
              </w:rPr>
              <w:t>Tak</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E4BFC" w14:textId="77777777" w:rsidR="00567F9C" w:rsidRPr="0009150F" w:rsidRDefault="00567F9C" w:rsidP="00C36629">
            <w:pPr>
              <w:autoSpaceDE w:val="0"/>
              <w:autoSpaceDN w:val="0"/>
              <w:adjustRightInd w:val="0"/>
              <w:spacing w:before="120"/>
              <w:jc w:val="center"/>
              <w:rPr>
                <w:b/>
              </w:rPr>
            </w:pPr>
            <w:r w:rsidRPr="0009150F">
              <w:rPr>
                <w:b/>
              </w:rPr>
              <w:t>Nie</w:t>
            </w:r>
          </w:p>
        </w:tc>
      </w:tr>
      <w:tr w:rsidR="003148DC" w:rsidRPr="0009150F" w14:paraId="364A1F1C" w14:textId="77777777" w:rsidTr="007142D2">
        <w:trPr>
          <w:cantSplit/>
          <w:trHeight w:val="425"/>
        </w:trPr>
        <w:tc>
          <w:tcPr>
            <w:tcW w:w="1179" w:type="dxa"/>
            <w:shd w:val="clear" w:color="auto" w:fill="BFBFBF" w:themeFill="background1" w:themeFillShade="BF"/>
          </w:tcPr>
          <w:p w14:paraId="3A5963A0" w14:textId="0268BC75" w:rsidR="003148DC" w:rsidRPr="0009150F" w:rsidRDefault="003148DC" w:rsidP="003148DC">
            <w:pPr>
              <w:autoSpaceDE w:val="0"/>
              <w:autoSpaceDN w:val="0"/>
              <w:adjustRightInd w:val="0"/>
              <w:spacing w:before="120"/>
              <w:jc w:val="center"/>
              <w:rPr>
                <w:rFonts w:asciiTheme="minorHAnsi" w:hAnsiTheme="minorHAnsi" w:cstheme="minorHAnsi"/>
                <w:b/>
              </w:rPr>
            </w:pPr>
            <w:r w:rsidRPr="0009150F">
              <w:rPr>
                <w:rFonts w:asciiTheme="minorHAnsi" w:hAnsiTheme="minorHAnsi" w:cstheme="minorHAnsi"/>
                <w:b/>
              </w:rPr>
              <w:t>I.</w:t>
            </w:r>
          </w:p>
        </w:tc>
        <w:tc>
          <w:tcPr>
            <w:tcW w:w="7747" w:type="dxa"/>
            <w:gridSpan w:val="3"/>
            <w:tcBorders>
              <w:right w:val="single" w:sz="4" w:space="0" w:color="auto"/>
            </w:tcBorders>
            <w:shd w:val="clear" w:color="auto" w:fill="BFBFBF" w:themeFill="background1" w:themeFillShade="BF"/>
          </w:tcPr>
          <w:p w14:paraId="50AA74A8" w14:textId="1E06417D" w:rsidR="003148DC" w:rsidRPr="003453B2" w:rsidRDefault="003148DC" w:rsidP="007C7163">
            <w:pPr>
              <w:autoSpaceDE w:val="0"/>
              <w:autoSpaceDN w:val="0"/>
              <w:adjustRightInd w:val="0"/>
              <w:spacing w:before="120"/>
              <w:rPr>
                <w:rFonts w:asciiTheme="minorHAnsi" w:hAnsiTheme="minorHAnsi" w:cstheme="minorHAnsi"/>
              </w:rPr>
            </w:pPr>
            <w:r w:rsidRPr="0009150F">
              <w:rPr>
                <w:rFonts w:asciiTheme="minorHAnsi" w:hAnsiTheme="minorHAnsi" w:cstheme="minorHAnsi"/>
                <w:b/>
              </w:rPr>
              <w:t xml:space="preserve">ZASADNOŚĆ I WYKONALNOŚĆ </w:t>
            </w:r>
            <w:r w:rsidR="00FA65E3" w:rsidRPr="0009150F">
              <w:rPr>
                <w:rFonts w:asciiTheme="minorHAnsi" w:hAnsiTheme="minorHAnsi" w:cstheme="minorHAnsi"/>
                <w:b/>
              </w:rPr>
              <w:t>INWESTYCJI</w:t>
            </w:r>
          </w:p>
        </w:tc>
      </w:tr>
      <w:tr w:rsidR="003148DC" w:rsidRPr="0009150F" w14:paraId="69DAEB53" w14:textId="77777777" w:rsidTr="00C36629">
        <w:trPr>
          <w:cantSplit/>
          <w:trHeight w:val="425"/>
        </w:trPr>
        <w:tc>
          <w:tcPr>
            <w:tcW w:w="1179" w:type="dxa"/>
            <w:tcBorders>
              <w:top w:val="single" w:sz="4" w:space="0" w:color="auto"/>
              <w:left w:val="single" w:sz="4" w:space="0" w:color="auto"/>
              <w:bottom w:val="single" w:sz="4" w:space="0" w:color="auto"/>
              <w:right w:val="single" w:sz="4" w:space="0" w:color="auto"/>
            </w:tcBorders>
            <w:vAlign w:val="center"/>
            <w:hideMark/>
          </w:tcPr>
          <w:p w14:paraId="5F6427CF" w14:textId="77777777" w:rsidR="003148DC" w:rsidRPr="0009150F" w:rsidRDefault="003148DC"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05826AA" w14:textId="04CB406C" w:rsidR="003148DC" w:rsidRPr="0009150F" w:rsidRDefault="003148DC" w:rsidP="00333B59">
            <w:pPr>
              <w:spacing w:before="120"/>
              <w:jc w:val="both"/>
              <w:rPr>
                <w:rFonts w:asciiTheme="minorHAnsi" w:hAnsiTheme="minorHAnsi" w:cstheme="minorHAnsi"/>
                <w:sz w:val="22"/>
                <w:szCs w:val="22"/>
              </w:rPr>
            </w:pPr>
            <w:r w:rsidRPr="0009150F">
              <w:rPr>
                <w:rFonts w:asciiTheme="minorHAnsi" w:eastAsia="Calibri" w:hAnsiTheme="minorHAnsi" w:cstheme="minorHAnsi"/>
                <w:sz w:val="22"/>
                <w:szCs w:val="22"/>
              </w:rPr>
              <w:t xml:space="preserve">Oświadczenie Wnioskodawcy, że </w:t>
            </w:r>
            <w:r w:rsidRPr="0009150F">
              <w:rPr>
                <w:rFonts w:asciiTheme="minorHAnsi" w:hAnsiTheme="minorHAnsi" w:cstheme="minorHAnsi"/>
                <w:sz w:val="22"/>
                <w:szCs w:val="22"/>
              </w:rPr>
              <w:t xml:space="preserve">zobowiązuje się do nie zbywania nieruchomości/wyposażenia/sprzętu stanowiącego przedmiot dofinansowania przez co najmniej 5 lat od dnia zakończenia realizacji </w:t>
            </w:r>
            <w:r w:rsidR="00620C15" w:rsidRPr="0009150F">
              <w:rPr>
                <w:rFonts w:asciiTheme="minorHAnsi" w:hAnsiTheme="minorHAnsi" w:cstheme="minorHAnsi"/>
                <w:sz w:val="22"/>
                <w:szCs w:val="22"/>
              </w:rPr>
              <w:t>inwestycji</w:t>
            </w:r>
            <w:r w:rsidR="004F5837" w:rsidRPr="0009150F">
              <w:rPr>
                <w:rFonts w:asciiTheme="minorHAnsi" w:hAnsiTheme="minorHAnsi" w:cstheme="minorHAnsi"/>
                <w:sz w:val="22"/>
                <w:szCs w:val="22"/>
              </w:rPr>
              <w:t>.</w:t>
            </w:r>
            <w:r w:rsidR="00333B59" w:rsidRPr="0009150F">
              <w:rPr>
                <w:rFonts w:asciiTheme="minorHAnsi" w:hAnsiTheme="minorHAnsi" w:cstheme="minorHAnsi"/>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0D001E6" w14:textId="77777777" w:rsidR="003148DC" w:rsidRPr="0009150F"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76E5D2F5" w14:textId="77777777" w:rsidR="003148DC" w:rsidRPr="0009150F" w:rsidRDefault="003148DC" w:rsidP="003148DC">
            <w:pPr>
              <w:spacing w:before="120"/>
            </w:pPr>
          </w:p>
        </w:tc>
      </w:tr>
      <w:tr w:rsidR="003148DC" w:rsidRPr="0009150F" w14:paraId="6B0185C2"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0E82C5C4" w14:textId="77777777" w:rsidR="003148DC" w:rsidRPr="0009150F" w:rsidRDefault="003148DC"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9E9B849" w14:textId="6998945F" w:rsidR="003148DC" w:rsidRPr="0009150F" w:rsidRDefault="003148DC" w:rsidP="003148DC">
            <w:pPr>
              <w:spacing w:before="120"/>
              <w:jc w:val="both"/>
              <w:rPr>
                <w:rFonts w:asciiTheme="minorHAnsi" w:hAnsiTheme="minorHAnsi" w:cstheme="minorHAnsi"/>
                <w:sz w:val="22"/>
                <w:szCs w:val="22"/>
              </w:rPr>
            </w:pPr>
            <w:r w:rsidRPr="0009150F">
              <w:rPr>
                <w:rFonts w:asciiTheme="minorHAnsi" w:eastAsia="Calibri" w:hAnsiTheme="minorHAnsi" w:cstheme="minorHAnsi"/>
                <w:sz w:val="22"/>
                <w:szCs w:val="22"/>
              </w:rPr>
              <w:t>Oświadczenie Wnioskodawcy, że wyposażenie/sprzęt</w:t>
            </w:r>
            <w:r w:rsidRPr="0009150F">
              <w:rPr>
                <w:rFonts w:asciiTheme="minorHAnsi" w:hAnsiTheme="minorHAnsi" w:cstheme="minorHAnsi"/>
                <w:sz w:val="22"/>
                <w:szCs w:val="22"/>
              </w:rPr>
              <w:t xml:space="preserve"> stanowiące przedmiot dofinansowania nie będą wywożone poza terytorium Rzeczypospolitej Polskiej przez co najmniej 5 lat od dnia zakończenia realizacji </w:t>
            </w:r>
            <w:r w:rsidR="00EA3D1D" w:rsidRPr="0009150F">
              <w:rPr>
                <w:rFonts w:asciiTheme="minorHAnsi" w:hAnsiTheme="minorHAnsi" w:cstheme="minorHAnsi"/>
                <w:sz w:val="22"/>
                <w:szCs w:val="22"/>
              </w:rPr>
              <w:t>inwestycji</w:t>
            </w:r>
            <w:r w:rsidRPr="000915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64F9852" w14:textId="77777777" w:rsidR="003148DC" w:rsidRPr="0009150F"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5693466C" w14:textId="77777777" w:rsidR="003148DC" w:rsidRPr="0009150F" w:rsidRDefault="003148DC" w:rsidP="003148DC">
            <w:pPr>
              <w:spacing w:before="120"/>
            </w:pPr>
          </w:p>
        </w:tc>
      </w:tr>
      <w:tr w:rsidR="003148DC" w:rsidRPr="0009150F" w14:paraId="37F6FFAA"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34754C3A" w14:textId="77777777" w:rsidR="003148DC" w:rsidRPr="0009150F" w:rsidRDefault="003148DC"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 xml:space="preserve">3. </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2FA2484" w14:textId="51F30EC1" w:rsidR="003148DC" w:rsidRPr="0009150F" w:rsidRDefault="003148DC" w:rsidP="009C214F">
            <w:pPr>
              <w:autoSpaceDE w:val="0"/>
              <w:autoSpaceDN w:val="0"/>
              <w:adjustRightInd w:val="0"/>
              <w:spacing w:before="120"/>
              <w:jc w:val="both"/>
              <w:rPr>
                <w:rFonts w:asciiTheme="minorHAnsi" w:hAnsiTheme="minorHAnsi" w:cstheme="minorHAnsi"/>
                <w:i/>
                <w:iCs/>
                <w:sz w:val="22"/>
                <w:szCs w:val="22"/>
              </w:rPr>
            </w:pPr>
            <w:r w:rsidRPr="0009150F">
              <w:rPr>
                <w:rFonts w:asciiTheme="minorHAnsi" w:eastAsia="Calibri" w:hAnsiTheme="minorHAnsi" w:cstheme="minorHAnsi"/>
                <w:sz w:val="22"/>
                <w:szCs w:val="22"/>
              </w:rPr>
              <w:t>Oświadczenie Wnioskodawcy, że</w:t>
            </w:r>
            <w:r w:rsidRPr="0009150F">
              <w:rPr>
                <w:rFonts w:asciiTheme="minorHAnsi" w:hAnsiTheme="minorHAnsi" w:cstheme="minorHAnsi"/>
                <w:sz w:val="22"/>
                <w:szCs w:val="22"/>
              </w:rPr>
              <w:t xml:space="preserve"> zobowiązuje się do utrzymania trwałości inwestycji przez okres 5 lat od dnia zakończenia realizacji </w:t>
            </w:r>
            <w:r w:rsidR="00331BA5" w:rsidRPr="0009150F">
              <w:rPr>
                <w:rFonts w:asciiTheme="minorHAnsi" w:hAnsiTheme="minorHAnsi" w:cstheme="minorHAnsi"/>
                <w:sz w:val="22"/>
                <w:szCs w:val="22"/>
              </w:rPr>
              <w:t>inwestycji</w:t>
            </w:r>
            <w:r w:rsidRPr="000915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1578E75"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700E251" w14:textId="77777777" w:rsidR="003148DC" w:rsidRPr="0009150F" w:rsidRDefault="003148DC" w:rsidP="003148DC">
            <w:pPr>
              <w:autoSpaceDE w:val="0"/>
              <w:autoSpaceDN w:val="0"/>
              <w:adjustRightInd w:val="0"/>
              <w:spacing w:before="120"/>
            </w:pPr>
          </w:p>
        </w:tc>
      </w:tr>
      <w:tr w:rsidR="003148DC" w:rsidRPr="0009150F" w14:paraId="20961B6E"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19BAE61E" w14:textId="77777777" w:rsidR="003148DC" w:rsidRPr="0009150F" w:rsidRDefault="003148DC"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21AB9B5" w14:textId="714C06AF" w:rsidR="003148DC" w:rsidRPr="0009150F" w:rsidRDefault="003148DC" w:rsidP="001D3839">
            <w:pPr>
              <w:autoSpaceDE w:val="0"/>
              <w:autoSpaceDN w:val="0"/>
              <w:adjustRightInd w:val="0"/>
              <w:spacing w:before="120"/>
              <w:jc w:val="both"/>
              <w:rPr>
                <w:rFonts w:asciiTheme="minorHAnsi" w:hAnsiTheme="minorHAnsi" w:cstheme="minorHAnsi"/>
                <w:i/>
                <w:iCs/>
                <w:sz w:val="22"/>
                <w:szCs w:val="22"/>
              </w:rPr>
            </w:pPr>
            <w:r w:rsidRPr="0009150F">
              <w:rPr>
                <w:rFonts w:asciiTheme="minorHAnsi" w:hAnsiTheme="minorHAnsi" w:cstheme="minorHAnsi"/>
                <w:sz w:val="22"/>
                <w:szCs w:val="22"/>
              </w:rPr>
              <w:t xml:space="preserve">Oświadczenie Wnioskodawcy, że koszty dofinansowywane w ramach </w:t>
            </w:r>
            <w:r w:rsidR="00846B65" w:rsidRPr="0009150F">
              <w:rPr>
                <w:rFonts w:asciiTheme="minorHAnsi" w:hAnsiTheme="minorHAnsi" w:cstheme="minorHAnsi"/>
                <w:sz w:val="22"/>
                <w:szCs w:val="22"/>
              </w:rPr>
              <w:t>inwestycji</w:t>
            </w:r>
            <w:r w:rsidRPr="0009150F">
              <w:rPr>
                <w:rFonts w:asciiTheme="minorHAnsi" w:hAnsiTheme="minorHAnsi" w:cstheme="minorHAnsi"/>
                <w:sz w:val="22"/>
                <w:szCs w:val="22"/>
              </w:rPr>
              <w:t xml:space="preserve"> nie zostały sfinansowane z publicznych środków krajowych lub zagranicznych, w szczególności ze środków budżetu Unii Europejskiej i nie będą przedstawiane do takiego dofinansowania </w:t>
            </w:r>
            <w:r w:rsidR="008755B1" w:rsidRPr="0009150F">
              <w:rPr>
                <w:rFonts w:asciiTheme="minorHAnsi" w:hAnsiTheme="minorHAnsi" w:cstheme="minorHAnsi"/>
                <w:sz w:val="22"/>
                <w:szCs w:val="22"/>
              </w:rPr>
              <w:br/>
            </w:r>
            <w:r w:rsidRPr="0009150F">
              <w:rPr>
                <w:rFonts w:asciiTheme="minorHAnsi" w:hAnsiTheme="minorHAnsi" w:cstheme="minorHAnsi"/>
                <w:sz w:val="22"/>
                <w:szCs w:val="22"/>
              </w:rPr>
              <w:t>z innych źródeł.</w:t>
            </w:r>
          </w:p>
        </w:tc>
        <w:tc>
          <w:tcPr>
            <w:tcW w:w="709" w:type="dxa"/>
            <w:tcBorders>
              <w:top w:val="single" w:sz="4" w:space="0" w:color="auto"/>
              <w:left w:val="single" w:sz="4" w:space="0" w:color="auto"/>
              <w:bottom w:val="single" w:sz="4" w:space="0" w:color="auto"/>
              <w:right w:val="single" w:sz="4" w:space="0" w:color="auto"/>
            </w:tcBorders>
          </w:tcPr>
          <w:p w14:paraId="4653200F"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7E01A7FA" w14:textId="77777777" w:rsidR="003148DC" w:rsidRPr="0009150F" w:rsidRDefault="003148DC" w:rsidP="003148DC">
            <w:pPr>
              <w:autoSpaceDE w:val="0"/>
              <w:autoSpaceDN w:val="0"/>
              <w:adjustRightInd w:val="0"/>
              <w:spacing w:before="120"/>
            </w:pPr>
          </w:p>
        </w:tc>
      </w:tr>
      <w:tr w:rsidR="003148DC" w:rsidRPr="0009150F" w14:paraId="644830BB"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4837025" w14:textId="7CD745FB" w:rsidR="003148DC" w:rsidRPr="0009150F" w:rsidRDefault="001B7AD4"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5</w:t>
            </w:r>
            <w:r w:rsidR="003148DC"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17220D3" w14:textId="08369382" w:rsidR="00E03D4E" w:rsidRPr="0009150F" w:rsidRDefault="001A5D34" w:rsidP="007A5316">
            <w:pPr>
              <w:autoSpaceDE w:val="0"/>
              <w:autoSpaceDN w:val="0"/>
              <w:adjustRightInd w:val="0"/>
              <w:jc w:val="both"/>
              <w:rPr>
                <w:rFonts w:asciiTheme="minorHAnsi" w:hAnsiTheme="minorHAnsi" w:cstheme="minorHAnsi"/>
                <w:sz w:val="22"/>
                <w:szCs w:val="22"/>
              </w:rPr>
            </w:pPr>
            <w:r w:rsidRPr="0009150F">
              <w:rPr>
                <w:rFonts w:asciiTheme="minorHAnsi" w:hAnsiTheme="minorHAnsi" w:cstheme="minorHAnsi"/>
                <w:sz w:val="22"/>
                <w:szCs w:val="22"/>
              </w:rPr>
              <w:t>L</w:t>
            </w:r>
            <w:r w:rsidR="003148DC" w:rsidRPr="0009150F">
              <w:rPr>
                <w:rFonts w:asciiTheme="minorHAnsi" w:hAnsiTheme="minorHAnsi" w:cstheme="minorHAnsi"/>
                <w:sz w:val="22"/>
                <w:szCs w:val="22"/>
              </w:rPr>
              <w:t>okalizacj</w:t>
            </w:r>
            <w:r w:rsidRPr="0009150F">
              <w:rPr>
                <w:rFonts w:asciiTheme="minorHAnsi" w:hAnsiTheme="minorHAnsi" w:cstheme="minorHAnsi"/>
                <w:sz w:val="22"/>
                <w:szCs w:val="22"/>
              </w:rPr>
              <w:t>a</w:t>
            </w:r>
            <w:r w:rsidR="003148DC" w:rsidRPr="0009150F">
              <w:rPr>
                <w:rFonts w:asciiTheme="minorHAnsi" w:hAnsiTheme="minorHAnsi" w:cstheme="minorHAnsi"/>
                <w:sz w:val="22"/>
                <w:szCs w:val="22"/>
              </w:rPr>
              <w:t xml:space="preserve"> </w:t>
            </w:r>
            <w:r w:rsidR="00E53F02" w:rsidRPr="0009150F">
              <w:rPr>
                <w:rFonts w:asciiTheme="minorHAnsi" w:hAnsiTheme="minorHAnsi" w:cstheme="minorHAnsi"/>
                <w:sz w:val="22"/>
                <w:szCs w:val="22"/>
              </w:rPr>
              <w:t>budowy/</w:t>
            </w:r>
            <w:r w:rsidR="009353AB" w:rsidRPr="0009150F">
              <w:rPr>
                <w:rFonts w:asciiTheme="minorHAnsi" w:hAnsiTheme="minorHAnsi" w:cstheme="minorHAnsi"/>
                <w:sz w:val="22"/>
                <w:szCs w:val="22"/>
              </w:rPr>
              <w:t xml:space="preserve"> </w:t>
            </w:r>
            <w:r w:rsidR="006967E8" w:rsidRPr="0009150F">
              <w:rPr>
                <w:rFonts w:asciiTheme="minorHAnsi" w:hAnsiTheme="minorHAnsi" w:cstheme="minorHAnsi"/>
                <w:sz w:val="22"/>
                <w:szCs w:val="22"/>
              </w:rPr>
              <w:t>rozbudow</w:t>
            </w:r>
            <w:r w:rsidR="009624C8" w:rsidRPr="0009150F">
              <w:rPr>
                <w:rFonts w:asciiTheme="minorHAnsi" w:hAnsiTheme="minorHAnsi" w:cstheme="minorHAnsi"/>
                <w:sz w:val="22"/>
                <w:szCs w:val="22"/>
              </w:rPr>
              <w:t>y</w:t>
            </w:r>
            <w:r w:rsidR="004C7358">
              <w:rPr>
                <w:rFonts w:asciiTheme="minorHAnsi" w:hAnsiTheme="minorHAnsi" w:cstheme="minorHAnsi"/>
                <w:sz w:val="22"/>
                <w:szCs w:val="22"/>
              </w:rPr>
              <w:t xml:space="preserve"> infrastruktury elektroenergetycznej do zapewnienia</w:t>
            </w:r>
            <w:r w:rsidR="002F4ECB" w:rsidRPr="0009150F">
              <w:rPr>
                <w:rFonts w:asciiTheme="minorHAnsi" w:hAnsiTheme="minorHAnsi" w:cstheme="minorHAnsi"/>
                <w:sz w:val="22"/>
                <w:szCs w:val="22"/>
              </w:rPr>
              <w:t xml:space="preserve"> </w:t>
            </w:r>
            <w:r w:rsidR="00E03D4E" w:rsidRPr="0009150F">
              <w:rPr>
                <w:rFonts w:asciiTheme="minorHAnsi" w:hAnsiTheme="minorHAnsi" w:cstheme="minorHAnsi"/>
                <w:sz w:val="22"/>
                <w:szCs w:val="22"/>
              </w:rPr>
              <w:t>zasilania (</w:t>
            </w:r>
            <w:r w:rsidR="009624C8" w:rsidRPr="0009150F">
              <w:rPr>
                <w:rFonts w:asciiTheme="minorHAnsi" w:hAnsiTheme="minorHAnsi" w:cstheme="minorHAnsi"/>
                <w:sz w:val="22"/>
                <w:szCs w:val="22"/>
              </w:rPr>
              <w:t>sieci</w:t>
            </w:r>
            <w:r w:rsidR="002F4ECB" w:rsidRPr="0009150F">
              <w:rPr>
                <w:rFonts w:asciiTheme="minorHAnsi" w:hAnsiTheme="minorHAnsi" w:cstheme="minorHAnsi"/>
                <w:sz w:val="22"/>
                <w:szCs w:val="22"/>
              </w:rPr>
              <w:t xml:space="preserve"> </w:t>
            </w:r>
            <w:r w:rsidR="009624C8" w:rsidRPr="0009150F">
              <w:rPr>
                <w:rFonts w:asciiTheme="minorHAnsi" w:hAnsiTheme="minorHAnsi" w:cstheme="minorHAnsi"/>
                <w:sz w:val="22"/>
                <w:szCs w:val="22"/>
              </w:rPr>
              <w:t>elektroenergetycznej</w:t>
            </w:r>
            <w:r w:rsidR="00BB463C" w:rsidRPr="0009150F">
              <w:rPr>
                <w:rFonts w:asciiTheme="minorHAnsi" w:hAnsiTheme="minorHAnsi" w:cstheme="minorHAnsi"/>
                <w:sz w:val="22"/>
                <w:szCs w:val="22"/>
              </w:rPr>
              <w:t xml:space="preserve"> </w:t>
            </w:r>
            <w:r w:rsidR="00BB463C" w:rsidRPr="0009150F">
              <w:t xml:space="preserve"> </w:t>
            </w:r>
            <w:r w:rsidR="00BB463C" w:rsidRPr="0009150F">
              <w:rPr>
                <w:rFonts w:asciiTheme="minorHAnsi" w:hAnsiTheme="minorHAnsi" w:cstheme="minorHAnsi"/>
                <w:sz w:val="22"/>
                <w:szCs w:val="22"/>
              </w:rPr>
              <w:t xml:space="preserve">wraz z niezbędną </w:t>
            </w:r>
            <w:r w:rsidR="00AE2CAD" w:rsidRPr="00AE2CAD">
              <w:rPr>
                <w:rFonts w:asciiTheme="minorHAnsi" w:hAnsiTheme="minorHAnsi" w:cstheme="minorHAnsi"/>
                <w:sz w:val="22"/>
                <w:szCs w:val="22"/>
              </w:rPr>
              <w:t xml:space="preserve">infrastrukturą </w:t>
            </w:r>
            <w:r w:rsidR="004C7358">
              <w:rPr>
                <w:rFonts w:asciiTheme="minorHAnsi" w:hAnsiTheme="minorHAnsi" w:cstheme="minorHAnsi"/>
                <w:sz w:val="22"/>
                <w:szCs w:val="22"/>
              </w:rPr>
              <w:t xml:space="preserve">towarzyszącą </w:t>
            </w:r>
            <w:r w:rsidR="00E03D4E" w:rsidRPr="0009150F">
              <w:rPr>
                <w:rFonts w:asciiTheme="minorHAnsi" w:hAnsiTheme="minorHAnsi" w:cstheme="minorHAnsi"/>
                <w:sz w:val="22"/>
                <w:szCs w:val="22"/>
              </w:rPr>
              <w:t>)</w:t>
            </w:r>
            <w:r w:rsidR="006967E8" w:rsidRPr="0009150F">
              <w:rPr>
                <w:rFonts w:asciiTheme="minorHAnsi" w:hAnsiTheme="minorHAnsi" w:cstheme="minorHAnsi"/>
                <w:sz w:val="22"/>
                <w:szCs w:val="22"/>
              </w:rPr>
              <w:t xml:space="preserve"> </w:t>
            </w:r>
            <w:r w:rsidR="009353AB" w:rsidRPr="003453B2">
              <w:rPr>
                <w:rFonts w:asciiTheme="minorHAnsi" w:hAnsiTheme="minorHAnsi" w:cstheme="minorHAnsi"/>
                <w:sz w:val="22"/>
                <w:szCs w:val="22"/>
              </w:rPr>
              <w:t>umożliwia</w:t>
            </w:r>
            <w:r w:rsidR="00E53F02" w:rsidRPr="0009150F">
              <w:rPr>
                <w:rFonts w:asciiTheme="minorHAnsi" w:hAnsiTheme="minorHAnsi" w:cstheme="minorHAnsi"/>
                <w:sz w:val="22"/>
                <w:szCs w:val="22"/>
              </w:rPr>
              <w:t xml:space="preserve"> </w:t>
            </w:r>
            <w:r w:rsidR="009353AB" w:rsidRPr="0009150F">
              <w:rPr>
                <w:rFonts w:asciiTheme="minorHAnsi" w:hAnsiTheme="minorHAnsi" w:cstheme="minorHAnsi"/>
                <w:sz w:val="22"/>
                <w:szCs w:val="22"/>
              </w:rPr>
              <w:t xml:space="preserve">zapewnienie </w:t>
            </w:r>
            <w:r w:rsidR="00E53F02" w:rsidRPr="0009150F">
              <w:rPr>
                <w:rFonts w:asciiTheme="minorHAnsi" w:hAnsiTheme="minorHAnsi" w:cstheme="minorHAnsi"/>
                <w:sz w:val="22"/>
                <w:szCs w:val="22"/>
              </w:rPr>
              <w:t xml:space="preserve">dostępności mocy dla ogólnodostępnych stacji ładowania </w:t>
            </w:r>
            <w:r w:rsidR="009353AB" w:rsidRPr="0009150F">
              <w:rPr>
                <w:rFonts w:asciiTheme="minorHAnsi" w:hAnsiTheme="minorHAnsi" w:cstheme="minorHAnsi"/>
                <w:sz w:val="22"/>
                <w:szCs w:val="22"/>
              </w:rPr>
              <w:t xml:space="preserve">zlokalizowana </w:t>
            </w:r>
            <w:r w:rsidRPr="0009150F">
              <w:rPr>
                <w:rFonts w:ascii="Calibri" w:eastAsia="Calibri" w:hAnsi="Calibri" w:cs="Calibri"/>
                <w:sz w:val="22"/>
                <w:szCs w:val="22"/>
              </w:rPr>
              <w:t>przy trasach sieci bazowej TEN-T, centrach logistycznych, bazach eksploatacyjnych  oraz terminalach intermodalnych</w:t>
            </w:r>
            <w:r w:rsidR="00E53F02" w:rsidRPr="0009150F">
              <w:rPr>
                <w:rFonts w:ascii="Calibri" w:eastAsia="Calibri" w:hAnsi="Calibri" w:cs="Calibri"/>
                <w:sz w:val="22"/>
                <w:szCs w:val="22"/>
              </w:rPr>
              <w:t xml:space="preserve"> lub w odległości do 3 km jazdy od tych ob</w:t>
            </w:r>
            <w:r w:rsidR="00AE2CAD">
              <w:rPr>
                <w:rFonts w:ascii="Calibri" w:eastAsia="Calibri" w:hAnsi="Calibri" w:cs="Calibri"/>
                <w:sz w:val="22"/>
                <w:szCs w:val="22"/>
              </w:rPr>
              <w:t>iektów</w:t>
            </w:r>
            <w:r w:rsidR="009353AB" w:rsidRPr="0009150F">
              <w:rPr>
                <w:rFonts w:ascii="Calibri" w:eastAsia="Calibri" w:hAnsi="Calibri" w:cs="Calibr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1261E8EA"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51311D91" w14:textId="77777777" w:rsidR="003148DC" w:rsidRPr="0009150F" w:rsidRDefault="003148DC" w:rsidP="003148DC">
            <w:pPr>
              <w:autoSpaceDE w:val="0"/>
              <w:autoSpaceDN w:val="0"/>
              <w:adjustRightInd w:val="0"/>
              <w:spacing w:before="120"/>
            </w:pPr>
          </w:p>
        </w:tc>
      </w:tr>
      <w:tr w:rsidR="003148DC" w:rsidRPr="0009150F" w14:paraId="44A9D61A"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082716A" w14:textId="0134B2F3" w:rsidR="003148DC" w:rsidRPr="0009150F" w:rsidRDefault="001B7AD4"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6</w:t>
            </w:r>
            <w:r w:rsidR="003148DC"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6745D688" w14:textId="66679366" w:rsidR="003148DC" w:rsidRPr="0009150F" w:rsidRDefault="004B4204" w:rsidP="00A27B61">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color w:val="000000" w:themeColor="text1"/>
                <w:sz w:val="22"/>
                <w:szCs w:val="22"/>
              </w:rPr>
              <w:t>Planowan</w:t>
            </w:r>
            <w:r w:rsidR="00D5137F" w:rsidRPr="0009150F">
              <w:rPr>
                <w:rFonts w:asciiTheme="minorHAnsi" w:hAnsiTheme="minorHAnsi" w:cstheme="minorHAnsi"/>
                <w:color w:val="000000" w:themeColor="text1"/>
                <w:sz w:val="22"/>
                <w:szCs w:val="22"/>
              </w:rPr>
              <w:t>a inwestycja</w:t>
            </w:r>
            <w:r w:rsidRPr="0009150F">
              <w:rPr>
                <w:rFonts w:asciiTheme="minorHAnsi" w:hAnsiTheme="minorHAnsi" w:cstheme="minorHAnsi"/>
                <w:color w:val="000000" w:themeColor="text1"/>
                <w:sz w:val="22"/>
                <w:szCs w:val="22"/>
              </w:rPr>
              <w:t xml:space="preserve">  jest spójn</w:t>
            </w:r>
            <w:r w:rsidR="00D5137F" w:rsidRPr="0009150F">
              <w:rPr>
                <w:rFonts w:asciiTheme="minorHAnsi" w:hAnsiTheme="minorHAnsi" w:cstheme="minorHAnsi"/>
                <w:color w:val="000000" w:themeColor="text1"/>
                <w:sz w:val="22"/>
                <w:szCs w:val="22"/>
              </w:rPr>
              <w:t>a</w:t>
            </w:r>
            <w:r w:rsidRPr="0009150F">
              <w:rPr>
                <w:rFonts w:asciiTheme="minorHAnsi" w:hAnsiTheme="minorHAnsi" w:cstheme="minorHAnsi"/>
                <w:color w:val="000000" w:themeColor="text1"/>
                <w:sz w:val="22"/>
                <w:szCs w:val="22"/>
              </w:rPr>
              <w:t xml:space="preserve"> </w:t>
            </w:r>
            <w:r w:rsidR="003148DC" w:rsidRPr="0009150F">
              <w:rPr>
                <w:rFonts w:asciiTheme="minorHAnsi" w:hAnsiTheme="minorHAnsi" w:cstheme="minorHAnsi"/>
                <w:color w:val="000000" w:themeColor="text1"/>
                <w:sz w:val="22"/>
                <w:szCs w:val="22"/>
              </w:rPr>
              <w:t>z planem</w:t>
            </w:r>
            <w:r w:rsidR="006D3D42" w:rsidRPr="0009150F">
              <w:rPr>
                <w:rFonts w:asciiTheme="minorHAnsi" w:hAnsiTheme="minorHAnsi" w:cstheme="minorHAnsi"/>
                <w:color w:val="000000" w:themeColor="text1"/>
                <w:sz w:val="22"/>
                <w:szCs w:val="22"/>
              </w:rPr>
              <w:t>,</w:t>
            </w:r>
            <w:r w:rsidR="003148DC" w:rsidRPr="0009150F">
              <w:rPr>
                <w:rFonts w:asciiTheme="minorHAnsi" w:hAnsiTheme="minorHAnsi" w:cstheme="minorHAnsi"/>
                <w:color w:val="000000" w:themeColor="text1"/>
                <w:sz w:val="22"/>
                <w:szCs w:val="22"/>
              </w:rPr>
              <w:t xml:space="preserve"> o któr</w:t>
            </w:r>
            <w:r w:rsidR="001D3839" w:rsidRPr="0009150F">
              <w:rPr>
                <w:rFonts w:asciiTheme="minorHAnsi" w:hAnsiTheme="minorHAnsi" w:cstheme="minorHAnsi"/>
                <w:color w:val="000000" w:themeColor="text1"/>
                <w:sz w:val="22"/>
                <w:szCs w:val="22"/>
              </w:rPr>
              <w:t>ym mowa w art. 32 ust. 1 ustawy,</w:t>
            </w:r>
            <w:r w:rsidR="003148DC" w:rsidRPr="0009150F">
              <w:rPr>
                <w:rFonts w:asciiTheme="minorHAnsi" w:hAnsiTheme="minorHAnsi" w:cstheme="minorHAnsi"/>
                <w:color w:val="000000" w:themeColor="text1"/>
                <w:sz w:val="22"/>
                <w:szCs w:val="22"/>
              </w:rPr>
              <w:t xml:space="preserve"> lub </w:t>
            </w:r>
            <w:r w:rsidRPr="0009150F">
              <w:rPr>
                <w:rFonts w:asciiTheme="minorHAnsi" w:hAnsiTheme="minorHAnsi" w:cstheme="minorHAnsi"/>
                <w:color w:val="000000" w:themeColor="text1"/>
                <w:sz w:val="22"/>
                <w:szCs w:val="22"/>
              </w:rPr>
              <w:t>uwzglę</w:t>
            </w:r>
            <w:r w:rsidR="0020124E" w:rsidRPr="0009150F">
              <w:rPr>
                <w:rFonts w:asciiTheme="minorHAnsi" w:hAnsiTheme="minorHAnsi" w:cstheme="minorHAnsi"/>
                <w:color w:val="000000" w:themeColor="text1"/>
                <w:sz w:val="22"/>
                <w:szCs w:val="22"/>
              </w:rPr>
              <w:t>d</w:t>
            </w:r>
            <w:r w:rsidRPr="0009150F">
              <w:rPr>
                <w:rFonts w:asciiTheme="minorHAnsi" w:hAnsiTheme="minorHAnsi" w:cstheme="minorHAnsi"/>
                <w:color w:val="000000" w:themeColor="text1"/>
                <w:sz w:val="22"/>
                <w:szCs w:val="22"/>
              </w:rPr>
              <w:t xml:space="preserve">nia wytyczne zawarte </w:t>
            </w:r>
            <w:r w:rsidR="003148DC" w:rsidRPr="0009150F">
              <w:rPr>
                <w:rFonts w:asciiTheme="minorHAnsi" w:hAnsiTheme="minorHAnsi" w:cstheme="minorHAnsi"/>
                <w:color w:val="000000" w:themeColor="text1"/>
                <w:sz w:val="22"/>
                <w:szCs w:val="22"/>
              </w:rPr>
              <w:t xml:space="preserve">w planie, o którym mowa w art. 62 ust. 1 ustawy z dnia 11 stycznia 2018 r. </w:t>
            </w:r>
            <w:r w:rsidR="008755B1" w:rsidRPr="0009150F">
              <w:rPr>
                <w:rFonts w:asciiTheme="minorHAnsi" w:hAnsiTheme="minorHAnsi" w:cstheme="minorHAnsi"/>
                <w:color w:val="000000" w:themeColor="text1"/>
                <w:sz w:val="22"/>
                <w:szCs w:val="22"/>
              </w:rPr>
              <w:br/>
            </w:r>
            <w:r w:rsidR="003148DC" w:rsidRPr="0009150F">
              <w:rPr>
                <w:rFonts w:asciiTheme="minorHAnsi" w:hAnsiTheme="minorHAnsi" w:cstheme="minorHAnsi"/>
                <w:color w:val="000000" w:themeColor="text1"/>
                <w:sz w:val="22"/>
                <w:szCs w:val="22"/>
              </w:rPr>
              <w:t>o elektromobilności i paliwach alternatywnych (</w:t>
            </w:r>
            <w:r w:rsidR="001D3839" w:rsidRPr="0009150F">
              <w:rPr>
                <w:rFonts w:asciiTheme="minorHAnsi" w:hAnsiTheme="minorHAnsi" w:cstheme="minorHAnsi"/>
                <w:color w:val="000000" w:themeColor="text1"/>
                <w:sz w:val="22"/>
                <w:szCs w:val="22"/>
              </w:rPr>
              <w:t>t</w:t>
            </w:r>
            <w:r w:rsidR="00E558C8" w:rsidRPr="0009150F">
              <w:rPr>
                <w:rFonts w:asciiTheme="minorHAnsi" w:hAnsiTheme="minorHAnsi" w:cstheme="minorHAnsi"/>
                <w:color w:val="000000" w:themeColor="text1"/>
                <w:sz w:val="22"/>
                <w:szCs w:val="22"/>
              </w:rPr>
              <w:t>.</w:t>
            </w:r>
            <w:r w:rsidR="001D3839" w:rsidRPr="0009150F">
              <w:rPr>
                <w:rFonts w:asciiTheme="minorHAnsi" w:hAnsiTheme="minorHAnsi" w:cstheme="minorHAnsi"/>
                <w:color w:val="000000" w:themeColor="text1"/>
                <w:sz w:val="22"/>
                <w:szCs w:val="22"/>
              </w:rPr>
              <w:t xml:space="preserve">j. </w:t>
            </w:r>
            <w:r w:rsidR="003148DC" w:rsidRPr="0009150F">
              <w:rPr>
                <w:rFonts w:asciiTheme="minorHAnsi" w:hAnsiTheme="minorHAnsi" w:cstheme="minorHAnsi"/>
                <w:color w:val="000000" w:themeColor="text1"/>
                <w:sz w:val="22"/>
                <w:szCs w:val="22"/>
              </w:rPr>
              <w:t>Dz. U. z 2021 r. poz. 110</w:t>
            </w:r>
            <w:r w:rsidR="001C3A23" w:rsidRPr="0009150F">
              <w:rPr>
                <w:rFonts w:asciiTheme="minorHAnsi" w:hAnsiTheme="minorHAnsi" w:cstheme="minorHAnsi"/>
                <w:color w:val="000000" w:themeColor="text1"/>
                <w:sz w:val="22"/>
                <w:szCs w:val="22"/>
              </w:rPr>
              <w:t>, z późn. zm.</w:t>
            </w:r>
            <w:r w:rsidR="003148DC" w:rsidRPr="0009150F">
              <w:rPr>
                <w:rFonts w:asciiTheme="minorHAnsi" w:hAnsiTheme="minorHAnsi" w:cstheme="minorHAnsi"/>
                <w:color w:val="000000" w:themeColor="text1"/>
                <w:sz w:val="22"/>
                <w:szCs w:val="22"/>
              </w:rPr>
              <w:t>)</w:t>
            </w:r>
            <w:r w:rsidR="00A771A5" w:rsidRPr="0009150F">
              <w:rPr>
                <w:rFonts w:asciiTheme="minorHAnsi" w:hAnsiTheme="minorHAnsi" w:cstheme="minorHAnsi"/>
                <w:color w:val="000000" w:themeColor="text1"/>
                <w:sz w:val="22"/>
                <w:szCs w:val="22"/>
              </w:rPr>
              <w:t xml:space="preserve">, lub  </w:t>
            </w:r>
            <w:r w:rsidR="008755B1" w:rsidRPr="0009150F">
              <w:rPr>
                <w:rFonts w:asciiTheme="minorHAnsi" w:hAnsiTheme="minorHAnsi" w:cstheme="minorHAnsi"/>
                <w:color w:val="000000" w:themeColor="text1"/>
                <w:sz w:val="22"/>
                <w:szCs w:val="22"/>
              </w:rPr>
              <w:t xml:space="preserve">uwzględnia </w:t>
            </w:r>
            <w:r w:rsidR="00A771A5" w:rsidRPr="0009150F">
              <w:rPr>
                <w:rFonts w:asciiTheme="minorHAnsi" w:hAnsiTheme="minorHAnsi" w:cstheme="minorHAnsi"/>
                <w:color w:val="000000" w:themeColor="text1"/>
                <w:sz w:val="22"/>
                <w:szCs w:val="22"/>
              </w:rPr>
              <w:t>uzas</w:t>
            </w:r>
            <w:r w:rsidR="001D3839" w:rsidRPr="0009150F">
              <w:rPr>
                <w:rFonts w:asciiTheme="minorHAnsi" w:hAnsiTheme="minorHAnsi" w:cstheme="minorHAnsi"/>
                <w:color w:val="000000" w:themeColor="text1"/>
                <w:sz w:val="22"/>
                <w:szCs w:val="22"/>
              </w:rPr>
              <w:t>a</w:t>
            </w:r>
            <w:r w:rsidR="00A771A5" w:rsidRPr="0009150F">
              <w:rPr>
                <w:rFonts w:asciiTheme="minorHAnsi" w:hAnsiTheme="minorHAnsi" w:cstheme="minorHAnsi"/>
                <w:color w:val="000000" w:themeColor="text1"/>
                <w:sz w:val="22"/>
                <w:szCs w:val="22"/>
              </w:rPr>
              <w:t>dnienie innej lokalizacji inwestycji</w:t>
            </w:r>
            <w:r w:rsidR="006967E8" w:rsidRPr="0009150F">
              <w:rPr>
                <w:rFonts w:asciiTheme="minorHAnsi" w:hAnsiTheme="minorHAnsi" w:cstheme="minorHAnsi"/>
                <w:color w:val="000000" w:themeColor="text1"/>
                <w:sz w:val="22"/>
                <w:szCs w:val="22"/>
              </w:rPr>
              <w:t xml:space="preserve"> (dotyczy ce</w:t>
            </w:r>
            <w:r w:rsidR="0053711F" w:rsidRPr="0009150F">
              <w:rPr>
                <w:rFonts w:asciiTheme="minorHAnsi" w:hAnsiTheme="minorHAnsi" w:cstheme="minorHAnsi"/>
                <w:color w:val="000000" w:themeColor="text1"/>
                <w:sz w:val="22"/>
                <w:szCs w:val="22"/>
              </w:rPr>
              <w:t>n</w:t>
            </w:r>
            <w:r w:rsidR="006967E8" w:rsidRPr="0009150F">
              <w:rPr>
                <w:rFonts w:asciiTheme="minorHAnsi" w:hAnsiTheme="minorHAnsi" w:cstheme="minorHAnsi"/>
                <w:color w:val="000000" w:themeColor="text1"/>
                <w:sz w:val="22"/>
                <w:szCs w:val="22"/>
              </w:rPr>
              <w:t>trów logistycznych, baz eksploatacyjnych oraz terminalów intermodalnych).</w:t>
            </w:r>
          </w:p>
        </w:tc>
        <w:tc>
          <w:tcPr>
            <w:tcW w:w="709" w:type="dxa"/>
            <w:tcBorders>
              <w:top w:val="single" w:sz="4" w:space="0" w:color="auto"/>
              <w:left w:val="single" w:sz="4" w:space="0" w:color="auto"/>
              <w:bottom w:val="single" w:sz="4" w:space="0" w:color="auto"/>
              <w:right w:val="single" w:sz="4" w:space="0" w:color="auto"/>
            </w:tcBorders>
          </w:tcPr>
          <w:p w14:paraId="7D44163D"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8162583" w14:textId="77777777" w:rsidR="003148DC" w:rsidRPr="0009150F" w:rsidRDefault="003148DC" w:rsidP="003148DC">
            <w:pPr>
              <w:autoSpaceDE w:val="0"/>
              <w:autoSpaceDN w:val="0"/>
              <w:adjustRightInd w:val="0"/>
              <w:spacing w:before="120"/>
            </w:pPr>
          </w:p>
        </w:tc>
      </w:tr>
      <w:tr w:rsidR="00E062D9" w:rsidRPr="0009150F" w14:paraId="3CEC072E"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016DDF4" w14:textId="545FB021" w:rsidR="00E062D9" w:rsidRPr="0009150F" w:rsidRDefault="00E062D9"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 xml:space="preserve">7. </w:t>
            </w:r>
          </w:p>
        </w:tc>
        <w:tc>
          <w:tcPr>
            <w:tcW w:w="6329" w:type="dxa"/>
            <w:tcBorders>
              <w:top w:val="single" w:sz="4" w:space="0" w:color="auto"/>
              <w:left w:val="single" w:sz="4" w:space="0" w:color="auto"/>
              <w:bottom w:val="single" w:sz="4" w:space="0" w:color="auto"/>
              <w:right w:val="single" w:sz="4" w:space="0" w:color="auto"/>
            </w:tcBorders>
            <w:vAlign w:val="center"/>
          </w:tcPr>
          <w:p w14:paraId="6CAEC2B9" w14:textId="78C98145" w:rsidR="001B4AEC" w:rsidRPr="0009150F" w:rsidRDefault="009E796C" w:rsidP="009375A9">
            <w:pPr>
              <w:autoSpaceDE w:val="0"/>
              <w:autoSpaceDN w:val="0"/>
              <w:adjustRightInd w:val="0"/>
              <w:spacing w:before="120"/>
              <w:jc w:val="both"/>
              <w:rPr>
                <w:rFonts w:asciiTheme="minorHAnsi" w:hAnsiTheme="minorHAnsi" w:cstheme="minorHAnsi"/>
                <w:color w:val="000000" w:themeColor="text1"/>
                <w:sz w:val="22"/>
                <w:szCs w:val="22"/>
              </w:rPr>
            </w:pPr>
            <w:r w:rsidRPr="0009150F">
              <w:rPr>
                <w:rFonts w:asciiTheme="minorHAnsi" w:hAnsiTheme="minorHAnsi" w:cstheme="minorHAnsi"/>
                <w:color w:val="000000" w:themeColor="text1"/>
                <w:sz w:val="22"/>
                <w:szCs w:val="22"/>
              </w:rPr>
              <w:t>Objęt</w:t>
            </w:r>
            <w:r w:rsidR="006E0A67">
              <w:rPr>
                <w:rFonts w:asciiTheme="minorHAnsi" w:hAnsiTheme="minorHAnsi" w:cstheme="minorHAnsi"/>
                <w:color w:val="000000" w:themeColor="text1"/>
                <w:sz w:val="22"/>
                <w:szCs w:val="22"/>
              </w:rPr>
              <w:t>a</w:t>
            </w:r>
            <w:r w:rsidRPr="0009150F">
              <w:rPr>
                <w:rFonts w:asciiTheme="minorHAnsi" w:hAnsiTheme="minorHAnsi" w:cstheme="minorHAnsi"/>
                <w:color w:val="000000" w:themeColor="text1"/>
                <w:sz w:val="22"/>
                <w:szCs w:val="22"/>
              </w:rPr>
              <w:t xml:space="preserve"> </w:t>
            </w:r>
            <w:r w:rsidR="00E062D9" w:rsidRPr="0009150F">
              <w:rPr>
                <w:rFonts w:asciiTheme="minorHAnsi" w:hAnsiTheme="minorHAnsi" w:cstheme="minorHAnsi"/>
                <w:color w:val="000000" w:themeColor="text1"/>
                <w:sz w:val="22"/>
                <w:szCs w:val="22"/>
              </w:rPr>
              <w:t xml:space="preserve">dofinansowaniem </w:t>
            </w:r>
            <w:r w:rsidR="00BE4F2F">
              <w:rPr>
                <w:rFonts w:asciiTheme="minorHAnsi" w:hAnsiTheme="minorHAnsi" w:cstheme="minorHAnsi"/>
                <w:color w:val="000000" w:themeColor="text1"/>
                <w:sz w:val="22"/>
                <w:szCs w:val="22"/>
              </w:rPr>
              <w:t xml:space="preserve">infrastruktura elektroenergetyczna </w:t>
            </w:r>
            <w:r w:rsidR="001B4AEC" w:rsidRPr="0009150F">
              <w:rPr>
                <w:rFonts w:asciiTheme="minorHAnsi" w:hAnsiTheme="minorHAnsi" w:cstheme="minorHAnsi"/>
                <w:color w:val="000000" w:themeColor="text1"/>
                <w:sz w:val="22"/>
                <w:szCs w:val="22"/>
              </w:rPr>
              <w:t xml:space="preserve"> </w:t>
            </w:r>
            <w:r w:rsidR="00E062D9" w:rsidRPr="0009150F">
              <w:rPr>
                <w:rFonts w:asciiTheme="minorHAnsi" w:hAnsiTheme="minorHAnsi" w:cstheme="minorHAnsi"/>
                <w:color w:val="000000" w:themeColor="text1"/>
                <w:sz w:val="22"/>
                <w:szCs w:val="22"/>
              </w:rPr>
              <w:t>posiada</w:t>
            </w:r>
            <w:r w:rsidR="00503E56" w:rsidRPr="0009150F">
              <w:rPr>
                <w:rFonts w:asciiTheme="minorHAnsi" w:hAnsiTheme="minorHAnsi" w:cstheme="minorHAnsi"/>
                <w:color w:val="000000" w:themeColor="text1"/>
                <w:sz w:val="22"/>
                <w:szCs w:val="22"/>
              </w:rPr>
              <w:t xml:space="preserve"> moc</w:t>
            </w:r>
            <w:r w:rsidR="001B4AEC" w:rsidRPr="0009150F">
              <w:rPr>
                <w:rFonts w:asciiTheme="minorHAnsi" w:hAnsiTheme="minorHAnsi" w:cstheme="minorHAnsi"/>
                <w:color w:val="000000" w:themeColor="text1"/>
                <w:sz w:val="22"/>
                <w:szCs w:val="22"/>
              </w:rPr>
              <w:t>:</w:t>
            </w:r>
          </w:p>
          <w:p w14:paraId="2ABB9C57" w14:textId="7D985063" w:rsidR="001B4AEC" w:rsidRPr="0009150F" w:rsidRDefault="00E062D9" w:rsidP="001B4AEC">
            <w:pPr>
              <w:pStyle w:val="Akapitzlist"/>
              <w:numPr>
                <w:ilvl w:val="0"/>
                <w:numId w:val="19"/>
              </w:numPr>
              <w:autoSpaceDE w:val="0"/>
              <w:autoSpaceDN w:val="0"/>
              <w:adjustRightInd w:val="0"/>
              <w:spacing w:before="120"/>
              <w:jc w:val="both"/>
              <w:rPr>
                <w:rFonts w:asciiTheme="minorHAnsi" w:hAnsiTheme="minorHAnsi" w:cstheme="minorHAnsi"/>
                <w:color w:val="000000" w:themeColor="text1"/>
                <w:sz w:val="22"/>
                <w:szCs w:val="22"/>
              </w:rPr>
            </w:pPr>
            <w:r w:rsidRPr="0009150F">
              <w:rPr>
                <w:rFonts w:asciiTheme="minorHAnsi" w:hAnsiTheme="minorHAnsi" w:cstheme="minorHAnsi"/>
                <w:color w:val="000000" w:themeColor="text1"/>
                <w:sz w:val="22"/>
                <w:szCs w:val="22"/>
              </w:rPr>
              <w:t>co najmniej 700</w:t>
            </w:r>
            <w:r w:rsidR="009E796C" w:rsidRPr="0009150F">
              <w:rPr>
                <w:rFonts w:asciiTheme="minorHAnsi" w:hAnsiTheme="minorHAnsi" w:cstheme="minorHAnsi"/>
                <w:color w:val="000000" w:themeColor="text1"/>
                <w:sz w:val="22"/>
                <w:szCs w:val="22"/>
              </w:rPr>
              <w:t xml:space="preserve"> </w:t>
            </w:r>
            <w:r w:rsidRPr="0009150F">
              <w:rPr>
                <w:rFonts w:asciiTheme="minorHAnsi" w:hAnsiTheme="minorHAnsi" w:cstheme="minorHAnsi"/>
                <w:color w:val="000000" w:themeColor="text1"/>
                <w:sz w:val="22"/>
                <w:szCs w:val="22"/>
              </w:rPr>
              <w:t>k</w:t>
            </w:r>
            <w:r w:rsidR="00E53F02" w:rsidRPr="0009150F">
              <w:rPr>
                <w:rFonts w:asciiTheme="minorHAnsi" w:hAnsiTheme="minorHAnsi" w:cstheme="minorHAnsi"/>
                <w:color w:val="000000" w:themeColor="text1"/>
                <w:sz w:val="22"/>
                <w:szCs w:val="22"/>
              </w:rPr>
              <w:t>W</w:t>
            </w:r>
            <w:r w:rsidR="00BB463C" w:rsidRPr="0009150F">
              <w:rPr>
                <w:rFonts w:asciiTheme="minorHAnsi" w:hAnsiTheme="minorHAnsi" w:cstheme="minorHAnsi"/>
                <w:color w:val="000000" w:themeColor="text1"/>
                <w:sz w:val="22"/>
                <w:szCs w:val="22"/>
              </w:rPr>
              <w:t xml:space="preserve"> i jest  doprowadzone co najmniej do granicy  działki, na której jest lub będzie planowana budowa ogólnodostępnych stacji ładowania dużych mocy tj.: Miejsca Obsługi Podróżnych (MOP) znajdującego się bezpośrednio wzdłuż sieci drogowej TEN-T lub w odległości do 3 km jazdy od najbliższego zjazdu z drogi TEN-T, na którym znajduje się lub planowana jest budowa ogólnodostępnych stacji ładowania dużych mocy</w:t>
            </w:r>
          </w:p>
          <w:p w14:paraId="616D4F98" w14:textId="7D0DDAE6" w:rsidR="009E796C" w:rsidRPr="0009150F" w:rsidRDefault="009375A9" w:rsidP="009375A9">
            <w:pPr>
              <w:autoSpaceDE w:val="0"/>
              <w:autoSpaceDN w:val="0"/>
              <w:adjustRightInd w:val="0"/>
              <w:spacing w:before="120"/>
              <w:jc w:val="both"/>
              <w:rPr>
                <w:rFonts w:asciiTheme="minorHAnsi" w:hAnsiTheme="minorHAnsi" w:cstheme="minorHAnsi"/>
                <w:color w:val="000000" w:themeColor="text1"/>
                <w:sz w:val="22"/>
                <w:szCs w:val="22"/>
              </w:rPr>
            </w:pPr>
            <w:r w:rsidRPr="0009150F">
              <w:rPr>
                <w:rFonts w:asciiTheme="minorHAnsi" w:hAnsiTheme="minorHAnsi" w:cstheme="minorHAnsi"/>
                <w:color w:val="000000" w:themeColor="text1"/>
                <w:sz w:val="22"/>
                <w:szCs w:val="22"/>
              </w:rPr>
              <w:t xml:space="preserve"> </w:t>
            </w:r>
            <w:r w:rsidR="00E53F02" w:rsidRPr="0009150F">
              <w:rPr>
                <w:rFonts w:asciiTheme="minorHAnsi" w:hAnsiTheme="minorHAnsi" w:cstheme="minorHAnsi"/>
                <w:color w:val="000000" w:themeColor="text1"/>
                <w:sz w:val="22"/>
                <w:szCs w:val="22"/>
              </w:rPr>
              <w:t xml:space="preserve">lub </w:t>
            </w:r>
            <w:r w:rsidR="009E796C" w:rsidRPr="0009150F">
              <w:rPr>
                <w:rFonts w:asciiTheme="minorHAnsi" w:hAnsiTheme="minorHAnsi" w:cstheme="minorHAnsi"/>
                <w:color w:val="000000" w:themeColor="text1"/>
                <w:sz w:val="22"/>
                <w:szCs w:val="22"/>
              </w:rPr>
              <w:t xml:space="preserve"> </w:t>
            </w:r>
          </w:p>
          <w:p w14:paraId="484DA28C" w14:textId="549F8750" w:rsidR="00E03D4E" w:rsidRPr="003453B2" w:rsidRDefault="009375A9" w:rsidP="003453B2">
            <w:pPr>
              <w:pStyle w:val="Akapitzlist"/>
              <w:numPr>
                <w:ilvl w:val="0"/>
                <w:numId w:val="19"/>
              </w:numPr>
              <w:autoSpaceDE w:val="0"/>
              <w:autoSpaceDN w:val="0"/>
              <w:adjustRightInd w:val="0"/>
              <w:spacing w:before="120"/>
              <w:jc w:val="both"/>
              <w:rPr>
                <w:rFonts w:asciiTheme="minorHAnsi" w:hAnsiTheme="minorHAnsi" w:cstheme="minorHAnsi"/>
                <w:color w:val="000000" w:themeColor="text1"/>
                <w:sz w:val="22"/>
                <w:szCs w:val="22"/>
              </w:rPr>
            </w:pPr>
            <w:r w:rsidRPr="003453B2">
              <w:rPr>
                <w:rFonts w:asciiTheme="minorHAnsi" w:hAnsiTheme="minorHAnsi" w:cstheme="minorHAnsi"/>
                <w:color w:val="000000" w:themeColor="text1"/>
                <w:sz w:val="22"/>
                <w:szCs w:val="22"/>
              </w:rPr>
              <w:t xml:space="preserve">co najmniej </w:t>
            </w:r>
            <w:r w:rsidR="00E53F02" w:rsidRPr="003453B2">
              <w:rPr>
                <w:rFonts w:asciiTheme="minorHAnsi" w:hAnsiTheme="minorHAnsi" w:cstheme="minorHAnsi"/>
                <w:color w:val="000000" w:themeColor="text1"/>
                <w:sz w:val="22"/>
                <w:szCs w:val="22"/>
              </w:rPr>
              <w:t>350 kW</w:t>
            </w:r>
            <w:r w:rsidRPr="003453B2">
              <w:rPr>
                <w:rFonts w:asciiTheme="minorHAnsi" w:hAnsiTheme="minorHAnsi" w:cstheme="minorHAnsi"/>
                <w:color w:val="000000" w:themeColor="text1"/>
                <w:sz w:val="22"/>
                <w:szCs w:val="22"/>
              </w:rPr>
              <w:t xml:space="preserve"> </w:t>
            </w:r>
            <w:r w:rsidR="001B4AEC" w:rsidRPr="003453B2">
              <w:rPr>
                <w:rFonts w:asciiTheme="minorHAnsi" w:hAnsiTheme="minorHAnsi" w:cstheme="minorHAnsi"/>
                <w:color w:val="000000" w:themeColor="text1"/>
                <w:sz w:val="22"/>
                <w:szCs w:val="22"/>
              </w:rPr>
              <w:t xml:space="preserve"> i</w:t>
            </w:r>
            <w:r w:rsidRPr="003453B2">
              <w:rPr>
                <w:rFonts w:asciiTheme="minorHAnsi" w:hAnsiTheme="minorHAnsi" w:cstheme="minorHAnsi"/>
                <w:color w:val="000000" w:themeColor="text1"/>
                <w:sz w:val="22"/>
                <w:szCs w:val="22"/>
              </w:rPr>
              <w:t xml:space="preserve"> </w:t>
            </w:r>
            <w:r w:rsidR="00BB463C" w:rsidRPr="003453B2">
              <w:rPr>
                <w:rFonts w:asciiTheme="minorHAnsi" w:hAnsiTheme="minorHAnsi" w:cstheme="minorHAnsi"/>
                <w:color w:val="000000" w:themeColor="text1"/>
                <w:sz w:val="22"/>
                <w:szCs w:val="22"/>
              </w:rPr>
              <w:t xml:space="preserve">jest doprowadzone co najmniej do granicy  działki, na której jest lub będzie planowana budowa ogólnodostępnych stacji ładowania dużych mocy tj.: obszaru </w:t>
            </w:r>
            <w:r w:rsidR="00BB463C" w:rsidRPr="003453B2">
              <w:rPr>
                <w:rFonts w:asciiTheme="minorHAnsi" w:hAnsiTheme="minorHAnsi" w:cstheme="minorHAnsi"/>
                <w:color w:val="000000" w:themeColor="text1"/>
                <w:sz w:val="22"/>
                <w:szCs w:val="22"/>
              </w:rPr>
              <w:lastRenderedPageBreak/>
              <w:t>centrum logistycznego (DEPOT), bazy eksploatacyjnej lub terminalu intermodalnego lub w odległości do 3 km jazdy od tych obiektów, na którym znajduje się lub planowana jest budowa ogólnodostępnych stacji ładowania dużych mocy</w:t>
            </w:r>
            <w:r w:rsidR="009E796C" w:rsidRPr="003453B2" w:rsidDel="009E796C">
              <w:rPr>
                <w:rFonts w:asciiTheme="minorHAnsi" w:hAnsiTheme="minorHAnsi" w:cstheme="minorHAnsi"/>
                <w:color w:val="000000" w:themeColor="text1"/>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561A495" w14:textId="77777777" w:rsidR="00E062D9" w:rsidRPr="0009150F" w:rsidRDefault="00E062D9"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DF3CC28" w14:textId="77777777" w:rsidR="00E062D9" w:rsidRPr="0009150F" w:rsidRDefault="00E062D9" w:rsidP="003148DC">
            <w:pPr>
              <w:autoSpaceDE w:val="0"/>
              <w:autoSpaceDN w:val="0"/>
              <w:adjustRightInd w:val="0"/>
              <w:spacing w:before="120"/>
            </w:pPr>
          </w:p>
        </w:tc>
      </w:tr>
      <w:tr w:rsidR="003148DC" w:rsidRPr="0009150F" w14:paraId="1206BCB9"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287702C" w14:textId="54638C73" w:rsidR="003148DC" w:rsidRPr="0009150F" w:rsidRDefault="00E062D9"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8</w:t>
            </w:r>
            <w:r w:rsidR="003148DC"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60E721D2" w14:textId="22296D06" w:rsidR="003148DC" w:rsidRPr="0009150F" w:rsidRDefault="003148DC" w:rsidP="003148DC">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 xml:space="preserve">Przygotowanie instytucjonalne do wdrożenia przyjętego rozwiązania (możliwość wdrożenia </w:t>
            </w:r>
            <w:r w:rsidR="00D5137F" w:rsidRPr="0009150F">
              <w:rPr>
                <w:rFonts w:asciiTheme="minorHAnsi" w:hAnsiTheme="minorHAnsi" w:cstheme="minorHAnsi"/>
                <w:sz w:val="22"/>
                <w:szCs w:val="22"/>
              </w:rPr>
              <w:t>inwestycji</w:t>
            </w:r>
            <w:r w:rsidRPr="0009150F">
              <w:rPr>
                <w:rFonts w:asciiTheme="minorHAnsi" w:hAnsiTheme="minorHAnsi" w:cstheme="minorHAnsi"/>
                <w:sz w:val="22"/>
                <w:szCs w:val="22"/>
              </w:rPr>
              <w:t xml:space="preserve"> oraz utrzymania je</w:t>
            </w:r>
            <w:r w:rsidR="00D5137F" w:rsidRPr="0009150F">
              <w:rPr>
                <w:rFonts w:asciiTheme="minorHAnsi" w:hAnsiTheme="minorHAnsi" w:cstheme="minorHAnsi"/>
                <w:sz w:val="22"/>
                <w:szCs w:val="22"/>
              </w:rPr>
              <w:t>j</w:t>
            </w:r>
            <w:r w:rsidRPr="0009150F">
              <w:rPr>
                <w:rFonts w:asciiTheme="minorHAnsi" w:hAnsiTheme="minorHAnsi" w:cstheme="minorHAnsi"/>
                <w:sz w:val="22"/>
                <w:szCs w:val="22"/>
              </w:rPr>
              <w:t xml:space="preserve"> trwałości instytucjonalnej, w tym przejrzysta struktura własnościowa, forma prawna, czytelne relacje kontraktowe, itp.).</w:t>
            </w:r>
          </w:p>
        </w:tc>
        <w:tc>
          <w:tcPr>
            <w:tcW w:w="709" w:type="dxa"/>
            <w:tcBorders>
              <w:top w:val="single" w:sz="4" w:space="0" w:color="auto"/>
              <w:left w:val="single" w:sz="4" w:space="0" w:color="auto"/>
              <w:bottom w:val="single" w:sz="4" w:space="0" w:color="auto"/>
              <w:right w:val="single" w:sz="4" w:space="0" w:color="auto"/>
            </w:tcBorders>
          </w:tcPr>
          <w:p w14:paraId="1E096D54"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AB3E28A" w14:textId="77777777" w:rsidR="003148DC" w:rsidRPr="0009150F" w:rsidRDefault="003148DC" w:rsidP="003148DC">
            <w:pPr>
              <w:autoSpaceDE w:val="0"/>
              <w:autoSpaceDN w:val="0"/>
              <w:adjustRightInd w:val="0"/>
              <w:spacing w:before="120"/>
            </w:pPr>
          </w:p>
        </w:tc>
      </w:tr>
      <w:tr w:rsidR="003148DC" w:rsidRPr="0009150F" w14:paraId="086020B5"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2782D0F6" w14:textId="213C25FF" w:rsidR="003148DC" w:rsidRPr="0009150F" w:rsidRDefault="00E062D9"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9</w:t>
            </w:r>
            <w:r w:rsidR="003148DC"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47FC5DA" w14:textId="5CF341C7" w:rsidR="003148DC" w:rsidRPr="0009150F" w:rsidRDefault="003148DC" w:rsidP="00D23453">
            <w:pPr>
              <w:spacing w:before="120"/>
              <w:jc w:val="both"/>
              <w:rPr>
                <w:rFonts w:asciiTheme="minorHAnsi" w:hAnsiTheme="minorHAnsi" w:cstheme="minorHAnsi"/>
                <w:sz w:val="22"/>
                <w:szCs w:val="22"/>
              </w:rPr>
            </w:pPr>
            <w:r w:rsidRPr="0009150F">
              <w:rPr>
                <w:rFonts w:asciiTheme="minorHAnsi" w:hAnsiTheme="minorHAnsi" w:cstheme="minorHAnsi"/>
                <w:sz w:val="22"/>
                <w:szCs w:val="22"/>
              </w:rPr>
              <w:t xml:space="preserve">Realność oraz zasadność (spójność działań z dokumentami strategicznymi) wdrożenia przyjętego rozwiązania, zagwarantowania dotrzymania deklarowanego efektu ekologicznego poprzez właściwą eksploatację i konserwację wyposażenia/urządzeń wraz z wytworzoną do ich prawidłowego funkcjonowania infrastrukturą techniczną </w:t>
            </w:r>
            <w:r w:rsidR="008755B1" w:rsidRPr="0009150F">
              <w:rPr>
                <w:rFonts w:asciiTheme="minorHAnsi" w:hAnsiTheme="minorHAnsi" w:cstheme="minorHAnsi"/>
                <w:sz w:val="22"/>
                <w:szCs w:val="22"/>
              </w:rPr>
              <w:br/>
            </w:r>
            <w:r w:rsidRPr="0009150F">
              <w:rPr>
                <w:rFonts w:asciiTheme="minorHAnsi" w:hAnsiTheme="minorHAnsi" w:cstheme="minorHAnsi"/>
                <w:sz w:val="22"/>
                <w:szCs w:val="22"/>
              </w:rPr>
              <w:t>(w tym: uprawdopodobnienie osiągnięcia i utrzymania trwałości rzeczowej i ekologicznej, realistyczny harmonogram realizacji inwestycji)</w:t>
            </w:r>
            <w:r w:rsidR="00D62F55" w:rsidRPr="000915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54D610B7"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34C1220" w14:textId="77777777" w:rsidR="003148DC" w:rsidRPr="0009150F" w:rsidRDefault="003148DC" w:rsidP="003148DC">
            <w:pPr>
              <w:autoSpaceDE w:val="0"/>
              <w:autoSpaceDN w:val="0"/>
              <w:adjustRightInd w:val="0"/>
              <w:spacing w:before="120"/>
            </w:pPr>
          </w:p>
        </w:tc>
      </w:tr>
      <w:tr w:rsidR="003148DC" w:rsidRPr="0009150F" w14:paraId="0473CD9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6AD37361" w14:textId="4BD6AD08" w:rsidR="003148DC" w:rsidRPr="0009150F" w:rsidRDefault="00E062D9" w:rsidP="003148DC">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10</w:t>
            </w:r>
            <w:r w:rsidR="003148DC"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CFE2FD9" w14:textId="23B0154F" w:rsidR="003148DC" w:rsidRPr="0009150F" w:rsidRDefault="003148DC" w:rsidP="003148DC">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Spójność danych przedstawionych we wniosku i poszczególnych załącznikach (w szczególności danych finansowych i zakresu rzeczowego opisanych we wniosku i załącznikach</w:t>
            </w:r>
            <w:r w:rsidR="000C543C" w:rsidRPr="0009150F">
              <w:rPr>
                <w:rFonts w:asciiTheme="minorHAnsi" w:hAnsiTheme="minorHAnsi" w:cstheme="minorHAnsi"/>
                <w:sz w:val="22"/>
                <w:szCs w:val="22"/>
              </w:rPr>
              <w:t>)</w:t>
            </w:r>
            <w:r w:rsidRPr="000915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E7E68FB"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28E3428" w14:textId="77777777" w:rsidR="003148DC" w:rsidRPr="0009150F" w:rsidRDefault="003148DC" w:rsidP="003148DC">
            <w:pPr>
              <w:autoSpaceDE w:val="0"/>
              <w:autoSpaceDN w:val="0"/>
              <w:adjustRightInd w:val="0"/>
              <w:spacing w:before="120"/>
            </w:pPr>
          </w:p>
        </w:tc>
      </w:tr>
      <w:tr w:rsidR="003148DC" w:rsidRPr="0009150F" w14:paraId="4A2D410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69A37C70" w14:textId="239747F0" w:rsidR="003148DC" w:rsidRPr="0009150F" w:rsidRDefault="003148DC"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w:t>
            </w:r>
            <w:r w:rsidR="00E062D9" w:rsidRPr="0009150F">
              <w:rPr>
                <w:rFonts w:asciiTheme="minorHAnsi" w:hAnsiTheme="minorHAnsi" w:cstheme="minorHAnsi"/>
                <w:sz w:val="22"/>
                <w:szCs w:val="22"/>
              </w:rPr>
              <w:t>1</w:t>
            </w:r>
            <w:r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4773019" w14:textId="7020EEBB" w:rsidR="003148DC" w:rsidRPr="0009150F" w:rsidRDefault="00A135ED" w:rsidP="003148DC">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Przedstawienie realnego</w:t>
            </w:r>
            <w:r w:rsidR="006B50A9" w:rsidRPr="0009150F">
              <w:rPr>
                <w:rFonts w:asciiTheme="minorHAnsi" w:hAnsiTheme="minorHAnsi" w:cstheme="minorHAnsi"/>
                <w:sz w:val="22"/>
                <w:szCs w:val="22"/>
              </w:rPr>
              <w:t>, uzasa</w:t>
            </w:r>
            <w:r w:rsidRPr="0009150F">
              <w:rPr>
                <w:rFonts w:asciiTheme="minorHAnsi" w:hAnsiTheme="minorHAnsi" w:cstheme="minorHAnsi"/>
                <w:sz w:val="22"/>
                <w:szCs w:val="22"/>
              </w:rPr>
              <w:t>dnionego harmonogramu prac</w:t>
            </w:r>
            <w:r w:rsidR="00A771A5" w:rsidRPr="0009150F">
              <w:rPr>
                <w:rFonts w:asciiTheme="minorHAnsi" w:hAnsiTheme="minorHAnsi" w:cstheme="minorHAnsi"/>
                <w:sz w:val="22"/>
                <w:szCs w:val="22"/>
              </w:rPr>
              <w:t>, w tym obejmującego</w:t>
            </w:r>
            <w:r w:rsidR="003148DC" w:rsidRPr="0009150F">
              <w:rPr>
                <w:rFonts w:asciiTheme="minorHAnsi" w:hAnsiTheme="minorHAnsi" w:cstheme="minorHAnsi"/>
                <w:sz w:val="22"/>
                <w:szCs w:val="22"/>
              </w:rPr>
              <w:t xml:space="preserve"> </w:t>
            </w:r>
            <w:r w:rsidR="00F37133" w:rsidRPr="0009150F">
              <w:rPr>
                <w:rFonts w:asciiTheme="minorHAnsi" w:hAnsiTheme="minorHAnsi" w:cstheme="minorHAnsi"/>
                <w:sz w:val="22"/>
                <w:szCs w:val="22"/>
              </w:rPr>
              <w:t xml:space="preserve">uzyskanie </w:t>
            </w:r>
            <w:r w:rsidR="003148DC" w:rsidRPr="0009150F">
              <w:rPr>
                <w:rFonts w:asciiTheme="minorHAnsi" w:hAnsiTheme="minorHAnsi" w:cstheme="minorHAnsi"/>
                <w:sz w:val="22"/>
                <w:szCs w:val="22"/>
              </w:rPr>
              <w:t>niezbędnych do realizacji projektu pozwoleń i decyzji administracyjnych.</w:t>
            </w:r>
          </w:p>
        </w:tc>
        <w:tc>
          <w:tcPr>
            <w:tcW w:w="709" w:type="dxa"/>
            <w:tcBorders>
              <w:top w:val="single" w:sz="4" w:space="0" w:color="auto"/>
              <w:left w:val="single" w:sz="4" w:space="0" w:color="auto"/>
              <w:bottom w:val="single" w:sz="4" w:space="0" w:color="auto"/>
              <w:right w:val="single" w:sz="4" w:space="0" w:color="auto"/>
            </w:tcBorders>
          </w:tcPr>
          <w:p w14:paraId="6B7CD020"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2E493970" w14:textId="77777777" w:rsidR="003148DC" w:rsidRPr="0009150F" w:rsidRDefault="003148DC" w:rsidP="003148DC">
            <w:pPr>
              <w:autoSpaceDE w:val="0"/>
              <w:autoSpaceDN w:val="0"/>
              <w:adjustRightInd w:val="0"/>
              <w:spacing w:before="120"/>
            </w:pPr>
          </w:p>
        </w:tc>
      </w:tr>
      <w:tr w:rsidR="003148DC" w:rsidRPr="0009150F" w14:paraId="59CC5F8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5254E83" w14:textId="50EB394A" w:rsidR="003148DC" w:rsidRPr="0009150F" w:rsidRDefault="003148DC"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w:t>
            </w:r>
            <w:r w:rsidR="00E062D9" w:rsidRPr="0009150F">
              <w:rPr>
                <w:rFonts w:asciiTheme="minorHAnsi" w:hAnsiTheme="minorHAnsi" w:cstheme="minorHAnsi"/>
                <w:sz w:val="22"/>
                <w:szCs w:val="22"/>
              </w:rPr>
              <w:t>2</w:t>
            </w:r>
            <w:r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4341D9AC" w14:textId="7B2F51AC" w:rsidR="003148DC" w:rsidRPr="0009150F" w:rsidRDefault="003148DC" w:rsidP="003148DC">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Poprawność kalkulacji kosztów inwestycyjnych pod warunkiem zaakceptowania ich kwalifikowalności w poszczególnych kategoriach, w tym kosztów uzyskania efektu ekologicznego (wyposażenie/</w:t>
            </w:r>
            <w:r w:rsidR="008755B1" w:rsidRPr="0009150F">
              <w:rPr>
                <w:rFonts w:asciiTheme="minorHAnsi" w:hAnsiTheme="minorHAnsi" w:cstheme="minorHAnsi"/>
                <w:sz w:val="22"/>
                <w:szCs w:val="22"/>
              </w:rPr>
              <w:t xml:space="preserve"> </w:t>
            </w:r>
            <w:r w:rsidRPr="0009150F">
              <w:rPr>
                <w:rFonts w:asciiTheme="minorHAnsi" w:hAnsiTheme="minorHAnsi" w:cstheme="minorHAnsi"/>
                <w:sz w:val="22"/>
                <w:szCs w:val="22"/>
              </w:rPr>
              <w:t>urządzenia wraz z całą infrastrukturą techniczną do ich prawidłowego działania).</w:t>
            </w:r>
          </w:p>
          <w:p w14:paraId="0573B238" w14:textId="54FA7FEB" w:rsidR="003148DC" w:rsidRPr="0009150F" w:rsidRDefault="003148DC" w:rsidP="00D77827">
            <w:pPr>
              <w:autoSpaceDE w:val="0"/>
              <w:autoSpaceDN w:val="0"/>
              <w:adjustRightInd w:val="0"/>
              <w:spacing w:before="120"/>
              <w:jc w:val="both"/>
              <w:rPr>
                <w:rFonts w:asciiTheme="minorHAnsi" w:hAnsiTheme="minorHAnsi" w:cstheme="minorHAnsi"/>
                <w:sz w:val="22"/>
                <w:szCs w:val="22"/>
              </w:rPr>
            </w:pPr>
            <w:r w:rsidRPr="0009150F">
              <w:rPr>
                <w:rFonts w:asciiTheme="minorHAnsi" w:hAnsiTheme="minorHAnsi" w:cstheme="minorHAnsi"/>
                <w:sz w:val="22"/>
                <w:szCs w:val="22"/>
              </w:rPr>
              <w:t xml:space="preserve">Zaproponowane stawki nie mogą odbiegać od stosowanych na rynku o </w:t>
            </w:r>
            <w:r w:rsidR="00D77827" w:rsidRPr="0009150F">
              <w:rPr>
                <w:rFonts w:asciiTheme="minorHAnsi" w:hAnsiTheme="minorHAnsi" w:cstheme="minorHAnsi"/>
                <w:sz w:val="22"/>
                <w:szCs w:val="22"/>
              </w:rPr>
              <w:t xml:space="preserve">więcej </w:t>
            </w:r>
            <w:r w:rsidRPr="0009150F">
              <w:rPr>
                <w:rFonts w:asciiTheme="minorHAnsi" w:hAnsiTheme="minorHAnsi" w:cstheme="minorHAnsi"/>
                <w:sz w:val="22"/>
                <w:szCs w:val="22"/>
              </w:rPr>
              <w:t xml:space="preserve">niż </w:t>
            </w:r>
            <w:r w:rsidR="00F37133" w:rsidRPr="0009150F">
              <w:rPr>
                <w:rFonts w:asciiTheme="minorHAnsi" w:hAnsiTheme="minorHAnsi" w:cstheme="minorHAnsi"/>
                <w:sz w:val="22"/>
                <w:szCs w:val="22"/>
              </w:rPr>
              <w:t>3</w:t>
            </w:r>
            <w:r w:rsidRPr="0009150F">
              <w:rPr>
                <w:rFonts w:asciiTheme="minorHAnsi" w:hAnsiTheme="minorHAnsi" w:cstheme="minorHAnsi"/>
                <w:sz w:val="22"/>
                <w:szCs w:val="22"/>
              </w:rPr>
              <w:t>0%</w:t>
            </w:r>
            <w:r w:rsidR="00376E23" w:rsidRPr="0009150F">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288B90E" w14:textId="77777777" w:rsidR="003148DC" w:rsidRPr="0009150F"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12301618" w14:textId="77777777" w:rsidR="003148DC" w:rsidRPr="0009150F" w:rsidRDefault="003148DC" w:rsidP="003148DC">
            <w:pPr>
              <w:autoSpaceDE w:val="0"/>
              <w:autoSpaceDN w:val="0"/>
              <w:adjustRightInd w:val="0"/>
              <w:spacing w:before="120"/>
            </w:pPr>
          </w:p>
        </w:tc>
      </w:tr>
      <w:tr w:rsidR="008C70FB" w:rsidRPr="0009150F" w14:paraId="516F4F37"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50225849" w14:textId="39C975AC" w:rsidR="008C70FB" w:rsidRPr="0009150F" w:rsidRDefault="008C70FB"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w:t>
            </w:r>
            <w:r w:rsidR="00E062D9" w:rsidRPr="0009150F">
              <w:rPr>
                <w:rFonts w:asciiTheme="minorHAnsi" w:hAnsiTheme="minorHAnsi" w:cstheme="minorHAnsi"/>
                <w:sz w:val="22"/>
                <w:szCs w:val="22"/>
              </w:rPr>
              <w:t>3</w:t>
            </w:r>
            <w:r w:rsidRPr="0009150F">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50A1D10B" w14:textId="592115A2" w:rsidR="008C70FB" w:rsidRPr="0009150F" w:rsidRDefault="00AC11C8" w:rsidP="00A27B61">
            <w:pPr>
              <w:autoSpaceDE w:val="0"/>
              <w:autoSpaceDN w:val="0"/>
              <w:adjustRightInd w:val="0"/>
              <w:spacing w:before="120"/>
              <w:jc w:val="both"/>
              <w:rPr>
                <w:rFonts w:asciiTheme="minorHAnsi" w:hAnsiTheme="minorHAnsi" w:cstheme="minorHAnsi"/>
                <w:sz w:val="22"/>
                <w:szCs w:val="22"/>
              </w:rPr>
            </w:pPr>
            <w:r w:rsidRPr="0009150F">
              <w:rPr>
                <w:rFonts w:asciiTheme="minorHAnsi" w:eastAsia="Calibri" w:hAnsiTheme="minorHAnsi" w:cstheme="minorBidi"/>
                <w:sz w:val="22"/>
                <w:szCs w:val="22"/>
                <w:lang w:eastAsia="en-US"/>
              </w:rPr>
              <w:t>Oświadczenie Wnioskodawcy, że wykonuje wyłącznie działalność polegającą na dystrybucji energii elektrycznej, przy czym zastrzeżenie dotyczące wyłączności oznacza podleganie zakazowi ujętemu w art. 9d ust. 1h ustawy z</w:t>
            </w:r>
            <w:r w:rsidR="0029205B" w:rsidRPr="0009150F">
              <w:rPr>
                <w:rFonts w:asciiTheme="minorHAnsi" w:eastAsia="Calibri" w:hAnsiTheme="minorHAnsi" w:cstheme="minorBidi"/>
                <w:sz w:val="22"/>
                <w:szCs w:val="22"/>
                <w:lang w:eastAsia="en-US"/>
              </w:rPr>
              <w:t xml:space="preserve"> dnia 10 kwietnia 1997 r. Prawo </w:t>
            </w:r>
            <w:r w:rsidRPr="0009150F">
              <w:rPr>
                <w:rFonts w:asciiTheme="minorHAnsi" w:eastAsia="Calibri" w:hAnsiTheme="minorHAnsi" w:cstheme="minorBidi"/>
                <w:sz w:val="22"/>
                <w:szCs w:val="22"/>
                <w:lang w:eastAsia="en-US"/>
              </w:rPr>
              <w:t>energetyczne</w:t>
            </w:r>
            <w:r w:rsidR="00553EAE" w:rsidRPr="0009150F">
              <w:rPr>
                <w:rFonts w:asciiTheme="minorHAnsi" w:eastAsia="Calibri" w:hAnsiTheme="minorHAnsi" w:cstheme="minorBidi"/>
                <w:sz w:val="22"/>
                <w:szCs w:val="22"/>
                <w:lang w:eastAsia="en-US"/>
              </w:rPr>
              <w:t xml:space="preserve"> (t</w:t>
            </w:r>
            <w:r w:rsidR="00E558C8" w:rsidRPr="0009150F">
              <w:rPr>
                <w:rFonts w:asciiTheme="minorHAnsi" w:eastAsia="Calibri" w:hAnsiTheme="minorHAnsi" w:cstheme="minorBidi"/>
                <w:sz w:val="22"/>
                <w:szCs w:val="22"/>
                <w:lang w:eastAsia="en-US"/>
              </w:rPr>
              <w:t>.</w:t>
            </w:r>
            <w:r w:rsidR="00553EAE" w:rsidRPr="0009150F">
              <w:rPr>
                <w:rFonts w:asciiTheme="minorHAnsi" w:eastAsia="Calibri" w:hAnsiTheme="minorHAnsi" w:cstheme="minorBidi"/>
                <w:sz w:val="22"/>
                <w:szCs w:val="22"/>
                <w:lang w:eastAsia="en-US"/>
              </w:rPr>
              <w:t>j. Dz. U. z</w:t>
            </w:r>
            <w:r w:rsidR="00D7036B" w:rsidRPr="0009150F">
              <w:rPr>
                <w:rFonts w:asciiTheme="minorHAnsi" w:eastAsia="Calibri" w:hAnsiTheme="minorHAnsi" w:cstheme="minorBidi"/>
                <w:sz w:val="22"/>
                <w:szCs w:val="22"/>
                <w:lang w:eastAsia="en-US"/>
              </w:rPr>
              <w:t xml:space="preserve"> 2021 r. poz. 716, z późn. zm.)</w:t>
            </w:r>
            <w:r w:rsidRPr="0009150F">
              <w:rPr>
                <w:rFonts w:asciiTheme="minorHAnsi" w:eastAsia="Calibri" w:hAnsiTheme="minorHAnsi" w:cstheme="minorBid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ADD7BBE" w14:textId="77777777" w:rsidR="008C70FB" w:rsidRPr="0009150F" w:rsidRDefault="008C70FB"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4DE125AD" w14:textId="77777777" w:rsidR="008C70FB" w:rsidRPr="0009150F" w:rsidRDefault="008C70FB" w:rsidP="003148DC">
            <w:pPr>
              <w:autoSpaceDE w:val="0"/>
              <w:autoSpaceDN w:val="0"/>
              <w:adjustRightInd w:val="0"/>
              <w:spacing w:before="120"/>
            </w:pPr>
          </w:p>
        </w:tc>
      </w:tr>
      <w:tr w:rsidR="00E062D9" w:rsidRPr="0009150F" w14:paraId="2AC8A0D9"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1D9E799D" w14:textId="355D70E7" w:rsidR="00E062D9" w:rsidRPr="0009150F" w:rsidRDefault="00E062D9" w:rsidP="00D23453">
            <w:pPr>
              <w:autoSpaceDE w:val="0"/>
              <w:autoSpaceDN w:val="0"/>
              <w:adjustRightInd w:val="0"/>
              <w:spacing w:before="120"/>
              <w:jc w:val="center"/>
              <w:rPr>
                <w:rFonts w:asciiTheme="minorHAnsi" w:hAnsiTheme="minorHAnsi" w:cstheme="minorHAnsi"/>
                <w:sz w:val="22"/>
                <w:szCs w:val="22"/>
              </w:rPr>
            </w:pPr>
            <w:r w:rsidRPr="0009150F">
              <w:rPr>
                <w:rFonts w:asciiTheme="minorHAnsi" w:hAnsiTheme="minorHAnsi" w:cstheme="minorHAnsi"/>
                <w:sz w:val="22"/>
                <w:szCs w:val="22"/>
              </w:rPr>
              <w:t>14.</w:t>
            </w:r>
          </w:p>
        </w:tc>
        <w:tc>
          <w:tcPr>
            <w:tcW w:w="6329" w:type="dxa"/>
            <w:tcBorders>
              <w:top w:val="single" w:sz="4" w:space="0" w:color="auto"/>
              <w:left w:val="single" w:sz="4" w:space="0" w:color="auto"/>
              <w:bottom w:val="single" w:sz="4" w:space="0" w:color="auto"/>
              <w:right w:val="single" w:sz="4" w:space="0" w:color="auto"/>
            </w:tcBorders>
            <w:vAlign w:val="center"/>
          </w:tcPr>
          <w:p w14:paraId="63AC4CF5" w14:textId="3106A0A9" w:rsidR="00E062D9" w:rsidRPr="0009150F" w:rsidRDefault="00E062D9" w:rsidP="00A27B61">
            <w:pPr>
              <w:autoSpaceDE w:val="0"/>
              <w:autoSpaceDN w:val="0"/>
              <w:adjustRightInd w:val="0"/>
              <w:spacing w:before="120"/>
              <w:jc w:val="both"/>
              <w:rPr>
                <w:rFonts w:asciiTheme="minorHAnsi" w:eastAsia="Calibri" w:hAnsiTheme="minorHAnsi" w:cstheme="minorBidi"/>
                <w:sz w:val="22"/>
                <w:szCs w:val="22"/>
                <w:lang w:eastAsia="en-US"/>
              </w:rPr>
            </w:pPr>
            <w:r w:rsidRPr="0009150F">
              <w:rPr>
                <w:rFonts w:asciiTheme="minorHAnsi" w:hAnsiTheme="minorHAnsi" w:cstheme="minorBidi"/>
                <w:color w:val="000000" w:themeColor="text1"/>
                <w:sz w:val="22"/>
                <w:szCs w:val="22"/>
              </w:rPr>
              <w:t>Oświadczenie Wnioskodawcy, że inwestycja objęta dofinansowaniem, będzie zgodna z zasadą DNSH (Do No Significant Harm) „Nie wyrządzaj znaczących szkód" (zgodności z zasadą DNSH wg. Kryteriów technicznych wg. Załączników I i II do Rozporządzenia 2021/2139</w:t>
            </w:r>
          </w:p>
        </w:tc>
        <w:tc>
          <w:tcPr>
            <w:tcW w:w="709" w:type="dxa"/>
            <w:tcBorders>
              <w:top w:val="single" w:sz="4" w:space="0" w:color="auto"/>
              <w:left w:val="single" w:sz="4" w:space="0" w:color="auto"/>
              <w:bottom w:val="single" w:sz="4" w:space="0" w:color="auto"/>
              <w:right w:val="single" w:sz="4" w:space="0" w:color="auto"/>
            </w:tcBorders>
          </w:tcPr>
          <w:p w14:paraId="6411336F" w14:textId="77777777" w:rsidR="00E062D9" w:rsidRPr="0009150F" w:rsidRDefault="00E062D9"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02EF20C4" w14:textId="77777777" w:rsidR="00E062D9" w:rsidRPr="0009150F" w:rsidRDefault="00E062D9" w:rsidP="003148DC">
            <w:pPr>
              <w:autoSpaceDE w:val="0"/>
              <w:autoSpaceDN w:val="0"/>
              <w:adjustRightInd w:val="0"/>
              <w:spacing w:before="120"/>
            </w:pPr>
          </w:p>
        </w:tc>
      </w:tr>
      <w:tr w:rsidR="003148DC" w:rsidRPr="0009150F" w14:paraId="3644E295" w14:textId="77777777" w:rsidTr="00C36629">
        <w:trPr>
          <w:cantSplit/>
          <w:trHeight w:val="267"/>
        </w:trPr>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5722D326" w14:textId="77777777" w:rsidR="003148DC" w:rsidRPr="0009150F" w:rsidRDefault="003148DC" w:rsidP="003148DC">
            <w:pPr>
              <w:autoSpaceDE w:val="0"/>
              <w:autoSpaceDN w:val="0"/>
              <w:adjustRightInd w:val="0"/>
              <w:spacing w:before="120"/>
              <w:rPr>
                <w:rFonts w:asciiTheme="minorHAnsi" w:hAnsiTheme="minorHAnsi" w:cstheme="minorHAnsi"/>
                <w:i/>
                <w:iCs/>
                <w:color w:val="000000"/>
                <w:sz w:val="20"/>
                <w:szCs w:val="20"/>
              </w:rPr>
            </w:pPr>
            <w:r w:rsidRPr="0009150F">
              <w:rPr>
                <w:rFonts w:asciiTheme="minorHAnsi" w:hAnsiTheme="minorHAnsi" w:cstheme="minorHAnsi"/>
                <w:i/>
                <w:iCs/>
                <w:color w:val="000000"/>
                <w:sz w:val="20"/>
                <w:szCs w:val="20"/>
              </w:rPr>
              <w:t>Zasady oceny:</w:t>
            </w:r>
          </w:p>
          <w:p w14:paraId="6E0B3497" w14:textId="77777777" w:rsidR="003148DC" w:rsidRPr="0009150F" w:rsidRDefault="003148DC" w:rsidP="003148DC">
            <w:pPr>
              <w:spacing w:before="120"/>
              <w:rPr>
                <w:rFonts w:asciiTheme="minorHAnsi" w:hAnsiTheme="minorHAnsi" w:cstheme="minorHAnsi"/>
                <w:sz w:val="20"/>
                <w:szCs w:val="20"/>
              </w:rPr>
            </w:pPr>
            <w:r w:rsidRPr="0009150F">
              <w:rPr>
                <w:rFonts w:asciiTheme="minorHAnsi" w:hAnsiTheme="minorHAnsi" w:cstheme="minorHAnsi"/>
                <w:iCs/>
                <w:sz w:val="20"/>
                <w:szCs w:val="20"/>
              </w:rPr>
              <w:t xml:space="preserve">Ocena przeprowadzana jest na podstawie </w:t>
            </w:r>
            <w:r w:rsidRPr="0009150F">
              <w:rPr>
                <w:rFonts w:asciiTheme="minorHAnsi" w:hAnsiTheme="minorHAnsi" w:cstheme="minorHAnsi"/>
                <w:sz w:val="20"/>
                <w:szCs w:val="20"/>
              </w:rPr>
              <w:t>zweryfikowanych przez NFOŚiGW danych przedstawionych we wniosku (wraz z załącznikami)</w:t>
            </w:r>
            <w:r w:rsidRPr="0009150F">
              <w:rPr>
                <w:rFonts w:asciiTheme="minorHAnsi" w:hAnsiTheme="minorHAnsi" w:cstheme="minorHAnsi"/>
                <w:i/>
                <w:sz w:val="20"/>
                <w:szCs w:val="20"/>
              </w:rPr>
              <w:t>.</w:t>
            </w:r>
          </w:p>
          <w:p w14:paraId="3EED7240" w14:textId="27AADB0D" w:rsidR="003148DC" w:rsidRPr="0009150F" w:rsidRDefault="00C4139B" w:rsidP="009423F0">
            <w:pPr>
              <w:spacing w:before="120"/>
            </w:pPr>
            <w:r w:rsidRPr="0009150F">
              <w:rPr>
                <w:rFonts w:asciiTheme="minorHAnsi" w:hAnsiTheme="minorHAnsi" w:cstheme="minorHAnsi"/>
                <w:iCs/>
                <w:sz w:val="20"/>
                <w:szCs w:val="20"/>
              </w:rPr>
              <w:t xml:space="preserve">Brak złożenia wymaganego oświadczenia lub negatywna ocena </w:t>
            </w:r>
            <w:r w:rsidR="00596563" w:rsidRPr="0009150F">
              <w:rPr>
                <w:rFonts w:asciiTheme="minorHAnsi" w:hAnsiTheme="minorHAnsi" w:cstheme="minorHAnsi"/>
                <w:iCs/>
                <w:sz w:val="20"/>
                <w:szCs w:val="20"/>
              </w:rPr>
              <w:t xml:space="preserve">któregokolwiek </w:t>
            </w:r>
            <w:r w:rsidR="00FB7635" w:rsidRPr="0009150F">
              <w:rPr>
                <w:rFonts w:asciiTheme="minorHAnsi" w:hAnsiTheme="minorHAnsi" w:cstheme="minorHAnsi"/>
                <w:iCs/>
                <w:sz w:val="20"/>
                <w:szCs w:val="20"/>
              </w:rPr>
              <w:t xml:space="preserve">z </w:t>
            </w:r>
            <w:r w:rsidRPr="0009150F">
              <w:rPr>
                <w:rFonts w:asciiTheme="minorHAnsi" w:hAnsiTheme="minorHAnsi" w:cstheme="minorHAnsi"/>
                <w:iCs/>
                <w:sz w:val="20"/>
                <w:szCs w:val="20"/>
              </w:rPr>
              <w:t>kryteriów</w:t>
            </w:r>
            <w:r w:rsidRPr="0009150F" w:rsidDel="00C4139B">
              <w:rPr>
                <w:rFonts w:asciiTheme="minorHAnsi" w:hAnsiTheme="minorHAnsi" w:cstheme="minorHAnsi"/>
                <w:iCs/>
                <w:sz w:val="20"/>
                <w:szCs w:val="20"/>
              </w:rPr>
              <w:t xml:space="preserve"> </w:t>
            </w:r>
            <w:r w:rsidR="003148DC" w:rsidRPr="0009150F">
              <w:rPr>
                <w:rFonts w:asciiTheme="minorHAnsi" w:hAnsiTheme="minorHAnsi" w:cstheme="minorHAnsi"/>
                <w:iCs/>
                <w:sz w:val="20"/>
                <w:szCs w:val="20"/>
              </w:rPr>
              <w:t>1-1</w:t>
            </w:r>
            <w:r w:rsidR="009423F0" w:rsidRPr="0009150F">
              <w:rPr>
                <w:rFonts w:asciiTheme="minorHAnsi" w:hAnsiTheme="minorHAnsi" w:cstheme="minorHAnsi"/>
                <w:iCs/>
                <w:sz w:val="20"/>
                <w:szCs w:val="20"/>
              </w:rPr>
              <w:t>2</w:t>
            </w:r>
            <w:r w:rsidR="003148DC" w:rsidRPr="0009150F">
              <w:rPr>
                <w:rFonts w:asciiTheme="minorHAnsi" w:hAnsiTheme="minorHAnsi" w:cstheme="minorHAnsi"/>
                <w:iCs/>
                <w:sz w:val="20"/>
                <w:szCs w:val="20"/>
              </w:rPr>
              <w:t xml:space="preserve"> </w:t>
            </w:r>
            <w:r w:rsidR="003148DC" w:rsidRPr="0009150F">
              <w:rPr>
                <w:rFonts w:asciiTheme="minorHAnsi" w:hAnsiTheme="minorHAnsi" w:cstheme="minorHAnsi"/>
                <w:b/>
                <w:bCs/>
                <w:i/>
                <w:sz w:val="20"/>
                <w:szCs w:val="20"/>
              </w:rPr>
              <w:t>powoduje odrzucenie wniosku</w:t>
            </w:r>
          </w:p>
        </w:tc>
      </w:tr>
    </w:tbl>
    <w:p w14:paraId="602B8FC8" w14:textId="6B9A3B8B" w:rsidR="00493FE7" w:rsidRPr="0009150F" w:rsidRDefault="00493FE7" w:rsidP="00B951A6">
      <w:pPr>
        <w:rPr>
          <w:rFonts w:asciiTheme="minorHAnsi" w:hAnsiTheme="minorHAnsi"/>
          <w:b/>
          <w:sz w:val="28"/>
          <w:szCs w:val="28"/>
        </w:rPr>
      </w:pPr>
    </w:p>
    <w:p w14:paraId="615D2047" w14:textId="77777777" w:rsidR="008755B1" w:rsidRPr="0009150F" w:rsidRDefault="008755B1" w:rsidP="00B951A6">
      <w:pPr>
        <w:rPr>
          <w:rFonts w:asciiTheme="minorHAnsi" w:hAnsiTheme="minorHAnsi"/>
          <w:b/>
          <w:sz w:val="28"/>
          <w:szCs w:val="28"/>
        </w:rPr>
      </w:pPr>
    </w:p>
    <w:p w14:paraId="2F60AFF0" w14:textId="77777777" w:rsidR="009E796C" w:rsidRPr="0009150F" w:rsidRDefault="009E796C" w:rsidP="00B951A6">
      <w:pPr>
        <w:rPr>
          <w:rFonts w:asciiTheme="minorHAnsi" w:hAnsiTheme="minorHAnsi"/>
          <w:b/>
          <w:sz w:val="28"/>
          <w:szCs w:val="28"/>
        </w:rPr>
      </w:pPr>
    </w:p>
    <w:p w14:paraId="2F0E2FEF" w14:textId="77777777" w:rsidR="009E796C" w:rsidRPr="0009150F" w:rsidRDefault="009E796C" w:rsidP="00B951A6">
      <w:pPr>
        <w:rPr>
          <w:rFonts w:asciiTheme="minorHAnsi" w:hAnsiTheme="minorHAnsi"/>
          <w:b/>
          <w:sz w:val="28"/>
          <w:szCs w:val="28"/>
        </w:rPr>
      </w:pP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322"/>
        <w:gridCol w:w="709"/>
        <w:gridCol w:w="709"/>
      </w:tblGrid>
      <w:tr w:rsidR="004A633B" w:rsidRPr="0009150F" w14:paraId="018DE66C" w14:textId="77777777" w:rsidTr="00E1558D">
        <w:trPr>
          <w:cantSplit/>
          <w:trHeight w:val="219"/>
        </w:trPr>
        <w:tc>
          <w:tcPr>
            <w:tcW w:w="1186" w:type="dxa"/>
            <w:shd w:val="clear" w:color="auto" w:fill="BFBFBF"/>
            <w:vAlign w:val="center"/>
          </w:tcPr>
          <w:p w14:paraId="0237C2E0" w14:textId="4EB0BEB6" w:rsidR="004A633B" w:rsidRPr="0009150F" w:rsidRDefault="00C45107" w:rsidP="00E1558D">
            <w:pPr>
              <w:autoSpaceDE w:val="0"/>
              <w:autoSpaceDN w:val="0"/>
              <w:adjustRightInd w:val="0"/>
              <w:spacing w:before="120"/>
              <w:jc w:val="center"/>
              <w:rPr>
                <w:rFonts w:asciiTheme="minorHAnsi" w:hAnsiTheme="minorHAnsi"/>
                <w:b/>
              </w:rPr>
            </w:pPr>
            <w:r w:rsidRPr="0009150F">
              <w:rPr>
                <w:rFonts w:asciiTheme="minorHAnsi" w:hAnsiTheme="minorHAnsi"/>
                <w:b/>
                <w:sz w:val="22"/>
                <w:szCs w:val="22"/>
              </w:rPr>
              <w:lastRenderedPageBreak/>
              <w:t>I</w:t>
            </w:r>
            <w:r w:rsidR="004A633B" w:rsidRPr="0009150F">
              <w:rPr>
                <w:rFonts w:asciiTheme="minorHAnsi" w:hAnsiTheme="minorHAnsi"/>
                <w:b/>
                <w:sz w:val="22"/>
                <w:szCs w:val="22"/>
              </w:rPr>
              <w:t>I.</w:t>
            </w:r>
          </w:p>
        </w:tc>
        <w:tc>
          <w:tcPr>
            <w:tcW w:w="7740" w:type="dxa"/>
            <w:gridSpan w:val="3"/>
            <w:shd w:val="clear" w:color="auto" w:fill="BFBFBF"/>
            <w:vAlign w:val="center"/>
          </w:tcPr>
          <w:p w14:paraId="303BCF56" w14:textId="77777777" w:rsidR="004A633B" w:rsidRPr="0009150F" w:rsidRDefault="004A633B" w:rsidP="00E1558D">
            <w:pPr>
              <w:spacing w:before="120" w:line="276" w:lineRule="auto"/>
              <w:jc w:val="center"/>
              <w:rPr>
                <w:rFonts w:asciiTheme="minorHAnsi" w:hAnsiTheme="minorHAnsi"/>
                <w:b/>
              </w:rPr>
            </w:pPr>
            <w:r w:rsidRPr="0009150F">
              <w:rPr>
                <w:rFonts w:asciiTheme="minorHAnsi" w:hAnsiTheme="minorHAnsi"/>
                <w:b/>
                <w:sz w:val="22"/>
                <w:szCs w:val="22"/>
              </w:rPr>
              <w:t>OCENA FINANSOWA (jeżeli dotyczy)</w:t>
            </w:r>
          </w:p>
        </w:tc>
      </w:tr>
      <w:tr w:rsidR="004A633B" w:rsidRPr="0009150F" w14:paraId="6CC87D11" w14:textId="77777777" w:rsidTr="00E1558D">
        <w:trPr>
          <w:cantSplit/>
          <w:trHeight w:val="425"/>
        </w:trPr>
        <w:tc>
          <w:tcPr>
            <w:tcW w:w="1186" w:type="dxa"/>
            <w:vAlign w:val="center"/>
          </w:tcPr>
          <w:p w14:paraId="3BCD6EFD" w14:textId="77777777" w:rsidR="004A633B" w:rsidRPr="0009150F" w:rsidRDefault="004A633B" w:rsidP="00E1558D">
            <w:pPr>
              <w:autoSpaceDE w:val="0"/>
              <w:autoSpaceDN w:val="0"/>
              <w:adjustRightInd w:val="0"/>
              <w:spacing w:before="120"/>
              <w:jc w:val="center"/>
              <w:rPr>
                <w:rFonts w:asciiTheme="minorHAnsi" w:hAnsiTheme="minorHAnsi"/>
              </w:rPr>
            </w:pPr>
            <w:r w:rsidRPr="0009150F">
              <w:rPr>
                <w:rFonts w:asciiTheme="minorHAnsi" w:hAnsiTheme="minorHAnsi"/>
                <w:sz w:val="22"/>
                <w:szCs w:val="22"/>
              </w:rPr>
              <w:t>1.</w:t>
            </w:r>
          </w:p>
        </w:tc>
        <w:tc>
          <w:tcPr>
            <w:tcW w:w="6322" w:type="dxa"/>
            <w:vAlign w:val="center"/>
          </w:tcPr>
          <w:p w14:paraId="5327AAC4" w14:textId="77777777" w:rsidR="004A633B" w:rsidRPr="0009150F" w:rsidRDefault="004A633B" w:rsidP="00E1558D">
            <w:pPr>
              <w:spacing w:before="120"/>
              <w:rPr>
                <w:rFonts w:asciiTheme="minorHAnsi" w:hAnsiTheme="minorHAnsi"/>
              </w:rPr>
            </w:pPr>
            <w:r w:rsidRPr="0009150F">
              <w:rPr>
                <w:rFonts w:asciiTheme="minorHAnsi" w:hAnsiTheme="minorHAnsi"/>
                <w:sz w:val="22"/>
                <w:szCs w:val="22"/>
              </w:rPr>
              <w:t xml:space="preserve">Analiza bieżącej sytuacji finansowej wnioskodawcy </w:t>
            </w:r>
          </w:p>
        </w:tc>
        <w:tc>
          <w:tcPr>
            <w:tcW w:w="709" w:type="dxa"/>
            <w:vAlign w:val="center"/>
          </w:tcPr>
          <w:p w14:paraId="33CEF1C1" w14:textId="77777777" w:rsidR="004A633B" w:rsidRPr="0009150F" w:rsidRDefault="004A633B" w:rsidP="00E1558D">
            <w:pPr>
              <w:autoSpaceDE w:val="0"/>
              <w:autoSpaceDN w:val="0"/>
              <w:adjustRightInd w:val="0"/>
              <w:spacing w:before="120"/>
              <w:jc w:val="center"/>
              <w:rPr>
                <w:rFonts w:asciiTheme="minorHAnsi" w:hAnsiTheme="minorHAnsi"/>
              </w:rPr>
            </w:pPr>
          </w:p>
        </w:tc>
        <w:tc>
          <w:tcPr>
            <w:tcW w:w="709" w:type="dxa"/>
            <w:vAlign w:val="center"/>
          </w:tcPr>
          <w:p w14:paraId="251D36B5" w14:textId="77777777" w:rsidR="004A633B" w:rsidRPr="0009150F" w:rsidRDefault="004A633B" w:rsidP="00E1558D">
            <w:pPr>
              <w:autoSpaceDE w:val="0"/>
              <w:autoSpaceDN w:val="0"/>
              <w:adjustRightInd w:val="0"/>
              <w:spacing w:before="120"/>
              <w:jc w:val="center"/>
              <w:rPr>
                <w:rFonts w:asciiTheme="minorHAnsi" w:hAnsiTheme="minorHAnsi"/>
              </w:rPr>
            </w:pPr>
          </w:p>
        </w:tc>
      </w:tr>
      <w:tr w:rsidR="004A633B" w:rsidRPr="0009150F" w14:paraId="66512795" w14:textId="77777777" w:rsidTr="00E1558D">
        <w:trPr>
          <w:cantSplit/>
          <w:trHeight w:val="425"/>
        </w:trPr>
        <w:tc>
          <w:tcPr>
            <w:tcW w:w="8926" w:type="dxa"/>
            <w:gridSpan w:val="4"/>
            <w:vAlign w:val="center"/>
          </w:tcPr>
          <w:p w14:paraId="6272E1AC" w14:textId="77777777" w:rsidR="004A633B" w:rsidRPr="0009150F" w:rsidRDefault="004A633B" w:rsidP="00E1558D">
            <w:pPr>
              <w:autoSpaceDE w:val="0"/>
              <w:autoSpaceDN w:val="0"/>
              <w:adjustRightInd w:val="0"/>
              <w:spacing w:before="240" w:after="60"/>
              <w:rPr>
                <w:rFonts w:asciiTheme="minorHAnsi" w:hAnsiTheme="minorHAnsi"/>
                <w:i/>
                <w:iCs/>
                <w:color w:val="000000"/>
                <w:sz w:val="20"/>
                <w:szCs w:val="20"/>
              </w:rPr>
            </w:pPr>
            <w:r w:rsidRPr="0009150F">
              <w:rPr>
                <w:rFonts w:asciiTheme="minorHAnsi" w:hAnsiTheme="minorHAnsi"/>
                <w:i/>
                <w:iCs/>
                <w:color w:val="000000"/>
                <w:sz w:val="20"/>
                <w:szCs w:val="20"/>
              </w:rPr>
              <w:t>Zasady oceny:</w:t>
            </w:r>
          </w:p>
          <w:p w14:paraId="6C485DEC" w14:textId="77777777" w:rsidR="004A633B" w:rsidRPr="0009150F" w:rsidRDefault="004A633B" w:rsidP="00E1558D">
            <w:pPr>
              <w:autoSpaceDE w:val="0"/>
              <w:autoSpaceDN w:val="0"/>
              <w:adjustRightInd w:val="0"/>
              <w:spacing w:before="60" w:after="60"/>
              <w:rPr>
                <w:rFonts w:asciiTheme="minorHAnsi" w:hAnsiTheme="minorHAnsi"/>
                <w:i/>
                <w:iCs/>
                <w:color w:val="000000"/>
                <w:sz w:val="20"/>
                <w:szCs w:val="20"/>
              </w:rPr>
            </w:pPr>
            <w:r w:rsidRPr="0009150F">
              <w:rPr>
                <w:rFonts w:asciiTheme="minorHAnsi" w:hAnsiTheme="minorHAnsi"/>
                <w:iCs/>
                <w:color w:val="000000"/>
                <w:sz w:val="20"/>
                <w:szCs w:val="20"/>
              </w:rPr>
              <w:t xml:space="preserve">Ocena przeprowadzana jest na podstawie zweryfikowanych przez NFOŚiGW danych finansowych przedstawionych we wniosku </w:t>
            </w:r>
            <w:r w:rsidR="007D007D" w:rsidRPr="0009150F">
              <w:rPr>
                <w:rFonts w:asciiTheme="minorHAnsi" w:hAnsiTheme="minorHAnsi"/>
                <w:iCs/>
                <w:color w:val="000000"/>
                <w:sz w:val="20"/>
                <w:szCs w:val="20"/>
              </w:rPr>
              <w:t xml:space="preserve">o dofinansowanie </w:t>
            </w:r>
            <w:r w:rsidRPr="0009150F">
              <w:rPr>
                <w:rFonts w:asciiTheme="minorHAnsi" w:hAnsiTheme="minorHAnsi"/>
                <w:iCs/>
                <w:color w:val="000000"/>
                <w:sz w:val="20"/>
                <w:szCs w:val="20"/>
              </w:rPr>
              <w:t xml:space="preserve">(wraz z załącznikami) zgodnie z </w:t>
            </w:r>
            <w:r w:rsidRPr="0009150F">
              <w:rPr>
                <w:rFonts w:asciiTheme="minorHAnsi" w:hAnsiTheme="minorHAnsi"/>
                <w:i/>
                <w:iCs/>
                <w:color w:val="000000"/>
                <w:sz w:val="20"/>
                <w:szCs w:val="20"/>
              </w:rPr>
              <w:t xml:space="preserve">Metodyką oceny finansowej wniosku o dofinansowanie. </w:t>
            </w:r>
          </w:p>
          <w:p w14:paraId="2F4809CA" w14:textId="77777777" w:rsidR="004A633B" w:rsidRPr="0009150F" w:rsidRDefault="004A633B" w:rsidP="00E1558D">
            <w:pPr>
              <w:autoSpaceDE w:val="0"/>
              <w:autoSpaceDN w:val="0"/>
              <w:adjustRightInd w:val="0"/>
              <w:spacing w:before="120" w:after="120"/>
              <w:rPr>
                <w:rFonts w:asciiTheme="minorHAnsi" w:hAnsiTheme="minorHAnsi"/>
                <w:iCs/>
                <w:color w:val="000000"/>
                <w:sz w:val="20"/>
                <w:szCs w:val="20"/>
              </w:rPr>
            </w:pPr>
            <w:r w:rsidRPr="0009150F">
              <w:rPr>
                <w:rFonts w:asciiTheme="minorHAnsi" w:hAnsiTheme="minorHAnsi"/>
                <w:iCs/>
                <w:color w:val="000000"/>
                <w:sz w:val="20"/>
                <w:szCs w:val="20"/>
              </w:rPr>
              <w:t xml:space="preserve">Kryterium </w:t>
            </w:r>
            <w:r w:rsidR="00604218" w:rsidRPr="0009150F">
              <w:rPr>
                <w:rFonts w:asciiTheme="minorHAnsi" w:hAnsiTheme="minorHAnsi"/>
                <w:iCs/>
                <w:color w:val="000000"/>
                <w:sz w:val="20"/>
                <w:szCs w:val="20"/>
              </w:rPr>
              <w:t xml:space="preserve"> nr 1 </w:t>
            </w:r>
            <w:r w:rsidRPr="0009150F">
              <w:rPr>
                <w:rFonts w:asciiTheme="minorHAnsi" w:hAnsiTheme="minorHAnsi"/>
                <w:iCs/>
                <w:color w:val="000000"/>
                <w:sz w:val="20"/>
                <w:szCs w:val="20"/>
              </w:rPr>
              <w:t xml:space="preserve">jest oceniane pozytywnie, o ile z oceny wynika, iż Wnioskodawca nie znajduje się w złej sytuacji finansowej. </w:t>
            </w:r>
          </w:p>
          <w:p w14:paraId="79AC6950" w14:textId="77777777" w:rsidR="004A633B" w:rsidRPr="0009150F" w:rsidRDefault="004A633B" w:rsidP="00E1558D">
            <w:pPr>
              <w:autoSpaceDE w:val="0"/>
              <w:autoSpaceDN w:val="0"/>
              <w:adjustRightInd w:val="0"/>
              <w:spacing w:before="120"/>
              <w:rPr>
                <w:rFonts w:asciiTheme="minorHAnsi" w:hAnsiTheme="minorHAnsi"/>
              </w:rPr>
            </w:pPr>
            <w:r w:rsidRPr="0009150F">
              <w:rPr>
                <w:rFonts w:asciiTheme="minorHAnsi" w:hAnsiTheme="minorHAnsi"/>
                <w:i/>
                <w:iCs/>
                <w:color w:val="000000"/>
                <w:sz w:val="20"/>
                <w:szCs w:val="20"/>
              </w:rPr>
              <w:t xml:space="preserve">Negatywna ocena </w:t>
            </w:r>
            <w:r w:rsidR="00604218" w:rsidRPr="0009150F">
              <w:rPr>
                <w:rFonts w:asciiTheme="minorHAnsi" w:hAnsiTheme="minorHAnsi"/>
                <w:i/>
                <w:iCs/>
                <w:color w:val="000000"/>
                <w:sz w:val="20"/>
                <w:szCs w:val="20"/>
              </w:rPr>
              <w:t>K</w:t>
            </w:r>
            <w:r w:rsidRPr="0009150F">
              <w:rPr>
                <w:rFonts w:asciiTheme="minorHAnsi" w:hAnsiTheme="minorHAnsi"/>
                <w:i/>
                <w:iCs/>
                <w:color w:val="000000"/>
                <w:sz w:val="20"/>
                <w:szCs w:val="20"/>
              </w:rPr>
              <w:t xml:space="preserve">ryterium </w:t>
            </w:r>
            <w:r w:rsidR="00604218" w:rsidRPr="0009150F">
              <w:rPr>
                <w:rFonts w:asciiTheme="minorHAnsi" w:hAnsiTheme="minorHAnsi"/>
                <w:i/>
                <w:iCs/>
                <w:color w:val="000000"/>
                <w:sz w:val="20"/>
                <w:szCs w:val="20"/>
              </w:rPr>
              <w:t xml:space="preserve"> nr 1 </w:t>
            </w:r>
            <w:r w:rsidRPr="0009150F">
              <w:rPr>
                <w:rFonts w:asciiTheme="minorHAnsi" w:hAnsiTheme="minorHAnsi"/>
                <w:b/>
                <w:i/>
                <w:iCs/>
                <w:color w:val="000000"/>
                <w:sz w:val="20"/>
                <w:szCs w:val="20"/>
              </w:rPr>
              <w:t xml:space="preserve">nie powoduje odrzucenia wniosku </w:t>
            </w:r>
            <w:r w:rsidRPr="0009150F">
              <w:rPr>
                <w:rFonts w:asciiTheme="minorHAnsi" w:hAnsiTheme="minorHAnsi"/>
                <w:i/>
                <w:iCs/>
                <w:color w:val="000000"/>
                <w:sz w:val="20"/>
                <w:szCs w:val="20"/>
              </w:rPr>
              <w:t xml:space="preserve">o ile ocena </w:t>
            </w:r>
            <w:r w:rsidR="007D007D" w:rsidRPr="0009150F">
              <w:rPr>
                <w:rFonts w:asciiTheme="minorHAnsi" w:hAnsiTheme="minorHAnsi"/>
                <w:i/>
                <w:iCs/>
                <w:color w:val="000000"/>
                <w:sz w:val="20"/>
                <w:szCs w:val="20"/>
              </w:rPr>
              <w:t>K</w:t>
            </w:r>
            <w:r w:rsidRPr="0009150F">
              <w:rPr>
                <w:rFonts w:asciiTheme="minorHAnsi" w:hAnsiTheme="minorHAnsi"/>
                <w:i/>
                <w:iCs/>
                <w:color w:val="000000"/>
                <w:sz w:val="20"/>
                <w:szCs w:val="20"/>
              </w:rPr>
              <w:t>ryterium nr 2 jest pozytywna.</w:t>
            </w:r>
          </w:p>
        </w:tc>
      </w:tr>
      <w:tr w:rsidR="004A633B" w:rsidRPr="0009150F" w14:paraId="5B78DB0D" w14:textId="77777777" w:rsidTr="00E1558D">
        <w:trPr>
          <w:cantSplit/>
          <w:trHeight w:val="425"/>
        </w:trPr>
        <w:tc>
          <w:tcPr>
            <w:tcW w:w="1186" w:type="dxa"/>
            <w:vAlign w:val="center"/>
          </w:tcPr>
          <w:p w14:paraId="52687358" w14:textId="77777777" w:rsidR="004A633B" w:rsidRPr="0009150F" w:rsidRDefault="004A633B" w:rsidP="00E1558D">
            <w:pPr>
              <w:autoSpaceDE w:val="0"/>
              <w:autoSpaceDN w:val="0"/>
              <w:adjustRightInd w:val="0"/>
              <w:spacing w:before="120"/>
              <w:jc w:val="center"/>
              <w:rPr>
                <w:rFonts w:asciiTheme="minorHAnsi" w:hAnsiTheme="minorHAnsi"/>
              </w:rPr>
            </w:pPr>
            <w:r w:rsidRPr="0009150F">
              <w:rPr>
                <w:rFonts w:asciiTheme="minorHAnsi" w:hAnsiTheme="minorHAnsi"/>
                <w:sz w:val="22"/>
                <w:szCs w:val="22"/>
              </w:rPr>
              <w:t>2.</w:t>
            </w:r>
          </w:p>
        </w:tc>
        <w:tc>
          <w:tcPr>
            <w:tcW w:w="6322" w:type="dxa"/>
            <w:vAlign w:val="center"/>
          </w:tcPr>
          <w:p w14:paraId="0C1DC63F" w14:textId="77777777" w:rsidR="004A633B" w:rsidRPr="0009150F" w:rsidRDefault="004A633B" w:rsidP="00E1558D">
            <w:pPr>
              <w:spacing w:before="120" w:line="276" w:lineRule="auto"/>
              <w:rPr>
                <w:rFonts w:asciiTheme="minorHAnsi" w:hAnsiTheme="minorHAnsi"/>
              </w:rPr>
            </w:pPr>
            <w:r w:rsidRPr="0009150F">
              <w:rPr>
                <w:rFonts w:asciiTheme="minorHAnsi" w:hAnsiTheme="minorHAnsi"/>
                <w:sz w:val="22"/>
                <w:szCs w:val="22"/>
              </w:rPr>
              <w:t>Analiza prognozowanej sytuacji finansowej wnioskodawcy – w tym analiza wykonalności i trwałości finansowej.</w:t>
            </w:r>
          </w:p>
        </w:tc>
        <w:tc>
          <w:tcPr>
            <w:tcW w:w="709" w:type="dxa"/>
            <w:vAlign w:val="center"/>
          </w:tcPr>
          <w:p w14:paraId="6D4B191B" w14:textId="77777777" w:rsidR="004A633B" w:rsidRPr="0009150F" w:rsidRDefault="004A633B" w:rsidP="00E1558D">
            <w:pPr>
              <w:autoSpaceDE w:val="0"/>
              <w:autoSpaceDN w:val="0"/>
              <w:adjustRightInd w:val="0"/>
              <w:spacing w:before="120"/>
              <w:jc w:val="center"/>
              <w:rPr>
                <w:rFonts w:asciiTheme="minorHAnsi" w:hAnsiTheme="minorHAnsi"/>
              </w:rPr>
            </w:pPr>
          </w:p>
        </w:tc>
        <w:tc>
          <w:tcPr>
            <w:tcW w:w="709" w:type="dxa"/>
            <w:vAlign w:val="center"/>
          </w:tcPr>
          <w:p w14:paraId="750EFFD1" w14:textId="77777777" w:rsidR="004A633B" w:rsidRPr="0009150F" w:rsidRDefault="004A633B" w:rsidP="00E1558D">
            <w:pPr>
              <w:autoSpaceDE w:val="0"/>
              <w:autoSpaceDN w:val="0"/>
              <w:adjustRightInd w:val="0"/>
              <w:spacing w:before="120"/>
              <w:jc w:val="center"/>
              <w:rPr>
                <w:rFonts w:asciiTheme="minorHAnsi" w:hAnsiTheme="minorHAnsi"/>
              </w:rPr>
            </w:pPr>
          </w:p>
        </w:tc>
      </w:tr>
      <w:tr w:rsidR="004A633B" w:rsidRPr="0009150F" w14:paraId="7967047B" w14:textId="77777777" w:rsidTr="00E1558D">
        <w:trPr>
          <w:cantSplit/>
          <w:trHeight w:val="2325"/>
        </w:trPr>
        <w:tc>
          <w:tcPr>
            <w:tcW w:w="8926" w:type="dxa"/>
            <w:gridSpan w:val="4"/>
            <w:vAlign w:val="center"/>
          </w:tcPr>
          <w:p w14:paraId="467871BE" w14:textId="77777777" w:rsidR="004A633B" w:rsidRPr="0009150F" w:rsidRDefault="004A633B" w:rsidP="00E1558D">
            <w:pPr>
              <w:autoSpaceDE w:val="0"/>
              <w:autoSpaceDN w:val="0"/>
              <w:adjustRightInd w:val="0"/>
              <w:spacing w:before="120"/>
              <w:rPr>
                <w:rFonts w:asciiTheme="minorHAnsi" w:hAnsiTheme="minorHAnsi"/>
                <w:i/>
                <w:iCs/>
                <w:color w:val="000000"/>
                <w:sz w:val="20"/>
                <w:szCs w:val="20"/>
              </w:rPr>
            </w:pPr>
            <w:r w:rsidRPr="0009150F">
              <w:rPr>
                <w:rFonts w:asciiTheme="minorHAnsi" w:hAnsiTheme="minorHAnsi"/>
                <w:i/>
                <w:iCs/>
                <w:color w:val="000000"/>
                <w:sz w:val="20"/>
                <w:szCs w:val="20"/>
              </w:rPr>
              <w:t>Zasady oceny:</w:t>
            </w:r>
          </w:p>
          <w:p w14:paraId="15B04EB5" w14:textId="77777777" w:rsidR="004A633B" w:rsidRPr="0009150F" w:rsidRDefault="004A633B" w:rsidP="00E1558D">
            <w:pPr>
              <w:autoSpaceDE w:val="0"/>
              <w:autoSpaceDN w:val="0"/>
              <w:adjustRightInd w:val="0"/>
              <w:spacing w:before="120"/>
              <w:rPr>
                <w:rFonts w:asciiTheme="minorHAnsi" w:hAnsiTheme="minorHAnsi"/>
                <w:sz w:val="20"/>
                <w:szCs w:val="20"/>
              </w:rPr>
            </w:pPr>
            <w:r w:rsidRPr="0009150F">
              <w:rPr>
                <w:rFonts w:asciiTheme="minorHAnsi" w:hAnsiTheme="minorHAnsi"/>
                <w:iCs/>
                <w:sz w:val="20"/>
                <w:szCs w:val="20"/>
              </w:rPr>
              <w:t xml:space="preserve">Ocena przeprowadzana jest na podstawie </w:t>
            </w:r>
            <w:r w:rsidRPr="0009150F">
              <w:rPr>
                <w:rFonts w:asciiTheme="minorHAnsi" w:hAnsiTheme="minorHAnsi"/>
                <w:sz w:val="20"/>
                <w:szCs w:val="20"/>
              </w:rPr>
              <w:t>zweryfikowanych przez NFOŚiGW danych finansowych przedstawionych we wniosku</w:t>
            </w:r>
            <w:r w:rsidR="0026569B" w:rsidRPr="0009150F">
              <w:rPr>
                <w:rFonts w:asciiTheme="minorHAnsi" w:hAnsiTheme="minorHAnsi"/>
                <w:sz w:val="20"/>
                <w:szCs w:val="20"/>
              </w:rPr>
              <w:t xml:space="preserve"> o dofinansowanie</w:t>
            </w:r>
            <w:r w:rsidRPr="0009150F">
              <w:rPr>
                <w:rFonts w:asciiTheme="minorHAnsi" w:hAnsiTheme="minorHAnsi"/>
                <w:sz w:val="20"/>
                <w:szCs w:val="20"/>
              </w:rPr>
              <w:t xml:space="preserve"> (wraz z załącznikami) zgodnie z</w:t>
            </w:r>
            <w:r w:rsidRPr="0009150F">
              <w:rPr>
                <w:rFonts w:asciiTheme="minorHAnsi" w:hAnsiTheme="minorHAnsi"/>
                <w:iCs/>
                <w:sz w:val="20"/>
                <w:szCs w:val="20"/>
              </w:rPr>
              <w:t xml:space="preserve"> „</w:t>
            </w:r>
            <w:r w:rsidRPr="0009150F">
              <w:rPr>
                <w:rFonts w:asciiTheme="minorHAnsi" w:hAnsiTheme="minorHAnsi"/>
                <w:i/>
                <w:iCs/>
                <w:sz w:val="20"/>
                <w:szCs w:val="20"/>
              </w:rPr>
              <w:t>Metodyką</w:t>
            </w:r>
            <w:r w:rsidRPr="0009150F">
              <w:rPr>
                <w:rFonts w:asciiTheme="minorHAnsi" w:hAnsiTheme="minorHAnsi"/>
                <w:i/>
                <w:sz w:val="20"/>
                <w:szCs w:val="20"/>
              </w:rPr>
              <w:t xml:space="preserve"> oceny finansowej wniosku o dofinansowanie”</w:t>
            </w:r>
          </w:p>
          <w:p w14:paraId="27C83093" w14:textId="77777777" w:rsidR="004A633B" w:rsidRPr="0009150F" w:rsidRDefault="004A633B" w:rsidP="00E1558D">
            <w:pPr>
              <w:autoSpaceDE w:val="0"/>
              <w:autoSpaceDN w:val="0"/>
              <w:adjustRightInd w:val="0"/>
              <w:spacing w:before="120"/>
              <w:rPr>
                <w:rFonts w:asciiTheme="minorHAnsi" w:hAnsiTheme="minorHAnsi"/>
                <w:sz w:val="20"/>
                <w:szCs w:val="20"/>
              </w:rPr>
            </w:pPr>
            <w:r w:rsidRPr="0009150F">
              <w:rPr>
                <w:rFonts w:asciiTheme="minorHAnsi" w:hAnsiTheme="minorHAnsi"/>
                <w:sz w:val="20"/>
                <w:szCs w:val="20"/>
              </w:rPr>
              <w:t>Kryterium</w:t>
            </w:r>
            <w:r w:rsidR="0026569B" w:rsidRPr="0009150F">
              <w:rPr>
                <w:rFonts w:asciiTheme="minorHAnsi" w:hAnsiTheme="minorHAnsi"/>
                <w:sz w:val="20"/>
                <w:szCs w:val="20"/>
              </w:rPr>
              <w:t xml:space="preserve"> nr 2</w:t>
            </w:r>
            <w:r w:rsidRPr="0009150F">
              <w:rPr>
                <w:rFonts w:asciiTheme="minorHAnsi" w:hAnsiTheme="minorHAnsi"/>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7777777" w:rsidR="004A633B" w:rsidRPr="0009150F" w:rsidRDefault="004A633B" w:rsidP="00E1558D">
            <w:pPr>
              <w:autoSpaceDE w:val="0"/>
              <w:autoSpaceDN w:val="0"/>
              <w:adjustRightInd w:val="0"/>
              <w:spacing w:before="120"/>
              <w:rPr>
                <w:rFonts w:asciiTheme="minorHAnsi" w:hAnsiTheme="minorHAnsi"/>
                <w:b/>
                <w:bCs/>
                <w:i/>
                <w:sz w:val="20"/>
                <w:szCs w:val="20"/>
              </w:rPr>
            </w:pPr>
            <w:r w:rsidRPr="0009150F">
              <w:rPr>
                <w:rFonts w:asciiTheme="minorHAnsi" w:hAnsiTheme="minorHAnsi"/>
                <w:i/>
                <w:sz w:val="20"/>
                <w:szCs w:val="20"/>
              </w:rPr>
              <w:t xml:space="preserve">Negatywna ocena </w:t>
            </w:r>
            <w:r w:rsidR="0026569B" w:rsidRPr="0009150F">
              <w:rPr>
                <w:rFonts w:asciiTheme="minorHAnsi" w:hAnsiTheme="minorHAnsi"/>
                <w:i/>
                <w:sz w:val="20"/>
                <w:szCs w:val="20"/>
              </w:rPr>
              <w:t>K</w:t>
            </w:r>
            <w:r w:rsidRPr="0009150F">
              <w:rPr>
                <w:rFonts w:asciiTheme="minorHAnsi" w:hAnsiTheme="minorHAnsi"/>
                <w:i/>
                <w:sz w:val="20"/>
                <w:szCs w:val="20"/>
              </w:rPr>
              <w:t xml:space="preserve">ryterium </w:t>
            </w:r>
            <w:r w:rsidR="0026569B" w:rsidRPr="0009150F">
              <w:rPr>
                <w:rFonts w:asciiTheme="minorHAnsi" w:hAnsiTheme="minorHAnsi"/>
                <w:i/>
                <w:sz w:val="20"/>
                <w:szCs w:val="20"/>
              </w:rPr>
              <w:t xml:space="preserve">nr 2 </w:t>
            </w:r>
            <w:r w:rsidRPr="0009150F">
              <w:rPr>
                <w:rFonts w:asciiTheme="minorHAnsi" w:hAnsiTheme="minorHAnsi"/>
                <w:b/>
                <w:bCs/>
                <w:i/>
                <w:sz w:val="20"/>
                <w:szCs w:val="20"/>
              </w:rPr>
              <w:t xml:space="preserve">powoduje odrzucenie wniosku niezależnie od wyników oceny </w:t>
            </w:r>
            <w:r w:rsidR="007D007D" w:rsidRPr="0009150F">
              <w:rPr>
                <w:rFonts w:asciiTheme="minorHAnsi" w:hAnsiTheme="minorHAnsi"/>
                <w:b/>
                <w:bCs/>
                <w:i/>
                <w:sz w:val="20"/>
                <w:szCs w:val="20"/>
              </w:rPr>
              <w:t>K</w:t>
            </w:r>
            <w:r w:rsidRPr="0009150F">
              <w:rPr>
                <w:rFonts w:asciiTheme="minorHAnsi" w:hAnsiTheme="minorHAnsi"/>
                <w:b/>
                <w:bCs/>
                <w:i/>
                <w:sz w:val="20"/>
                <w:szCs w:val="20"/>
              </w:rPr>
              <w:t>ryterium nr 1.</w:t>
            </w:r>
          </w:p>
        </w:tc>
      </w:tr>
    </w:tbl>
    <w:p w14:paraId="523B4907" w14:textId="39A2EB3B" w:rsidR="00236E49" w:rsidRPr="0009150F" w:rsidRDefault="00236E49" w:rsidP="00325F5F">
      <w:pPr>
        <w:jc w:val="both"/>
        <w:rPr>
          <w:rFonts w:asciiTheme="minorHAnsi" w:hAnsiTheme="minorHAnsi"/>
          <w:sz w:val="20"/>
          <w:szCs w:val="20"/>
        </w:rPr>
      </w:pPr>
    </w:p>
    <w:p w14:paraId="476D60AB" w14:textId="14DE2DB2" w:rsidR="0013587A" w:rsidRPr="0009150F" w:rsidRDefault="33B284A1" w:rsidP="00E062D9">
      <w:pPr>
        <w:pStyle w:val="Akapitzlist"/>
        <w:numPr>
          <w:ilvl w:val="0"/>
          <w:numId w:val="3"/>
        </w:numPr>
        <w:tabs>
          <w:tab w:val="left" w:pos="284"/>
        </w:tabs>
        <w:autoSpaceDE w:val="0"/>
        <w:autoSpaceDN w:val="0"/>
        <w:adjustRightInd w:val="0"/>
        <w:spacing w:before="240" w:after="120"/>
        <w:jc w:val="both"/>
        <w:rPr>
          <w:rFonts w:asciiTheme="minorHAnsi" w:hAnsiTheme="minorHAnsi"/>
          <w:b/>
          <w:bCs/>
          <w:color w:val="000000"/>
          <w:sz w:val="22"/>
          <w:szCs w:val="22"/>
        </w:rPr>
      </w:pPr>
      <w:r w:rsidRPr="0009150F">
        <w:rPr>
          <w:rFonts w:asciiTheme="minorHAnsi" w:hAnsiTheme="minorHAnsi"/>
          <w:b/>
          <w:bCs/>
          <w:color w:val="000000" w:themeColor="text1"/>
          <w:sz w:val="22"/>
          <w:szCs w:val="22"/>
        </w:rPr>
        <w:t>Postanowienia dodatkowe:</w:t>
      </w:r>
    </w:p>
    <w:p w14:paraId="37CB13F4" w14:textId="77777777" w:rsidR="0013587A" w:rsidRPr="0009150F" w:rsidRDefault="0013587A" w:rsidP="00E062D9">
      <w:pPr>
        <w:pStyle w:val="Akapitzlist"/>
        <w:numPr>
          <w:ilvl w:val="0"/>
          <w:numId w:val="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09150F">
        <w:rPr>
          <w:rFonts w:asciiTheme="minorHAnsi" w:hAnsiTheme="minorHAnsi"/>
          <w:color w:val="000000"/>
          <w:sz w:val="22"/>
          <w:szCs w:val="22"/>
        </w:rPr>
        <w:t>szczegółowy sposób naboru wniosk</w:t>
      </w:r>
      <w:r w:rsidR="009E3B62" w:rsidRPr="0009150F">
        <w:rPr>
          <w:rFonts w:asciiTheme="minorHAnsi" w:hAnsiTheme="minorHAnsi"/>
          <w:color w:val="000000"/>
          <w:sz w:val="22"/>
          <w:szCs w:val="22"/>
        </w:rPr>
        <w:t>ów</w:t>
      </w:r>
      <w:r w:rsidRPr="0009150F">
        <w:rPr>
          <w:rFonts w:asciiTheme="minorHAnsi" w:hAnsiTheme="minorHAnsi"/>
          <w:color w:val="000000"/>
          <w:sz w:val="22"/>
          <w:szCs w:val="22"/>
        </w:rPr>
        <w:t xml:space="preserve"> o dofinansowanie określa regulamin naboru; </w:t>
      </w:r>
    </w:p>
    <w:p w14:paraId="04C94831" w14:textId="26CEC88B" w:rsidR="0013587A" w:rsidRPr="0009150F" w:rsidRDefault="0013587A" w:rsidP="00E062D9">
      <w:pPr>
        <w:pStyle w:val="Akapitzlist"/>
        <w:numPr>
          <w:ilvl w:val="0"/>
          <w:numId w:val="5"/>
        </w:numPr>
        <w:tabs>
          <w:tab w:val="left" w:pos="284"/>
          <w:tab w:val="left" w:pos="1418"/>
        </w:tabs>
        <w:autoSpaceDE w:val="0"/>
        <w:autoSpaceDN w:val="0"/>
        <w:adjustRightInd w:val="0"/>
        <w:spacing w:before="240" w:after="120"/>
        <w:jc w:val="both"/>
        <w:rPr>
          <w:rFonts w:asciiTheme="minorHAnsi" w:hAnsiTheme="minorHAnsi"/>
          <w:color w:val="000000"/>
          <w:sz w:val="22"/>
          <w:szCs w:val="22"/>
        </w:rPr>
      </w:pPr>
      <w:r w:rsidRPr="0009150F">
        <w:rPr>
          <w:rFonts w:asciiTheme="minorHAnsi" w:hAnsiTheme="minorHAnsi"/>
          <w:color w:val="000000"/>
          <w:sz w:val="22"/>
          <w:szCs w:val="22"/>
        </w:rPr>
        <w:t>w sprawach nieuregulowanych, do w</w:t>
      </w:r>
      <w:r w:rsidR="0041739F" w:rsidRPr="0009150F">
        <w:rPr>
          <w:rFonts w:asciiTheme="minorHAnsi" w:hAnsiTheme="minorHAnsi"/>
          <w:color w:val="000000"/>
          <w:sz w:val="22"/>
          <w:szCs w:val="22"/>
        </w:rPr>
        <w:t>niosków</w:t>
      </w:r>
      <w:r w:rsidR="0091008B" w:rsidRPr="0009150F">
        <w:rPr>
          <w:rFonts w:asciiTheme="minorHAnsi" w:hAnsiTheme="minorHAnsi"/>
          <w:color w:val="000000"/>
          <w:sz w:val="22"/>
          <w:szCs w:val="22"/>
        </w:rPr>
        <w:t xml:space="preserve"> o dofinansowanie </w:t>
      </w:r>
      <w:r w:rsidRPr="0009150F">
        <w:rPr>
          <w:rFonts w:asciiTheme="minorHAnsi" w:hAnsiTheme="minorHAnsi"/>
          <w:color w:val="000000"/>
          <w:sz w:val="22"/>
          <w:szCs w:val="22"/>
        </w:rPr>
        <w:t xml:space="preserve">stosuje się obowiązujące w NFOŚiGW wewnętrzne regulacje; </w:t>
      </w:r>
    </w:p>
    <w:p w14:paraId="2B4582A1" w14:textId="6B456B66" w:rsidR="005E2A01" w:rsidRPr="0009150F" w:rsidRDefault="0013587A" w:rsidP="001722B0">
      <w:pPr>
        <w:pStyle w:val="Akapitzlist"/>
        <w:numPr>
          <w:ilvl w:val="0"/>
          <w:numId w:val="5"/>
        </w:numPr>
        <w:jc w:val="both"/>
        <w:rPr>
          <w:rFonts w:asciiTheme="minorHAnsi" w:hAnsiTheme="minorHAnsi" w:cstheme="minorHAnsi"/>
        </w:rPr>
      </w:pPr>
      <w:r w:rsidRPr="0009150F">
        <w:rPr>
          <w:rFonts w:asciiTheme="minorHAnsi" w:hAnsiTheme="minorHAnsi" w:cstheme="minorHAnsi"/>
          <w:color w:val="000000"/>
          <w:sz w:val="22"/>
          <w:szCs w:val="22"/>
        </w:rPr>
        <w:t>do niniejszego programu priorytetowego mają zastosowanie</w:t>
      </w:r>
      <w:r w:rsidR="00236E49" w:rsidRPr="0009150F">
        <w:rPr>
          <w:rFonts w:asciiTheme="minorHAnsi" w:hAnsiTheme="minorHAnsi" w:cstheme="minorHAnsi"/>
          <w:color w:val="000000"/>
          <w:sz w:val="22"/>
          <w:szCs w:val="22"/>
        </w:rPr>
        <w:t xml:space="preserve"> </w:t>
      </w:r>
      <w:r w:rsidRPr="0009150F">
        <w:rPr>
          <w:rFonts w:asciiTheme="minorHAnsi" w:hAnsiTheme="minorHAnsi" w:cstheme="minorHAnsi"/>
          <w:color w:val="000000"/>
          <w:sz w:val="22"/>
          <w:szCs w:val="22"/>
        </w:rPr>
        <w:t>„Zasady udzielania dofinansowania ze środków Narodowego Funduszu Ochrony Środowiska i Gospodarki Wodnej”</w:t>
      </w:r>
      <w:r w:rsidR="00B41921" w:rsidRPr="0009150F">
        <w:rPr>
          <w:rFonts w:asciiTheme="minorHAnsi" w:hAnsiTheme="minorHAnsi" w:cstheme="minorHAnsi"/>
          <w:color w:val="000000"/>
          <w:sz w:val="22"/>
          <w:szCs w:val="22"/>
        </w:rPr>
        <w:t>,</w:t>
      </w:r>
      <w:r w:rsidR="00F65FBC" w:rsidRPr="0009150F">
        <w:rPr>
          <w:rFonts w:asciiTheme="minorHAnsi" w:hAnsiTheme="minorHAnsi" w:cstheme="minorHAnsi"/>
          <w:color w:val="000000"/>
          <w:sz w:val="22"/>
          <w:szCs w:val="22"/>
        </w:rPr>
        <w:t xml:space="preserve"> </w:t>
      </w:r>
      <w:r w:rsidR="00911D77" w:rsidRPr="0009150F">
        <w:rPr>
          <w:rFonts w:asciiTheme="minorHAnsi" w:hAnsiTheme="minorHAnsi" w:cstheme="minorHAnsi"/>
          <w:color w:val="000000"/>
          <w:sz w:val="22"/>
          <w:szCs w:val="22"/>
        </w:rPr>
        <w:t xml:space="preserve">„Wytyczne w zakresie kosztów kwalifikowanych”, </w:t>
      </w:r>
      <w:r w:rsidRPr="0009150F">
        <w:rPr>
          <w:rFonts w:asciiTheme="minorHAnsi" w:hAnsiTheme="minorHAnsi" w:cstheme="minorHAnsi"/>
          <w:color w:val="000000"/>
          <w:sz w:val="22"/>
          <w:szCs w:val="22"/>
        </w:rPr>
        <w:t xml:space="preserve">„Kryteria wyboru przedsięwzięć finansowanych ze środków Narodowego Funduszu Ochrony Środowiska </w:t>
      </w:r>
      <w:r w:rsidR="008755B1" w:rsidRPr="0009150F">
        <w:rPr>
          <w:rFonts w:asciiTheme="minorHAnsi" w:hAnsiTheme="minorHAnsi" w:cstheme="minorHAnsi"/>
          <w:color w:val="000000"/>
          <w:sz w:val="22"/>
          <w:szCs w:val="22"/>
        </w:rPr>
        <w:br/>
      </w:r>
      <w:r w:rsidRPr="0009150F">
        <w:rPr>
          <w:rFonts w:asciiTheme="minorHAnsi" w:hAnsiTheme="minorHAnsi" w:cstheme="minorHAnsi"/>
          <w:color w:val="000000"/>
          <w:sz w:val="22"/>
          <w:szCs w:val="22"/>
        </w:rPr>
        <w:t>i Gospodarki Wodnej”</w:t>
      </w:r>
      <w:r w:rsidR="00F65FBC" w:rsidRPr="0009150F">
        <w:rPr>
          <w:rFonts w:asciiTheme="minorHAnsi" w:hAnsiTheme="minorHAnsi" w:cstheme="minorHAnsi"/>
          <w:color w:val="000000"/>
          <w:sz w:val="22"/>
          <w:szCs w:val="22"/>
        </w:rPr>
        <w:t xml:space="preserve"> </w:t>
      </w:r>
      <w:r w:rsidR="00B41921" w:rsidRPr="0009150F">
        <w:rPr>
          <w:rFonts w:asciiTheme="minorHAnsi" w:hAnsiTheme="minorHAnsi" w:cstheme="minorHAnsi"/>
          <w:color w:val="000000"/>
          <w:sz w:val="22"/>
          <w:szCs w:val="22"/>
        </w:rPr>
        <w:t>oraz „Metodyka oceny finansowej wniosku o dofinansowanie”</w:t>
      </w:r>
      <w:r w:rsidR="001722B0" w:rsidRPr="0009150F">
        <w:rPr>
          <w:rFonts w:asciiTheme="minorHAnsi" w:hAnsiTheme="minorHAnsi" w:cstheme="minorHAnsi"/>
          <w:color w:val="000000"/>
          <w:sz w:val="22"/>
          <w:szCs w:val="22"/>
        </w:rPr>
        <w:t>.</w:t>
      </w:r>
    </w:p>
    <w:p w14:paraId="00B70B03" w14:textId="1560D268" w:rsidR="008B5C1F" w:rsidRPr="00401C00" w:rsidRDefault="008B5C1F" w:rsidP="5EBE894A">
      <w:pPr>
        <w:tabs>
          <w:tab w:val="left" w:pos="1418"/>
        </w:tabs>
        <w:ind w:left="360"/>
        <w:jc w:val="both"/>
        <w:rPr>
          <w:rFonts w:asciiTheme="minorHAnsi" w:hAnsiTheme="minorHAnsi" w:cstheme="minorBidi"/>
          <w:color w:val="000000"/>
        </w:rPr>
      </w:pPr>
    </w:p>
    <w:p w14:paraId="476FFF5D" w14:textId="513247E1" w:rsidR="00BC5AE7" w:rsidRPr="00BB501B" w:rsidRDefault="00BC5AE7" w:rsidP="006571AC">
      <w:pPr>
        <w:pStyle w:val="Akapitzlist"/>
        <w:tabs>
          <w:tab w:val="left" w:pos="1418"/>
        </w:tabs>
        <w:ind w:left="1080"/>
        <w:jc w:val="both"/>
        <w:rPr>
          <w:rFonts w:asciiTheme="minorHAnsi" w:hAnsiTheme="minorHAnsi"/>
          <w:color w:val="000000"/>
          <w:sz w:val="22"/>
          <w:szCs w:val="22"/>
        </w:rPr>
      </w:pPr>
    </w:p>
    <w:sectPr w:rsidR="00BC5AE7" w:rsidRPr="00BB501B" w:rsidSect="00C23427">
      <w:headerReference w:type="default" r:id="rId8"/>
      <w:footerReference w:type="even" r:id="rId9"/>
      <w:footerReference w:type="default" r:id="rId10"/>
      <w:headerReference w:type="first" r:id="rId11"/>
      <w:pgSz w:w="11906" w:h="16838"/>
      <w:pgMar w:top="1276"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2419" w14:textId="77777777" w:rsidR="00E80709" w:rsidRDefault="00E80709">
      <w:r>
        <w:separator/>
      </w:r>
    </w:p>
  </w:endnote>
  <w:endnote w:type="continuationSeparator" w:id="0">
    <w:p w14:paraId="689DED9E" w14:textId="77777777" w:rsidR="00E80709" w:rsidRDefault="00E8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47E" w14:textId="404EBB5C"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4C10E5">
      <w:rPr>
        <w:rStyle w:val="Numerstrony"/>
        <w:rFonts w:asciiTheme="minorHAnsi" w:hAnsiTheme="minorHAnsi"/>
        <w:noProof/>
        <w:sz w:val="20"/>
        <w:szCs w:val="20"/>
      </w:rPr>
      <w:t>1</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AFE83" w14:textId="77777777" w:rsidR="00E80709" w:rsidRDefault="00E80709">
      <w:r>
        <w:separator/>
      </w:r>
    </w:p>
  </w:footnote>
  <w:footnote w:type="continuationSeparator" w:id="0">
    <w:p w14:paraId="2F9B3299" w14:textId="77777777" w:rsidR="00E80709" w:rsidRDefault="00E80709">
      <w:r>
        <w:continuationSeparator/>
      </w:r>
    </w:p>
  </w:footnote>
  <w:footnote w:id="1">
    <w:p w14:paraId="63F4A805" w14:textId="6BD4C17A" w:rsidR="00003A4D" w:rsidRPr="00F25564" w:rsidRDefault="00003A4D" w:rsidP="00003A4D">
      <w:pPr>
        <w:pStyle w:val="Tekstprzypisudolnego"/>
        <w:jc w:val="both"/>
        <w:rPr>
          <w:sz w:val="18"/>
          <w:szCs w:val="18"/>
        </w:rPr>
      </w:pPr>
      <w:r w:rsidRPr="00F25564">
        <w:rPr>
          <w:rStyle w:val="Odwoanieprzypisudolnego"/>
          <w:rFonts w:asciiTheme="minorHAnsi" w:hAnsiTheme="minorHAnsi" w:cstheme="minorHAnsi"/>
          <w:sz w:val="18"/>
          <w:szCs w:val="18"/>
        </w:rPr>
        <w:footnoteRef/>
      </w:r>
      <w:r w:rsidRPr="00F25564">
        <w:rPr>
          <w:rFonts w:asciiTheme="minorHAnsi" w:hAnsiTheme="minorHAnsi" w:cstheme="minorHAnsi"/>
          <w:sz w:val="18"/>
          <w:szCs w:val="18"/>
        </w:rPr>
        <w:t xml:space="preserve"> Oznacza sieć bazową w rozumieniu </w:t>
      </w:r>
      <w:r w:rsidR="005119DB" w:rsidRPr="005119DB">
        <w:rPr>
          <w:rFonts w:asciiTheme="minorHAnsi" w:hAnsiTheme="minorHAnsi" w:cstheme="minorHAnsi"/>
          <w:sz w:val="18"/>
          <w:szCs w:val="18"/>
        </w:rPr>
        <w:t>rozporządzenia (UE) nr 2024/1679</w:t>
      </w:r>
      <w:r w:rsidR="005119DB">
        <w:rPr>
          <w:rFonts w:asciiTheme="minorHAnsi" w:hAnsiTheme="minorHAnsi" w:cstheme="minorHAnsi"/>
          <w:sz w:val="18"/>
          <w:szCs w:val="18"/>
        </w:rPr>
        <w:t>.</w:t>
      </w:r>
    </w:p>
  </w:footnote>
  <w:footnote w:id="2">
    <w:p w14:paraId="3BDEC58C" w14:textId="2EF2C6C4" w:rsidR="00003A4D" w:rsidRDefault="00003A4D" w:rsidP="00003A4D">
      <w:pPr>
        <w:pStyle w:val="Tekstprzypisudolnego"/>
        <w:jc w:val="both"/>
      </w:pPr>
      <w:r>
        <w:rPr>
          <w:rStyle w:val="Odwoanieprzypisudolnego"/>
        </w:rPr>
        <w:footnoteRef/>
      </w:r>
      <w:r>
        <w:t xml:space="preserve"> </w:t>
      </w:r>
      <w:r w:rsidRPr="00511C95">
        <w:rPr>
          <w:rFonts w:asciiTheme="minorHAnsi" w:hAnsiTheme="minorHAnsi" w:cstheme="minorHAnsi"/>
          <w:sz w:val="18"/>
          <w:szCs w:val="18"/>
        </w:rPr>
        <w:t xml:space="preserve">Zgodnie z art. 4, pkt 21a Ustawy o transporcie drogowym z dnia 6 września 2001 r., </w:t>
      </w:r>
      <w:r w:rsidR="00654113" w:rsidRPr="00654113">
        <w:rPr>
          <w:rFonts w:asciiTheme="minorHAnsi" w:hAnsiTheme="minorHAnsi" w:cstheme="minorHAnsi"/>
          <w:sz w:val="18"/>
          <w:szCs w:val="18"/>
        </w:rPr>
        <w:t>. baza eksploatacyjna – miejsce będące w dyspozycji przedsiębiorcy, przystosowane do prowadzenia działalności transportowej w sposób zorganizowany i ciągły, w skład którego wchodzi co najmniej jeden z następujących elementów: miejsce postojowe dla pojazdów wykorzystywanych w transporcie drogowym, miejsce załadunku, rozładunku lub łączenia ładunków, miejsce konserwacji lub naprawy pojazdów; przez bazę eksploatacyjną należy rozumieć także centrum operacyjne pracodawcy, o którym mowa w przepisach rozporządzenia (WE) nr 561/2006;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568"/>
    <w:multiLevelType w:val="hybridMultilevel"/>
    <w:tmpl w:val="F97CA842"/>
    <w:lvl w:ilvl="0" w:tplc="E0F471F4">
      <w:start w:val="1"/>
      <w:numFmt w:val="lowerLetter"/>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A3128"/>
    <w:multiLevelType w:val="hybridMultilevel"/>
    <w:tmpl w:val="8F7C177A"/>
    <w:lvl w:ilvl="0" w:tplc="7286DE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1685C5D"/>
    <w:multiLevelType w:val="hybridMultilevel"/>
    <w:tmpl w:val="DE341A3C"/>
    <w:lvl w:ilvl="0" w:tplc="936AD3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AD3DF9"/>
    <w:multiLevelType w:val="hybridMultilevel"/>
    <w:tmpl w:val="4C62E198"/>
    <w:lvl w:ilvl="0" w:tplc="40A6B45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373EAD"/>
    <w:multiLevelType w:val="hybridMultilevel"/>
    <w:tmpl w:val="6B7E553E"/>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8"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40055EC"/>
    <w:multiLevelType w:val="hybridMultilevel"/>
    <w:tmpl w:val="21D2D79C"/>
    <w:lvl w:ilvl="0" w:tplc="3ED86D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5044944"/>
    <w:multiLevelType w:val="multilevel"/>
    <w:tmpl w:val="6B809C96"/>
    <w:lvl w:ilvl="0">
      <w:start w:val="2"/>
      <w:numFmt w:val="decimal"/>
      <w:lvlText w:val="%1"/>
      <w:lvlJc w:val="left"/>
      <w:pPr>
        <w:ind w:left="360" w:hanging="360"/>
      </w:pPr>
      <w:rPr>
        <w:rFonts w:ascii="Calibri" w:hAnsi="Calibri" w:cs="Calibri" w:hint="default"/>
        <w:b/>
        <w:sz w:val="22"/>
      </w:rPr>
    </w:lvl>
    <w:lvl w:ilvl="1">
      <w:start w:val="5"/>
      <w:numFmt w:val="decimal"/>
      <w:lvlText w:val="%1.%2"/>
      <w:lvlJc w:val="left"/>
      <w:pPr>
        <w:ind w:left="360" w:hanging="360"/>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720" w:hanging="720"/>
      </w:pPr>
      <w:rPr>
        <w:rFonts w:ascii="Calibri" w:hAnsi="Calibri" w:cs="Calibri" w:hint="default"/>
        <w:b/>
        <w:sz w:val="22"/>
      </w:rPr>
    </w:lvl>
    <w:lvl w:ilvl="4">
      <w:start w:val="1"/>
      <w:numFmt w:val="decimal"/>
      <w:lvlText w:val="%1.%2.%3.%4.%5"/>
      <w:lvlJc w:val="left"/>
      <w:pPr>
        <w:ind w:left="1080" w:hanging="1080"/>
      </w:pPr>
      <w:rPr>
        <w:rFonts w:ascii="Calibri" w:hAnsi="Calibri" w:cs="Calibri" w:hint="default"/>
        <w:b/>
        <w:sz w:val="22"/>
      </w:rPr>
    </w:lvl>
    <w:lvl w:ilvl="5">
      <w:start w:val="1"/>
      <w:numFmt w:val="decimal"/>
      <w:lvlText w:val="%1.%2.%3.%4.%5.%6"/>
      <w:lvlJc w:val="left"/>
      <w:pPr>
        <w:ind w:left="1080" w:hanging="1080"/>
      </w:pPr>
      <w:rPr>
        <w:rFonts w:ascii="Calibri" w:hAnsi="Calibri" w:cs="Calibri" w:hint="default"/>
        <w:b/>
        <w:sz w:val="22"/>
      </w:rPr>
    </w:lvl>
    <w:lvl w:ilvl="6">
      <w:start w:val="1"/>
      <w:numFmt w:val="decimal"/>
      <w:lvlText w:val="%1.%2.%3.%4.%5.%6.%7"/>
      <w:lvlJc w:val="left"/>
      <w:pPr>
        <w:ind w:left="1440" w:hanging="1440"/>
      </w:pPr>
      <w:rPr>
        <w:rFonts w:ascii="Calibri" w:hAnsi="Calibri" w:cs="Calibri" w:hint="default"/>
        <w:b/>
        <w:sz w:val="22"/>
      </w:rPr>
    </w:lvl>
    <w:lvl w:ilvl="7">
      <w:start w:val="1"/>
      <w:numFmt w:val="decimal"/>
      <w:lvlText w:val="%1.%2.%3.%4.%5.%6.%7.%8"/>
      <w:lvlJc w:val="left"/>
      <w:pPr>
        <w:ind w:left="1440" w:hanging="1440"/>
      </w:pPr>
      <w:rPr>
        <w:rFonts w:ascii="Calibri" w:hAnsi="Calibri" w:cs="Calibri" w:hint="default"/>
        <w:b/>
        <w:sz w:val="22"/>
      </w:rPr>
    </w:lvl>
    <w:lvl w:ilvl="8">
      <w:start w:val="1"/>
      <w:numFmt w:val="decimal"/>
      <w:lvlText w:val="%1.%2.%3.%4.%5.%6.%7.%8.%9"/>
      <w:lvlJc w:val="left"/>
      <w:pPr>
        <w:ind w:left="1800" w:hanging="1800"/>
      </w:pPr>
      <w:rPr>
        <w:rFonts w:ascii="Calibri" w:hAnsi="Calibri" w:cs="Calibri" w:hint="default"/>
        <w:b/>
        <w:sz w:val="22"/>
      </w:rPr>
    </w:lvl>
  </w:abstractNum>
  <w:abstractNum w:abstractNumId="11" w15:restartNumberingAfterBreak="0">
    <w:nsid w:val="558350B5"/>
    <w:multiLevelType w:val="hybridMultilevel"/>
    <w:tmpl w:val="1B2E23FA"/>
    <w:lvl w:ilvl="0" w:tplc="FD868830">
      <w:numFmt w:val="bullet"/>
      <w:lvlText w:val="-"/>
      <w:lvlJc w:val="left"/>
      <w:pPr>
        <w:ind w:left="1288" w:hanging="360"/>
      </w:pPr>
      <w:rPr>
        <w:rFonts w:ascii="Calibri" w:eastAsia="Calibri" w:hAnsi="Calibri" w:cs="Calibri" w:hint="default"/>
        <w:color w:val="auto"/>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 w15:restartNumberingAfterBreak="0">
    <w:nsid w:val="6F2818B2"/>
    <w:multiLevelType w:val="hybridMultilevel"/>
    <w:tmpl w:val="2DD23008"/>
    <w:lvl w:ilvl="0" w:tplc="FFFFFFFF">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B03CC9"/>
    <w:multiLevelType w:val="hybridMultilevel"/>
    <w:tmpl w:val="1A161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3E3FE1"/>
    <w:multiLevelType w:val="hybridMultilevel"/>
    <w:tmpl w:val="55CC0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400874"/>
    <w:multiLevelType w:val="hybridMultilevel"/>
    <w:tmpl w:val="40D244F2"/>
    <w:lvl w:ilvl="0" w:tplc="0408164E">
      <w:start w:val="1"/>
      <w:numFmt w:val="lowerLetter"/>
      <w:lvlText w:val="%1)"/>
      <w:lvlJc w:val="left"/>
      <w:pPr>
        <w:ind w:left="2097" w:hanging="360"/>
      </w:pPr>
      <w:rPr>
        <w:b w:val="0"/>
      </w:rPr>
    </w:lvl>
    <w:lvl w:ilvl="1" w:tplc="04150001">
      <w:start w:val="1"/>
      <w:numFmt w:val="bullet"/>
      <w:lvlText w:val=""/>
      <w:lvlJc w:val="left"/>
      <w:pPr>
        <w:ind w:left="2877" w:hanging="420"/>
      </w:pPr>
      <w:rPr>
        <w:rFonts w:ascii="Symbol" w:hAnsi="Symbol" w:hint="default"/>
      </w:rPr>
    </w:lvl>
    <w:lvl w:ilvl="2" w:tplc="8EEC5A3A">
      <w:start w:val="1"/>
      <w:numFmt w:val="decimal"/>
      <w:lvlText w:val="%3)"/>
      <w:lvlJc w:val="left"/>
      <w:pPr>
        <w:ind w:left="3717" w:hanging="360"/>
      </w:pPr>
      <w:rPr>
        <w:rFonts w:hint="default"/>
      </w:rPr>
    </w:lvl>
    <w:lvl w:ilvl="3" w:tplc="0415000F" w:tentative="1">
      <w:start w:val="1"/>
      <w:numFmt w:val="decimal"/>
      <w:lvlText w:val="%4."/>
      <w:lvlJc w:val="left"/>
      <w:pPr>
        <w:ind w:left="4257" w:hanging="360"/>
      </w:pPr>
    </w:lvl>
    <w:lvl w:ilvl="4" w:tplc="04150019" w:tentative="1">
      <w:start w:val="1"/>
      <w:numFmt w:val="lowerLetter"/>
      <w:lvlText w:val="%5."/>
      <w:lvlJc w:val="left"/>
      <w:pPr>
        <w:ind w:left="4977" w:hanging="360"/>
      </w:pPr>
    </w:lvl>
    <w:lvl w:ilvl="5" w:tplc="0415001B" w:tentative="1">
      <w:start w:val="1"/>
      <w:numFmt w:val="lowerRoman"/>
      <w:lvlText w:val="%6."/>
      <w:lvlJc w:val="right"/>
      <w:pPr>
        <w:ind w:left="5697" w:hanging="180"/>
      </w:pPr>
    </w:lvl>
    <w:lvl w:ilvl="6" w:tplc="0415000F" w:tentative="1">
      <w:start w:val="1"/>
      <w:numFmt w:val="decimal"/>
      <w:lvlText w:val="%7."/>
      <w:lvlJc w:val="left"/>
      <w:pPr>
        <w:ind w:left="6417" w:hanging="360"/>
      </w:pPr>
    </w:lvl>
    <w:lvl w:ilvl="7" w:tplc="04150019" w:tentative="1">
      <w:start w:val="1"/>
      <w:numFmt w:val="lowerLetter"/>
      <w:lvlText w:val="%8."/>
      <w:lvlJc w:val="left"/>
      <w:pPr>
        <w:ind w:left="7137" w:hanging="360"/>
      </w:pPr>
    </w:lvl>
    <w:lvl w:ilvl="8" w:tplc="0415001B" w:tentative="1">
      <w:start w:val="1"/>
      <w:numFmt w:val="lowerRoman"/>
      <w:lvlText w:val="%9."/>
      <w:lvlJc w:val="right"/>
      <w:pPr>
        <w:ind w:left="7857" w:hanging="180"/>
      </w:pPr>
    </w:lvl>
  </w:abstractNum>
  <w:abstractNum w:abstractNumId="17" w15:restartNumberingAfterBreak="0">
    <w:nsid w:val="7878532E"/>
    <w:multiLevelType w:val="hybridMultilevel"/>
    <w:tmpl w:val="08C60230"/>
    <w:lvl w:ilvl="0" w:tplc="C1243B4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061DCC"/>
    <w:multiLevelType w:val="hybridMultilevel"/>
    <w:tmpl w:val="77B82A2A"/>
    <w:lvl w:ilvl="0" w:tplc="A2BC7F64">
      <w:start w:val="1"/>
      <w:numFmt w:val="decimal"/>
      <w:lvlText w:val="%1)"/>
      <w:lvlJc w:val="left"/>
      <w:pPr>
        <w:ind w:left="720" w:hanging="360"/>
      </w:pPr>
      <w:rPr>
        <w:rFonts w:asciiTheme="minorHAnsi" w:hAnsiTheme="minorHAnsi" w:cstheme="minorHAnsi" w:hint="default"/>
        <w:color w:val="auto"/>
      </w:r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34480538">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19" w15:restartNumberingAfterBreak="0">
    <w:nsid w:val="7F802E1B"/>
    <w:multiLevelType w:val="hybridMultilevel"/>
    <w:tmpl w:val="37726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3"/>
  </w:num>
  <w:num w:numId="5">
    <w:abstractNumId w:val="8"/>
  </w:num>
  <w:num w:numId="6">
    <w:abstractNumId w:val="12"/>
  </w:num>
  <w:num w:numId="7">
    <w:abstractNumId w:val="5"/>
  </w:num>
  <w:num w:numId="8">
    <w:abstractNumId w:val="11"/>
  </w:num>
  <w:num w:numId="9">
    <w:abstractNumId w:val="10"/>
  </w:num>
  <w:num w:numId="10">
    <w:abstractNumId w:val="17"/>
  </w:num>
  <w:num w:numId="11">
    <w:abstractNumId w:val="18"/>
  </w:num>
  <w:num w:numId="12">
    <w:abstractNumId w:val="7"/>
  </w:num>
  <w:num w:numId="13">
    <w:abstractNumId w:val="19"/>
  </w:num>
  <w:num w:numId="14">
    <w:abstractNumId w:val="16"/>
  </w:num>
  <w:num w:numId="15">
    <w:abstractNumId w:val="2"/>
  </w:num>
  <w:num w:numId="16">
    <w:abstractNumId w:val="0"/>
  </w:num>
  <w:num w:numId="17">
    <w:abstractNumId w:val="4"/>
  </w:num>
  <w:num w:numId="18">
    <w:abstractNumId w:val="14"/>
  </w:num>
  <w:num w:numId="19">
    <w:abstractNumId w:val="15"/>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3947"/>
    <w:rsid w:val="00003A4D"/>
    <w:rsid w:val="00003F2B"/>
    <w:rsid w:val="0000426D"/>
    <w:rsid w:val="0000559C"/>
    <w:rsid w:val="000124EB"/>
    <w:rsid w:val="000130A1"/>
    <w:rsid w:val="0001561C"/>
    <w:rsid w:val="0001596A"/>
    <w:rsid w:val="00016212"/>
    <w:rsid w:val="000167A4"/>
    <w:rsid w:val="000170F5"/>
    <w:rsid w:val="000176B4"/>
    <w:rsid w:val="0002117A"/>
    <w:rsid w:val="00021398"/>
    <w:rsid w:val="00023C6D"/>
    <w:rsid w:val="0002411B"/>
    <w:rsid w:val="00024A1F"/>
    <w:rsid w:val="000252DA"/>
    <w:rsid w:val="00026E7E"/>
    <w:rsid w:val="00027686"/>
    <w:rsid w:val="00027B3A"/>
    <w:rsid w:val="00031CD6"/>
    <w:rsid w:val="0003291D"/>
    <w:rsid w:val="00033195"/>
    <w:rsid w:val="00034181"/>
    <w:rsid w:val="000343DD"/>
    <w:rsid w:val="00035333"/>
    <w:rsid w:val="00036DDD"/>
    <w:rsid w:val="0003720B"/>
    <w:rsid w:val="00037244"/>
    <w:rsid w:val="0004251A"/>
    <w:rsid w:val="00043312"/>
    <w:rsid w:val="00043958"/>
    <w:rsid w:val="0004486D"/>
    <w:rsid w:val="00046347"/>
    <w:rsid w:val="000472EE"/>
    <w:rsid w:val="00055859"/>
    <w:rsid w:val="00056185"/>
    <w:rsid w:val="00056378"/>
    <w:rsid w:val="00056E03"/>
    <w:rsid w:val="00057197"/>
    <w:rsid w:val="00057882"/>
    <w:rsid w:val="000609CD"/>
    <w:rsid w:val="00060B43"/>
    <w:rsid w:val="00064501"/>
    <w:rsid w:val="00064ABE"/>
    <w:rsid w:val="00065D82"/>
    <w:rsid w:val="0007177C"/>
    <w:rsid w:val="0007363F"/>
    <w:rsid w:val="000736CE"/>
    <w:rsid w:val="000745AA"/>
    <w:rsid w:val="0007549A"/>
    <w:rsid w:val="00075D10"/>
    <w:rsid w:val="00075D25"/>
    <w:rsid w:val="000769C8"/>
    <w:rsid w:val="00076C50"/>
    <w:rsid w:val="00077658"/>
    <w:rsid w:val="00082AB2"/>
    <w:rsid w:val="00083A5C"/>
    <w:rsid w:val="00084010"/>
    <w:rsid w:val="00085BA6"/>
    <w:rsid w:val="00086A35"/>
    <w:rsid w:val="0008706B"/>
    <w:rsid w:val="000877BB"/>
    <w:rsid w:val="00090C6A"/>
    <w:rsid w:val="00090DB9"/>
    <w:rsid w:val="0009150F"/>
    <w:rsid w:val="000923AF"/>
    <w:rsid w:val="0009637B"/>
    <w:rsid w:val="000963D9"/>
    <w:rsid w:val="000964FD"/>
    <w:rsid w:val="00097055"/>
    <w:rsid w:val="0009722E"/>
    <w:rsid w:val="00097626"/>
    <w:rsid w:val="000A048C"/>
    <w:rsid w:val="000A2A8F"/>
    <w:rsid w:val="000A2F46"/>
    <w:rsid w:val="000A30EE"/>
    <w:rsid w:val="000A582F"/>
    <w:rsid w:val="000A6208"/>
    <w:rsid w:val="000A6888"/>
    <w:rsid w:val="000A7995"/>
    <w:rsid w:val="000B047D"/>
    <w:rsid w:val="000B051B"/>
    <w:rsid w:val="000B11E2"/>
    <w:rsid w:val="000B42B3"/>
    <w:rsid w:val="000B485C"/>
    <w:rsid w:val="000B4F79"/>
    <w:rsid w:val="000B64BC"/>
    <w:rsid w:val="000B6CE3"/>
    <w:rsid w:val="000B71E3"/>
    <w:rsid w:val="000C143D"/>
    <w:rsid w:val="000C41E9"/>
    <w:rsid w:val="000C543C"/>
    <w:rsid w:val="000C5B88"/>
    <w:rsid w:val="000C7B72"/>
    <w:rsid w:val="000D0289"/>
    <w:rsid w:val="000D13F0"/>
    <w:rsid w:val="000D20E6"/>
    <w:rsid w:val="000D3304"/>
    <w:rsid w:val="000D50A0"/>
    <w:rsid w:val="000D5D2B"/>
    <w:rsid w:val="000D6081"/>
    <w:rsid w:val="000D6DD3"/>
    <w:rsid w:val="000D7EE3"/>
    <w:rsid w:val="000E063F"/>
    <w:rsid w:val="000E1706"/>
    <w:rsid w:val="000E21F0"/>
    <w:rsid w:val="000E4146"/>
    <w:rsid w:val="000E477F"/>
    <w:rsid w:val="000E5106"/>
    <w:rsid w:val="000E73D2"/>
    <w:rsid w:val="000E77FA"/>
    <w:rsid w:val="000F17FC"/>
    <w:rsid w:val="000F2A93"/>
    <w:rsid w:val="000F3426"/>
    <w:rsid w:val="000F4152"/>
    <w:rsid w:val="000F5D2D"/>
    <w:rsid w:val="000F73F4"/>
    <w:rsid w:val="000F7511"/>
    <w:rsid w:val="000F7F95"/>
    <w:rsid w:val="00101191"/>
    <w:rsid w:val="001022FC"/>
    <w:rsid w:val="00104A9A"/>
    <w:rsid w:val="00107552"/>
    <w:rsid w:val="00110D31"/>
    <w:rsid w:val="0011148B"/>
    <w:rsid w:val="00112F5F"/>
    <w:rsid w:val="001149D1"/>
    <w:rsid w:val="00115378"/>
    <w:rsid w:val="001156F0"/>
    <w:rsid w:val="001168FB"/>
    <w:rsid w:val="00120DC0"/>
    <w:rsid w:val="001214FB"/>
    <w:rsid w:val="00121A16"/>
    <w:rsid w:val="0012360D"/>
    <w:rsid w:val="0012388D"/>
    <w:rsid w:val="00123FE9"/>
    <w:rsid w:val="00127861"/>
    <w:rsid w:val="00130BC6"/>
    <w:rsid w:val="00132039"/>
    <w:rsid w:val="001330ED"/>
    <w:rsid w:val="00133749"/>
    <w:rsid w:val="00133DE9"/>
    <w:rsid w:val="00134217"/>
    <w:rsid w:val="00134DF0"/>
    <w:rsid w:val="001350EC"/>
    <w:rsid w:val="0013587A"/>
    <w:rsid w:val="00135F6A"/>
    <w:rsid w:val="00136342"/>
    <w:rsid w:val="001374CB"/>
    <w:rsid w:val="001403C2"/>
    <w:rsid w:val="00141D77"/>
    <w:rsid w:val="00142E6D"/>
    <w:rsid w:val="00143794"/>
    <w:rsid w:val="00143C93"/>
    <w:rsid w:val="00143EFC"/>
    <w:rsid w:val="00143FD3"/>
    <w:rsid w:val="0014433C"/>
    <w:rsid w:val="00144712"/>
    <w:rsid w:val="00144C95"/>
    <w:rsid w:val="00144E23"/>
    <w:rsid w:val="00145A09"/>
    <w:rsid w:val="001464B1"/>
    <w:rsid w:val="00152881"/>
    <w:rsid w:val="001546BD"/>
    <w:rsid w:val="00155C59"/>
    <w:rsid w:val="00157DD4"/>
    <w:rsid w:val="00160C0F"/>
    <w:rsid w:val="0016238F"/>
    <w:rsid w:val="00162641"/>
    <w:rsid w:val="00162DDC"/>
    <w:rsid w:val="001639A4"/>
    <w:rsid w:val="001671CC"/>
    <w:rsid w:val="00167901"/>
    <w:rsid w:val="001707AB"/>
    <w:rsid w:val="00171F36"/>
    <w:rsid w:val="001722B0"/>
    <w:rsid w:val="00172D88"/>
    <w:rsid w:val="00173290"/>
    <w:rsid w:val="0017384C"/>
    <w:rsid w:val="001762FF"/>
    <w:rsid w:val="00176904"/>
    <w:rsid w:val="0018132F"/>
    <w:rsid w:val="001815B0"/>
    <w:rsid w:val="0018212F"/>
    <w:rsid w:val="0018427B"/>
    <w:rsid w:val="001842A5"/>
    <w:rsid w:val="001845A3"/>
    <w:rsid w:val="00184A20"/>
    <w:rsid w:val="00185EC8"/>
    <w:rsid w:val="0019123C"/>
    <w:rsid w:val="0019156F"/>
    <w:rsid w:val="001925E6"/>
    <w:rsid w:val="001949DE"/>
    <w:rsid w:val="001959EB"/>
    <w:rsid w:val="00195E59"/>
    <w:rsid w:val="001A1187"/>
    <w:rsid w:val="001A4E64"/>
    <w:rsid w:val="001A593A"/>
    <w:rsid w:val="001A5962"/>
    <w:rsid w:val="001A5D34"/>
    <w:rsid w:val="001A62A0"/>
    <w:rsid w:val="001B26FA"/>
    <w:rsid w:val="001B3900"/>
    <w:rsid w:val="001B4AEC"/>
    <w:rsid w:val="001B4EC2"/>
    <w:rsid w:val="001B5293"/>
    <w:rsid w:val="001B54D1"/>
    <w:rsid w:val="001B6F91"/>
    <w:rsid w:val="001B7AD4"/>
    <w:rsid w:val="001C0524"/>
    <w:rsid w:val="001C0999"/>
    <w:rsid w:val="001C227F"/>
    <w:rsid w:val="001C3A23"/>
    <w:rsid w:val="001C5254"/>
    <w:rsid w:val="001C52B2"/>
    <w:rsid w:val="001C5B24"/>
    <w:rsid w:val="001C75EF"/>
    <w:rsid w:val="001D11C4"/>
    <w:rsid w:val="001D1745"/>
    <w:rsid w:val="001D1A7E"/>
    <w:rsid w:val="001D25DE"/>
    <w:rsid w:val="001D274B"/>
    <w:rsid w:val="001D37D9"/>
    <w:rsid w:val="001D3839"/>
    <w:rsid w:val="001D4038"/>
    <w:rsid w:val="001D5A51"/>
    <w:rsid w:val="001D61A1"/>
    <w:rsid w:val="001D6399"/>
    <w:rsid w:val="001D6A62"/>
    <w:rsid w:val="001E0FD2"/>
    <w:rsid w:val="001E106A"/>
    <w:rsid w:val="001E24D4"/>
    <w:rsid w:val="001E255D"/>
    <w:rsid w:val="001E4B4B"/>
    <w:rsid w:val="001E5342"/>
    <w:rsid w:val="001F3F46"/>
    <w:rsid w:val="001F485B"/>
    <w:rsid w:val="001F5139"/>
    <w:rsid w:val="001F54A9"/>
    <w:rsid w:val="001F55D7"/>
    <w:rsid w:val="001F61B5"/>
    <w:rsid w:val="001F6799"/>
    <w:rsid w:val="001F7656"/>
    <w:rsid w:val="001F7EA6"/>
    <w:rsid w:val="0020021D"/>
    <w:rsid w:val="0020124E"/>
    <w:rsid w:val="00204821"/>
    <w:rsid w:val="002063CA"/>
    <w:rsid w:val="00207465"/>
    <w:rsid w:val="002076A5"/>
    <w:rsid w:val="00211521"/>
    <w:rsid w:val="00211A36"/>
    <w:rsid w:val="00211A4E"/>
    <w:rsid w:val="002120C0"/>
    <w:rsid w:val="002123F8"/>
    <w:rsid w:val="00212C18"/>
    <w:rsid w:val="00212E09"/>
    <w:rsid w:val="00213D74"/>
    <w:rsid w:val="002147D9"/>
    <w:rsid w:val="0021582B"/>
    <w:rsid w:val="00216386"/>
    <w:rsid w:val="00216646"/>
    <w:rsid w:val="002169A8"/>
    <w:rsid w:val="00216A62"/>
    <w:rsid w:val="00216AA2"/>
    <w:rsid w:val="002212B4"/>
    <w:rsid w:val="00221BCE"/>
    <w:rsid w:val="00222BD7"/>
    <w:rsid w:val="002241FD"/>
    <w:rsid w:val="00225EF2"/>
    <w:rsid w:val="002261A3"/>
    <w:rsid w:val="00227AC7"/>
    <w:rsid w:val="00230729"/>
    <w:rsid w:val="00233841"/>
    <w:rsid w:val="00234210"/>
    <w:rsid w:val="002349FA"/>
    <w:rsid w:val="0023554C"/>
    <w:rsid w:val="0023609F"/>
    <w:rsid w:val="00236E49"/>
    <w:rsid w:val="00236EE5"/>
    <w:rsid w:val="00236F7A"/>
    <w:rsid w:val="00237C99"/>
    <w:rsid w:val="0024037E"/>
    <w:rsid w:val="002414FF"/>
    <w:rsid w:val="00241BE8"/>
    <w:rsid w:val="00242397"/>
    <w:rsid w:val="00242D92"/>
    <w:rsid w:val="002431AC"/>
    <w:rsid w:val="00243433"/>
    <w:rsid w:val="00243D98"/>
    <w:rsid w:val="00244621"/>
    <w:rsid w:val="00244973"/>
    <w:rsid w:val="0024658E"/>
    <w:rsid w:val="00251158"/>
    <w:rsid w:val="0025135E"/>
    <w:rsid w:val="002516D8"/>
    <w:rsid w:val="0025213F"/>
    <w:rsid w:val="00252156"/>
    <w:rsid w:val="00256721"/>
    <w:rsid w:val="002617E5"/>
    <w:rsid w:val="0026188D"/>
    <w:rsid w:val="00261D99"/>
    <w:rsid w:val="00262D1C"/>
    <w:rsid w:val="002635C3"/>
    <w:rsid w:val="002638B4"/>
    <w:rsid w:val="0026569B"/>
    <w:rsid w:val="00265F5E"/>
    <w:rsid w:val="002666C0"/>
    <w:rsid w:val="002704A6"/>
    <w:rsid w:val="00270D30"/>
    <w:rsid w:val="00274CFA"/>
    <w:rsid w:val="002757FE"/>
    <w:rsid w:val="00275A8D"/>
    <w:rsid w:val="0027624E"/>
    <w:rsid w:val="00276A6E"/>
    <w:rsid w:val="00276AB5"/>
    <w:rsid w:val="00276ED7"/>
    <w:rsid w:val="00280547"/>
    <w:rsid w:val="00280849"/>
    <w:rsid w:val="002843D0"/>
    <w:rsid w:val="00285E1E"/>
    <w:rsid w:val="00286268"/>
    <w:rsid w:val="00291F9F"/>
    <w:rsid w:val="00291FB2"/>
    <w:rsid w:val="0029205B"/>
    <w:rsid w:val="00294DC5"/>
    <w:rsid w:val="00296619"/>
    <w:rsid w:val="002A1337"/>
    <w:rsid w:val="002A2DED"/>
    <w:rsid w:val="002A4F47"/>
    <w:rsid w:val="002A569A"/>
    <w:rsid w:val="002A5A00"/>
    <w:rsid w:val="002A692E"/>
    <w:rsid w:val="002A7340"/>
    <w:rsid w:val="002B089D"/>
    <w:rsid w:val="002B31F4"/>
    <w:rsid w:val="002B45D6"/>
    <w:rsid w:val="002C0BE5"/>
    <w:rsid w:val="002C2846"/>
    <w:rsid w:val="002C4749"/>
    <w:rsid w:val="002C5895"/>
    <w:rsid w:val="002C5E0D"/>
    <w:rsid w:val="002C75BB"/>
    <w:rsid w:val="002D070C"/>
    <w:rsid w:val="002D0DA7"/>
    <w:rsid w:val="002D1330"/>
    <w:rsid w:val="002D14E7"/>
    <w:rsid w:val="002D1F3E"/>
    <w:rsid w:val="002D1F46"/>
    <w:rsid w:val="002D72A7"/>
    <w:rsid w:val="002D7C7E"/>
    <w:rsid w:val="002E0B92"/>
    <w:rsid w:val="002E0E36"/>
    <w:rsid w:val="002E2BC3"/>
    <w:rsid w:val="002E2DF0"/>
    <w:rsid w:val="002E300E"/>
    <w:rsid w:val="002E325C"/>
    <w:rsid w:val="002E3ABF"/>
    <w:rsid w:val="002E508D"/>
    <w:rsid w:val="002E51DD"/>
    <w:rsid w:val="002E52C5"/>
    <w:rsid w:val="002E5BD1"/>
    <w:rsid w:val="002E69B5"/>
    <w:rsid w:val="002E73D8"/>
    <w:rsid w:val="002F2003"/>
    <w:rsid w:val="002F216E"/>
    <w:rsid w:val="002F2A9D"/>
    <w:rsid w:val="002F3F3E"/>
    <w:rsid w:val="002F463C"/>
    <w:rsid w:val="002F46F1"/>
    <w:rsid w:val="002F4ECB"/>
    <w:rsid w:val="00300FBB"/>
    <w:rsid w:val="003018F2"/>
    <w:rsid w:val="00301BB3"/>
    <w:rsid w:val="00301D0D"/>
    <w:rsid w:val="00304872"/>
    <w:rsid w:val="00304B3F"/>
    <w:rsid w:val="00305AEA"/>
    <w:rsid w:val="00305D47"/>
    <w:rsid w:val="003068D2"/>
    <w:rsid w:val="00313D61"/>
    <w:rsid w:val="003148DC"/>
    <w:rsid w:val="00315BCE"/>
    <w:rsid w:val="00315D5C"/>
    <w:rsid w:val="00316946"/>
    <w:rsid w:val="0031732A"/>
    <w:rsid w:val="0031777E"/>
    <w:rsid w:val="00317DB8"/>
    <w:rsid w:val="003204CE"/>
    <w:rsid w:val="0032056D"/>
    <w:rsid w:val="00321B91"/>
    <w:rsid w:val="00324F72"/>
    <w:rsid w:val="00325F5F"/>
    <w:rsid w:val="0032608D"/>
    <w:rsid w:val="00327618"/>
    <w:rsid w:val="00327AAE"/>
    <w:rsid w:val="00327C79"/>
    <w:rsid w:val="003309EF"/>
    <w:rsid w:val="00331BA5"/>
    <w:rsid w:val="00331BF7"/>
    <w:rsid w:val="00332483"/>
    <w:rsid w:val="0033355B"/>
    <w:rsid w:val="003337FD"/>
    <w:rsid w:val="00333B59"/>
    <w:rsid w:val="00333C8C"/>
    <w:rsid w:val="0033457C"/>
    <w:rsid w:val="00335144"/>
    <w:rsid w:val="0034241E"/>
    <w:rsid w:val="0034402C"/>
    <w:rsid w:val="00345196"/>
    <w:rsid w:val="003453B2"/>
    <w:rsid w:val="00345E10"/>
    <w:rsid w:val="00346165"/>
    <w:rsid w:val="00347B22"/>
    <w:rsid w:val="00347B2B"/>
    <w:rsid w:val="00350E3C"/>
    <w:rsid w:val="00351050"/>
    <w:rsid w:val="00352230"/>
    <w:rsid w:val="00354453"/>
    <w:rsid w:val="00354A44"/>
    <w:rsid w:val="00354D11"/>
    <w:rsid w:val="003579E2"/>
    <w:rsid w:val="00361B87"/>
    <w:rsid w:val="003624AE"/>
    <w:rsid w:val="00362A20"/>
    <w:rsid w:val="00363F11"/>
    <w:rsid w:val="00364984"/>
    <w:rsid w:val="00364A65"/>
    <w:rsid w:val="00366012"/>
    <w:rsid w:val="0036628E"/>
    <w:rsid w:val="0037057A"/>
    <w:rsid w:val="003706EE"/>
    <w:rsid w:val="003720CF"/>
    <w:rsid w:val="0037385B"/>
    <w:rsid w:val="00373EBF"/>
    <w:rsid w:val="00374E12"/>
    <w:rsid w:val="003753F6"/>
    <w:rsid w:val="00375948"/>
    <w:rsid w:val="00376592"/>
    <w:rsid w:val="00376E23"/>
    <w:rsid w:val="00377159"/>
    <w:rsid w:val="00377C8E"/>
    <w:rsid w:val="0038095D"/>
    <w:rsid w:val="00381332"/>
    <w:rsid w:val="003832C6"/>
    <w:rsid w:val="00383A37"/>
    <w:rsid w:val="00383D7B"/>
    <w:rsid w:val="00385137"/>
    <w:rsid w:val="00385B58"/>
    <w:rsid w:val="00387680"/>
    <w:rsid w:val="00390993"/>
    <w:rsid w:val="00390C0A"/>
    <w:rsid w:val="00393851"/>
    <w:rsid w:val="003949DD"/>
    <w:rsid w:val="00394B34"/>
    <w:rsid w:val="003955DB"/>
    <w:rsid w:val="003A0A61"/>
    <w:rsid w:val="003A1124"/>
    <w:rsid w:val="003A235F"/>
    <w:rsid w:val="003A2443"/>
    <w:rsid w:val="003A35A1"/>
    <w:rsid w:val="003A4463"/>
    <w:rsid w:val="003A58E1"/>
    <w:rsid w:val="003A5BCE"/>
    <w:rsid w:val="003A7918"/>
    <w:rsid w:val="003A7994"/>
    <w:rsid w:val="003B02D3"/>
    <w:rsid w:val="003B2818"/>
    <w:rsid w:val="003B3541"/>
    <w:rsid w:val="003B3902"/>
    <w:rsid w:val="003B5F9E"/>
    <w:rsid w:val="003B6219"/>
    <w:rsid w:val="003C0D8F"/>
    <w:rsid w:val="003C4DEF"/>
    <w:rsid w:val="003C54F1"/>
    <w:rsid w:val="003C7D3D"/>
    <w:rsid w:val="003D08F1"/>
    <w:rsid w:val="003D0A03"/>
    <w:rsid w:val="003D1E10"/>
    <w:rsid w:val="003D2105"/>
    <w:rsid w:val="003D2477"/>
    <w:rsid w:val="003D2651"/>
    <w:rsid w:val="003D283A"/>
    <w:rsid w:val="003D4426"/>
    <w:rsid w:val="003D50AF"/>
    <w:rsid w:val="003D583E"/>
    <w:rsid w:val="003D6756"/>
    <w:rsid w:val="003D7ADC"/>
    <w:rsid w:val="003E0B5B"/>
    <w:rsid w:val="003E13BA"/>
    <w:rsid w:val="003E35D1"/>
    <w:rsid w:val="003E3D76"/>
    <w:rsid w:val="003E419A"/>
    <w:rsid w:val="003E6002"/>
    <w:rsid w:val="003E6A6B"/>
    <w:rsid w:val="003E7AB9"/>
    <w:rsid w:val="003F0508"/>
    <w:rsid w:val="003F094D"/>
    <w:rsid w:val="003F1BAB"/>
    <w:rsid w:val="003F2F63"/>
    <w:rsid w:val="003F32F4"/>
    <w:rsid w:val="003F36A7"/>
    <w:rsid w:val="003F521B"/>
    <w:rsid w:val="003F5C84"/>
    <w:rsid w:val="003F5F64"/>
    <w:rsid w:val="003F7195"/>
    <w:rsid w:val="003F7F32"/>
    <w:rsid w:val="0040107C"/>
    <w:rsid w:val="004012B9"/>
    <w:rsid w:val="00401C00"/>
    <w:rsid w:val="00401E83"/>
    <w:rsid w:val="00402F9B"/>
    <w:rsid w:val="00403039"/>
    <w:rsid w:val="00403DB9"/>
    <w:rsid w:val="00403F76"/>
    <w:rsid w:val="00404536"/>
    <w:rsid w:val="00406A9B"/>
    <w:rsid w:val="00410172"/>
    <w:rsid w:val="004116BE"/>
    <w:rsid w:val="004134BC"/>
    <w:rsid w:val="004160E3"/>
    <w:rsid w:val="00416B50"/>
    <w:rsid w:val="00417287"/>
    <w:rsid w:val="0041739F"/>
    <w:rsid w:val="00420366"/>
    <w:rsid w:val="00420DA0"/>
    <w:rsid w:val="00420F23"/>
    <w:rsid w:val="00421DFA"/>
    <w:rsid w:val="004221C4"/>
    <w:rsid w:val="00423887"/>
    <w:rsid w:val="00424FEF"/>
    <w:rsid w:val="004275C5"/>
    <w:rsid w:val="004279A5"/>
    <w:rsid w:val="004310E5"/>
    <w:rsid w:val="004318CB"/>
    <w:rsid w:val="00431AA0"/>
    <w:rsid w:val="00432755"/>
    <w:rsid w:val="00432BA2"/>
    <w:rsid w:val="00440A2B"/>
    <w:rsid w:val="00441340"/>
    <w:rsid w:val="00441F5A"/>
    <w:rsid w:val="0044298C"/>
    <w:rsid w:val="00442A6D"/>
    <w:rsid w:val="00442E87"/>
    <w:rsid w:val="00444C22"/>
    <w:rsid w:val="00444C3A"/>
    <w:rsid w:val="004452DA"/>
    <w:rsid w:val="00445534"/>
    <w:rsid w:val="00447948"/>
    <w:rsid w:val="00447CEF"/>
    <w:rsid w:val="00450BC0"/>
    <w:rsid w:val="00453C22"/>
    <w:rsid w:val="00454E89"/>
    <w:rsid w:val="004551AB"/>
    <w:rsid w:val="00456447"/>
    <w:rsid w:val="00456B56"/>
    <w:rsid w:val="00456C24"/>
    <w:rsid w:val="00460265"/>
    <w:rsid w:val="00462E8F"/>
    <w:rsid w:val="0046321F"/>
    <w:rsid w:val="004636B7"/>
    <w:rsid w:val="004649AB"/>
    <w:rsid w:val="00465224"/>
    <w:rsid w:val="00465F6C"/>
    <w:rsid w:val="00470596"/>
    <w:rsid w:val="00470A0C"/>
    <w:rsid w:val="00471070"/>
    <w:rsid w:val="00471FC8"/>
    <w:rsid w:val="0047380F"/>
    <w:rsid w:val="00474045"/>
    <w:rsid w:val="0047442A"/>
    <w:rsid w:val="00474858"/>
    <w:rsid w:val="0047634C"/>
    <w:rsid w:val="00480F31"/>
    <w:rsid w:val="00482C2D"/>
    <w:rsid w:val="00485DC1"/>
    <w:rsid w:val="004860E8"/>
    <w:rsid w:val="00490842"/>
    <w:rsid w:val="00492865"/>
    <w:rsid w:val="00493FE7"/>
    <w:rsid w:val="004940A0"/>
    <w:rsid w:val="004952C5"/>
    <w:rsid w:val="0049579B"/>
    <w:rsid w:val="00495FA6"/>
    <w:rsid w:val="004979D0"/>
    <w:rsid w:val="004A21B0"/>
    <w:rsid w:val="004A2464"/>
    <w:rsid w:val="004A2C7D"/>
    <w:rsid w:val="004A354B"/>
    <w:rsid w:val="004A356B"/>
    <w:rsid w:val="004A5382"/>
    <w:rsid w:val="004A633B"/>
    <w:rsid w:val="004A76ED"/>
    <w:rsid w:val="004B0058"/>
    <w:rsid w:val="004B1B59"/>
    <w:rsid w:val="004B4204"/>
    <w:rsid w:val="004B7613"/>
    <w:rsid w:val="004B77DE"/>
    <w:rsid w:val="004C10E5"/>
    <w:rsid w:val="004C1233"/>
    <w:rsid w:val="004C1936"/>
    <w:rsid w:val="004C2BC5"/>
    <w:rsid w:val="004C344C"/>
    <w:rsid w:val="004C7358"/>
    <w:rsid w:val="004C7A00"/>
    <w:rsid w:val="004D1675"/>
    <w:rsid w:val="004D2EF9"/>
    <w:rsid w:val="004D3464"/>
    <w:rsid w:val="004D3D45"/>
    <w:rsid w:val="004D3DD7"/>
    <w:rsid w:val="004D496E"/>
    <w:rsid w:val="004D4C12"/>
    <w:rsid w:val="004D4EB4"/>
    <w:rsid w:val="004D555F"/>
    <w:rsid w:val="004D663F"/>
    <w:rsid w:val="004E0A00"/>
    <w:rsid w:val="004E227B"/>
    <w:rsid w:val="004E29F2"/>
    <w:rsid w:val="004E570E"/>
    <w:rsid w:val="004E68B4"/>
    <w:rsid w:val="004E6F01"/>
    <w:rsid w:val="004E760B"/>
    <w:rsid w:val="004E7FD0"/>
    <w:rsid w:val="004F0D4D"/>
    <w:rsid w:val="004F34A6"/>
    <w:rsid w:val="004F50B0"/>
    <w:rsid w:val="004F5768"/>
    <w:rsid w:val="004F5837"/>
    <w:rsid w:val="004F6088"/>
    <w:rsid w:val="004F7224"/>
    <w:rsid w:val="004F7FA3"/>
    <w:rsid w:val="00500384"/>
    <w:rsid w:val="00502D7A"/>
    <w:rsid w:val="00503831"/>
    <w:rsid w:val="00503E56"/>
    <w:rsid w:val="00503EF9"/>
    <w:rsid w:val="005052E4"/>
    <w:rsid w:val="00506664"/>
    <w:rsid w:val="005073DD"/>
    <w:rsid w:val="00507558"/>
    <w:rsid w:val="00510B7C"/>
    <w:rsid w:val="00510D06"/>
    <w:rsid w:val="00510D48"/>
    <w:rsid w:val="00511793"/>
    <w:rsid w:val="005119DB"/>
    <w:rsid w:val="00511C95"/>
    <w:rsid w:val="00512868"/>
    <w:rsid w:val="00513316"/>
    <w:rsid w:val="0051529D"/>
    <w:rsid w:val="00516936"/>
    <w:rsid w:val="005178AD"/>
    <w:rsid w:val="0052051A"/>
    <w:rsid w:val="0052059B"/>
    <w:rsid w:val="0052104B"/>
    <w:rsid w:val="00521179"/>
    <w:rsid w:val="0052179A"/>
    <w:rsid w:val="0052259E"/>
    <w:rsid w:val="00522CFD"/>
    <w:rsid w:val="00524983"/>
    <w:rsid w:val="00524A7D"/>
    <w:rsid w:val="00524CA5"/>
    <w:rsid w:val="00526396"/>
    <w:rsid w:val="00526EE4"/>
    <w:rsid w:val="00531052"/>
    <w:rsid w:val="005311C7"/>
    <w:rsid w:val="00532422"/>
    <w:rsid w:val="00533DB1"/>
    <w:rsid w:val="00534670"/>
    <w:rsid w:val="0053671D"/>
    <w:rsid w:val="0053687B"/>
    <w:rsid w:val="00536D32"/>
    <w:rsid w:val="0053711F"/>
    <w:rsid w:val="005378C5"/>
    <w:rsid w:val="00537F79"/>
    <w:rsid w:val="005402E0"/>
    <w:rsid w:val="00541252"/>
    <w:rsid w:val="00547951"/>
    <w:rsid w:val="00547F54"/>
    <w:rsid w:val="0055123E"/>
    <w:rsid w:val="00552435"/>
    <w:rsid w:val="00553236"/>
    <w:rsid w:val="00553EAE"/>
    <w:rsid w:val="0055425D"/>
    <w:rsid w:val="005546D1"/>
    <w:rsid w:val="00554DF2"/>
    <w:rsid w:val="00555C66"/>
    <w:rsid w:val="0055789F"/>
    <w:rsid w:val="005639E0"/>
    <w:rsid w:val="00563BCD"/>
    <w:rsid w:val="00563BED"/>
    <w:rsid w:val="00564DFC"/>
    <w:rsid w:val="00566487"/>
    <w:rsid w:val="0056659C"/>
    <w:rsid w:val="005676D1"/>
    <w:rsid w:val="00567F9C"/>
    <w:rsid w:val="005716F1"/>
    <w:rsid w:val="005720A5"/>
    <w:rsid w:val="005727BC"/>
    <w:rsid w:val="005730B0"/>
    <w:rsid w:val="005748D6"/>
    <w:rsid w:val="00576709"/>
    <w:rsid w:val="0057694B"/>
    <w:rsid w:val="00577769"/>
    <w:rsid w:val="0057799D"/>
    <w:rsid w:val="0058072F"/>
    <w:rsid w:val="00580DCF"/>
    <w:rsid w:val="005813C2"/>
    <w:rsid w:val="0058190A"/>
    <w:rsid w:val="00582E20"/>
    <w:rsid w:val="005832BD"/>
    <w:rsid w:val="005834E1"/>
    <w:rsid w:val="00583DD5"/>
    <w:rsid w:val="0058422E"/>
    <w:rsid w:val="005846EA"/>
    <w:rsid w:val="00585D91"/>
    <w:rsid w:val="005868E8"/>
    <w:rsid w:val="00590866"/>
    <w:rsid w:val="00595C43"/>
    <w:rsid w:val="00596005"/>
    <w:rsid w:val="00596563"/>
    <w:rsid w:val="00597F0F"/>
    <w:rsid w:val="005A0022"/>
    <w:rsid w:val="005A30B1"/>
    <w:rsid w:val="005A3653"/>
    <w:rsid w:val="005A4DCA"/>
    <w:rsid w:val="005A509F"/>
    <w:rsid w:val="005A520C"/>
    <w:rsid w:val="005A5F29"/>
    <w:rsid w:val="005A7958"/>
    <w:rsid w:val="005B0651"/>
    <w:rsid w:val="005B2703"/>
    <w:rsid w:val="005B35EE"/>
    <w:rsid w:val="005B5AA6"/>
    <w:rsid w:val="005B634D"/>
    <w:rsid w:val="005B673A"/>
    <w:rsid w:val="005B6DA3"/>
    <w:rsid w:val="005B7DBC"/>
    <w:rsid w:val="005C010C"/>
    <w:rsid w:val="005C2B18"/>
    <w:rsid w:val="005C32DA"/>
    <w:rsid w:val="005C5D87"/>
    <w:rsid w:val="005C74A2"/>
    <w:rsid w:val="005C7E72"/>
    <w:rsid w:val="005D1F9C"/>
    <w:rsid w:val="005D381E"/>
    <w:rsid w:val="005D6D7E"/>
    <w:rsid w:val="005D7078"/>
    <w:rsid w:val="005E2294"/>
    <w:rsid w:val="005E2A01"/>
    <w:rsid w:val="005E49F1"/>
    <w:rsid w:val="005E4EC8"/>
    <w:rsid w:val="005E5935"/>
    <w:rsid w:val="005E7B4C"/>
    <w:rsid w:val="005F01E3"/>
    <w:rsid w:val="005F0272"/>
    <w:rsid w:val="005F07D6"/>
    <w:rsid w:val="005F3730"/>
    <w:rsid w:val="005F5B76"/>
    <w:rsid w:val="00602885"/>
    <w:rsid w:val="0060350E"/>
    <w:rsid w:val="00604218"/>
    <w:rsid w:val="00604D4E"/>
    <w:rsid w:val="0060508E"/>
    <w:rsid w:val="006073C4"/>
    <w:rsid w:val="006105D0"/>
    <w:rsid w:val="0061083E"/>
    <w:rsid w:val="00610A3F"/>
    <w:rsid w:val="00610F15"/>
    <w:rsid w:val="00611D9F"/>
    <w:rsid w:val="0061365B"/>
    <w:rsid w:val="00614AE0"/>
    <w:rsid w:val="006160BE"/>
    <w:rsid w:val="00616143"/>
    <w:rsid w:val="0061623B"/>
    <w:rsid w:val="0062050E"/>
    <w:rsid w:val="00620C15"/>
    <w:rsid w:val="00624250"/>
    <w:rsid w:val="0062453A"/>
    <w:rsid w:val="00624A12"/>
    <w:rsid w:val="006260D9"/>
    <w:rsid w:val="006267E3"/>
    <w:rsid w:val="0062749D"/>
    <w:rsid w:val="00627FA8"/>
    <w:rsid w:val="00630BD4"/>
    <w:rsid w:val="006340DD"/>
    <w:rsid w:val="00634641"/>
    <w:rsid w:val="00635519"/>
    <w:rsid w:val="00635AA3"/>
    <w:rsid w:val="00636FFD"/>
    <w:rsid w:val="00637644"/>
    <w:rsid w:val="00637CF7"/>
    <w:rsid w:val="00640504"/>
    <w:rsid w:val="0064118A"/>
    <w:rsid w:val="00641768"/>
    <w:rsid w:val="006418C4"/>
    <w:rsid w:val="00641FE6"/>
    <w:rsid w:val="00644562"/>
    <w:rsid w:val="006445E6"/>
    <w:rsid w:val="00644861"/>
    <w:rsid w:val="00644B36"/>
    <w:rsid w:val="00646D4A"/>
    <w:rsid w:val="00647975"/>
    <w:rsid w:val="00647DE3"/>
    <w:rsid w:val="00650B35"/>
    <w:rsid w:val="00651A38"/>
    <w:rsid w:val="00654113"/>
    <w:rsid w:val="00655F22"/>
    <w:rsid w:val="00656181"/>
    <w:rsid w:val="00656219"/>
    <w:rsid w:val="0065686A"/>
    <w:rsid w:val="006571AC"/>
    <w:rsid w:val="00660031"/>
    <w:rsid w:val="00661ED8"/>
    <w:rsid w:val="0066215A"/>
    <w:rsid w:val="006625A7"/>
    <w:rsid w:val="00664530"/>
    <w:rsid w:val="00664D3B"/>
    <w:rsid w:val="00665C84"/>
    <w:rsid w:val="006675AC"/>
    <w:rsid w:val="0066777C"/>
    <w:rsid w:val="006712FE"/>
    <w:rsid w:val="006717DB"/>
    <w:rsid w:val="00672C84"/>
    <w:rsid w:val="00672F70"/>
    <w:rsid w:val="006744D3"/>
    <w:rsid w:val="00674C3F"/>
    <w:rsid w:val="00675178"/>
    <w:rsid w:val="0067530F"/>
    <w:rsid w:val="00675EFD"/>
    <w:rsid w:val="006762C5"/>
    <w:rsid w:val="006774D9"/>
    <w:rsid w:val="00677D10"/>
    <w:rsid w:val="00680C57"/>
    <w:rsid w:val="006825D8"/>
    <w:rsid w:val="006834E1"/>
    <w:rsid w:val="00683729"/>
    <w:rsid w:val="0068439F"/>
    <w:rsid w:val="0068477F"/>
    <w:rsid w:val="006869FC"/>
    <w:rsid w:val="0068725D"/>
    <w:rsid w:val="00687621"/>
    <w:rsid w:val="00687941"/>
    <w:rsid w:val="006907AD"/>
    <w:rsid w:val="006919AD"/>
    <w:rsid w:val="006920DF"/>
    <w:rsid w:val="006922CE"/>
    <w:rsid w:val="006967E8"/>
    <w:rsid w:val="006968D6"/>
    <w:rsid w:val="006A0298"/>
    <w:rsid w:val="006A0515"/>
    <w:rsid w:val="006A0C76"/>
    <w:rsid w:val="006A13B0"/>
    <w:rsid w:val="006A2E77"/>
    <w:rsid w:val="006A31CB"/>
    <w:rsid w:val="006A40ED"/>
    <w:rsid w:val="006A4681"/>
    <w:rsid w:val="006A4F88"/>
    <w:rsid w:val="006A7924"/>
    <w:rsid w:val="006A7F29"/>
    <w:rsid w:val="006A7FCA"/>
    <w:rsid w:val="006B0BC1"/>
    <w:rsid w:val="006B25C7"/>
    <w:rsid w:val="006B2724"/>
    <w:rsid w:val="006B32FF"/>
    <w:rsid w:val="006B3C20"/>
    <w:rsid w:val="006B3D10"/>
    <w:rsid w:val="006B4726"/>
    <w:rsid w:val="006B4FF6"/>
    <w:rsid w:val="006B50A9"/>
    <w:rsid w:val="006B77D0"/>
    <w:rsid w:val="006B7E55"/>
    <w:rsid w:val="006C053B"/>
    <w:rsid w:val="006C0992"/>
    <w:rsid w:val="006C1D26"/>
    <w:rsid w:val="006C2BF1"/>
    <w:rsid w:val="006C370E"/>
    <w:rsid w:val="006C430A"/>
    <w:rsid w:val="006C585F"/>
    <w:rsid w:val="006C58F1"/>
    <w:rsid w:val="006C644B"/>
    <w:rsid w:val="006D0917"/>
    <w:rsid w:val="006D1107"/>
    <w:rsid w:val="006D282A"/>
    <w:rsid w:val="006D3D42"/>
    <w:rsid w:val="006D42BF"/>
    <w:rsid w:val="006D5854"/>
    <w:rsid w:val="006D6157"/>
    <w:rsid w:val="006D6D63"/>
    <w:rsid w:val="006D734F"/>
    <w:rsid w:val="006D79D3"/>
    <w:rsid w:val="006D7E01"/>
    <w:rsid w:val="006E0A67"/>
    <w:rsid w:val="006E0BB6"/>
    <w:rsid w:val="006E2AD1"/>
    <w:rsid w:val="006E4785"/>
    <w:rsid w:val="006E49C7"/>
    <w:rsid w:val="006E4B4C"/>
    <w:rsid w:val="006E560C"/>
    <w:rsid w:val="006E5724"/>
    <w:rsid w:val="006E680D"/>
    <w:rsid w:val="006E695D"/>
    <w:rsid w:val="006F27C9"/>
    <w:rsid w:val="006F5CD1"/>
    <w:rsid w:val="006F7C9D"/>
    <w:rsid w:val="00700018"/>
    <w:rsid w:val="00700898"/>
    <w:rsid w:val="007028DB"/>
    <w:rsid w:val="00704659"/>
    <w:rsid w:val="0070517D"/>
    <w:rsid w:val="007053FB"/>
    <w:rsid w:val="0070577E"/>
    <w:rsid w:val="007110FC"/>
    <w:rsid w:val="007115B3"/>
    <w:rsid w:val="007126BD"/>
    <w:rsid w:val="00712886"/>
    <w:rsid w:val="00713C14"/>
    <w:rsid w:val="00716626"/>
    <w:rsid w:val="00716E3D"/>
    <w:rsid w:val="00717CBA"/>
    <w:rsid w:val="00720199"/>
    <w:rsid w:val="00724B17"/>
    <w:rsid w:val="00725CBA"/>
    <w:rsid w:val="00725E97"/>
    <w:rsid w:val="007261EC"/>
    <w:rsid w:val="007278F4"/>
    <w:rsid w:val="00727918"/>
    <w:rsid w:val="00730359"/>
    <w:rsid w:val="00730FB1"/>
    <w:rsid w:val="00730FD2"/>
    <w:rsid w:val="00731C0F"/>
    <w:rsid w:val="00731C8A"/>
    <w:rsid w:val="007332B8"/>
    <w:rsid w:val="00733B0E"/>
    <w:rsid w:val="00734574"/>
    <w:rsid w:val="007349C2"/>
    <w:rsid w:val="00734BB0"/>
    <w:rsid w:val="00735D2B"/>
    <w:rsid w:val="007362F1"/>
    <w:rsid w:val="00736A5E"/>
    <w:rsid w:val="007372FA"/>
    <w:rsid w:val="00737CBC"/>
    <w:rsid w:val="00737EFD"/>
    <w:rsid w:val="0074058E"/>
    <w:rsid w:val="0074080B"/>
    <w:rsid w:val="00740BFD"/>
    <w:rsid w:val="00741D71"/>
    <w:rsid w:val="007456AA"/>
    <w:rsid w:val="0074672E"/>
    <w:rsid w:val="00746C19"/>
    <w:rsid w:val="00746D12"/>
    <w:rsid w:val="00747AF1"/>
    <w:rsid w:val="00750960"/>
    <w:rsid w:val="00755189"/>
    <w:rsid w:val="0075540F"/>
    <w:rsid w:val="00756085"/>
    <w:rsid w:val="00757166"/>
    <w:rsid w:val="00760DD1"/>
    <w:rsid w:val="007622C2"/>
    <w:rsid w:val="00763D9B"/>
    <w:rsid w:val="0076564B"/>
    <w:rsid w:val="00765C22"/>
    <w:rsid w:val="00766325"/>
    <w:rsid w:val="007672F1"/>
    <w:rsid w:val="007700FD"/>
    <w:rsid w:val="007709F7"/>
    <w:rsid w:val="007721D8"/>
    <w:rsid w:val="00773103"/>
    <w:rsid w:val="00773C8F"/>
    <w:rsid w:val="007744DB"/>
    <w:rsid w:val="00774C22"/>
    <w:rsid w:val="00775A50"/>
    <w:rsid w:val="00777109"/>
    <w:rsid w:val="00781A10"/>
    <w:rsid w:val="0078431C"/>
    <w:rsid w:val="00784C67"/>
    <w:rsid w:val="00785077"/>
    <w:rsid w:val="00793743"/>
    <w:rsid w:val="007945F8"/>
    <w:rsid w:val="00797BFF"/>
    <w:rsid w:val="007A4633"/>
    <w:rsid w:val="007A4B8A"/>
    <w:rsid w:val="007A5316"/>
    <w:rsid w:val="007A7294"/>
    <w:rsid w:val="007A7E1B"/>
    <w:rsid w:val="007B4174"/>
    <w:rsid w:val="007B45DA"/>
    <w:rsid w:val="007B4A02"/>
    <w:rsid w:val="007C0B46"/>
    <w:rsid w:val="007C17D6"/>
    <w:rsid w:val="007C2A9A"/>
    <w:rsid w:val="007C3AEB"/>
    <w:rsid w:val="007C68F6"/>
    <w:rsid w:val="007C6ABF"/>
    <w:rsid w:val="007C6E10"/>
    <w:rsid w:val="007C7163"/>
    <w:rsid w:val="007D007D"/>
    <w:rsid w:val="007D3603"/>
    <w:rsid w:val="007D4C6D"/>
    <w:rsid w:val="007D4D0F"/>
    <w:rsid w:val="007D507B"/>
    <w:rsid w:val="007D5896"/>
    <w:rsid w:val="007D5B46"/>
    <w:rsid w:val="007E090C"/>
    <w:rsid w:val="007E2D67"/>
    <w:rsid w:val="007E3748"/>
    <w:rsid w:val="007E3C3D"/>
    <w:rsid w:val="007E61D1"/>
    <w:rsid w:val="007E6C03"/>
    <w:rsid w:val="007E6CF4"/>
    <w:rsid w:val="007E6E8C"/>
    <w:rsid w:val="007E6EFE"/>
    <w:rsid w:val="007F1885"/>
    <w:rsid w:val="007F2BAB"/>
    <w:rsid w:val="007F2F0C"/>
    <w:rsid w:val="007F40FC"/>
    <w:rsid w:val="007F5284"/>
    <w:rsid w:val="007F5938"/>
    <w:rsid w:val="007F5D00"/>
    <w:rsid w:val="007F5E79"/>
    <w:rsid w:val="007F677D"/>
    <w:rsid w:val="007F7977"/>
    <w:rsid w:val="0080012B"/>
    <w:rsid w:val="00801D96"/>
    <w:rsid w:val="00802AB9"/>
    <w:rsid w:val="00802D21"/>
    <w:rsid w:val="00802D9A"/>
    <w:rsid w:val="00802F69"/>
    <w:rsid w:val="008034CF"/>
    <w:rsid w:val="00803F0A"/>
    <w:rsid w:val="00804170"/>
    <w:rsid w:val="008107A9"/>
    <w:rsid w:val="00810E12"/>
    <w:rsid w:val="00811B42"/>
    <w:rsid w:val="0081361E"/>
    <w:rsid w:val="00813851"/>
    <w:rsid w:val="008141F4"/>
    <w:rsid w:val="00814B3F"/>
    <w:rsid w:val="00815D28"/>
    <w:rsid w:val="00816230"/>
    <w:rsid w:val="008166B9"/>
    <w:rsid w:val="00821DE2"/>
    <w:rsid w:val="008243B2"/>
    <w:rsid w:val="00824BF7"/>
    <w:rsid w:val="008258A5"/>
    <w:rsid w:val="008259EC"/>
    <w:rsid w:val="00825F71"/>
    <w:rsid w:val="00826557"/>
    <w:rsid w:val="00827D8C"/>
    <w:rsid w:val="008305B5"/>
    <w:rsid w:val="00832EF0"/>
    <w:rsid w:val="00833598"/>
    <w:rsid w:val="0083386C"/>
    <w:rsid w:val="008339D6"/>
    <w:rsid w:val="00833ADE"/>
    <w:rsid w:val="00834503"/>
    <w:rsid w:val="00834E4E"/>
    <w:rsid w:val="00836AB3"/>
    <w:rsid w:val="00841244"/>
    <w:rsid w:val="00841E10"/>
    <w:rsid w:val="00842DB0"/>
    <w:rsid w:val="00846B65"/>
    <w:rsid w:val="008472D8"/>
    <w:rsid w:val="008510C0"/>
    <w:rsid w:val="00851F4C"/>
    <w:rsid w:val="00852B21"/>
    <w:rsid w:val="00852B63"/>
    <w:rsid w:val="00852D47"/>
    <w:rsid w:val="00852E1B"/>
    <w:rsid w:val="0085571C"/>
    <w:rsid w:val="00855B52"/>
    <w:rsid w:val="0085614D"/>
    <w:rsid w:val="00856152"/>
    <w:rsid w:val="00857481"/>
    <w:rsid w:val="00857B56"/>
    <w:rsid w:val="00860FB0"/>
    <w:rsid w:val="0086120C"/>
    <w:rsid w:val="00861247"/>
    <w:rsid w:val="008617C0"/>
    <w:rsid w:val="00861C07"/>
    <w:rsid w:val="00862232"/>
    <w:rsid w:val="0086308C"/>
    <w:rsid w:val="0086470A"/>
    <w:rsid w:val="00865016"/>
    <w:rsid w:val="0086516D"/>
    <w:rsid w:val="00866AA6"/>
    <w:rsid w:val="00866F17"/>
    <w:rsid w:val="0086709B"/>
    <w:rsid w:val="008678C4"/>
    <w:rsid w:val="00867DAE"/>
    <w:rsid w:val="00870B4B"/>
    <w:rsid w:val="0087172A"/>
    <w:rsid w:val="0087225E"/>
    <w:rsid w:val="00872C82"/>
    <w:rsid w:val="00872D73"/>
    <w:rsid w:val="0087388A"/>
    <w:rsid w:val="00873C36"/>
    <w:rsid w:val="0087542F"/>
    <w:rsid w:val="00875545"/>
    <w:rsid w:val="008755B1"/>
    <w:rsid w:val="00882751"/>
    <w:rsid w:val="00883CD7"/>
    <w:rsid w:val="00885AA5"/>
    <w:rsid w:val="00887320"/>
    <w:rsid w:val="008873F1"/>
    <w:rsid w:val="00887A85"/>
    <w:rsid w:val="00887E32"/>
    <w:rsid w:val="00890408"/>
    <w:rsid w:val="00892280"/>
    <w:rsid w:val="00893FB1"/>
    <w:rsid w:val="008940D3"/>
    <w:rsid w:val="0089444C"/>
    <w:rsid w:val="008947FE"/>
    <w:rsid w:val="00895DDC"/>
    <w:rsid w:val="0089617C"/>
    <w:rsid w:val="00897B32"/>
    <w:rsid w:val="008A0320"/>
    <w:rsid w:val="008A0B8F"/>
    <w:rsid w:val="008A1ECE"/>
    <w:rsid w:val="008A2D91"/>
    <w:rsid w:val="008A3B81"/>
    <w:rsid w:val="008A3D93"/>
    <w:rsid w:val="008A423B"/>
    <w:rsid w:val="008A50FB"/>
    <w:rsid w:val="008A7220"/>
    <w:rsid w:val="008B013C"/>
    <w:rsid w:val="008B0A3F"/>
    <w:rsid w:val="008B25D7"/>
    <w:rsid w:val="008B4AB4"/>
    <w:rsid w:val="008B5071"/>
    <w:rsid w:val="008B531B"/>
    <w:rsid w:val="008B542F"/>
    <w:rsid w:val="008B544D"/>
    <w:rsid w:val="008B5C1F"/>
    <w:rsid w:val="008B7E21"/>
    <w:rsid w:val="008C0522"/>
    <w:rsid w:val="008C0CF1"/>
    <w:rsid w:val="008C314F"/>
    <w:rsid w:val="008C4895"/>
    <w:rsid w:val="008C70FB"/>
    <w:rsid w:val="008D1C89"/>
    <w:rsid w:val="008D42FA"/>
    <w:rsid w:val="008D4F5E"/>
    <w:rsid w:val="008D75F3"/>
    <w:rsid w:val="008E0ECA"/>
    <w:rsid w:val="008E1698"/>
    <w:rsid w:val="008E17A5"/>
    <w:rsid w:val="008E21B1"/>
    <w:rsid w:val="008E232A"/>
    <w:rsid w:val="008E2CB4"/>
    <w:rsid w:val="008E306B"/>
    <w:rsid w:val="008E3D87"/>
    <w:rsid w:val="008E49E4"/>
    <w:rsid w:val="008E72F5"/>
    <w:rsid w:val="008F0696"/>
    <w:rsid w:val="008F0E43"/>
    <w:rsid w:val="008F1352"/>
    <w:rsid w:val="008F1E03"/>
    <w:rsid w:val="008F233C"/>
    <w:rsid w:val="008F2E84"/>
    <w:rsid w:val="008F5420"/>
    <w:rsid w:val="008F54A9"/>
    <w:rsid w:val="008F6DCF"/>
    <w:rsid w:val="009003D2"/>
    <w:rsid w:val="00900D7B"/>
    <w:rsid w:val="00903074"/>
    <w:rsid w:val="009039F4"/>
    <w:rsid w:val="00903C3E"/>
    <w:rsid w:val="009046B0"/>
    <w:rsid w:val="00905036"/>
    <w:rsid w:val="00905981"/>
    <w:rsid w:val="0091008B"/>
    <w:rsid w:val="0091028B"/>
    <w:rsid w:val="00911D77"/>
    <w:rsid w:val="00911DF3"/>
    <w:rsid w:val="00915D82"/>
    <w:rsid w:val="00917290"/>
    <w:rsid w:val="009211F2"/>
    <w:rsid w:val="009223E7"/>
    <w:rsid w:val="009230B9"/>
    <w:rsid w:val="00923980"/>
    <w:rsid w:val="009243E4"/>
    <w:rsid w:val="009246BF"/>
    <w:rsid w:val="00924D92"/>
    <w:rsid w:val="0092663A"/>
    <w:rsid w:val="0092763E"/>
    <w:rsid w:val="0093005A"/>
    <w:rsid w:val="00930659"/>
    <w:rsid w:val="0093073A"/>
    <w:rsid w:val="009317EA"/>
    <w:rsid w:val="00933AA1"/>
    <w:rsid w:val="00935194"/>
    <w:rsid w:val="009353AB"/>
    <w:rsid w:val="00935563"/>
    <w:rsid w:val="00936044"/>
    <w:rsid w:val="009362C2"/>
    <w:rsid w:val="00936A68"/>
    <w:rsid w:val="009375A9"/>
    <w:rsid w:val="00940095"/>
    <w:rsid w:val="00941432"/>
    <w:rsid w:val="00941A60"/>
    <w:rsid w:val="009423F0"/>
    <w:rsid w:val="00942574"/>
    <w:rsid w:val="009432B8"/>
    <w:rsid w:val="00945855"/>
    <w:rsid w:val="00945CE7"/>
    <w:rsid w:val="00946A37"/>
    <w:rsid w:val="00947050"/>
    <w:rsid w:val="009470AE"/>
    <w:rsid w:val="009472C2"/>
    <w:rsid w:val="00947A91"/>
    <w:rsid w:val="00951022"/>
    <w:rsid w:val="00951837"/>
    <w:rsid w:val="00952CA8"/>
    <w:rsid w:val="00952EC3"/>
    <w:rsid w:val="0095448D"/>
    <w:rsid w:val="00955A1D"/>
    <w:rsid w:val="0095796C"/>
    <w:rsid w:val="00960460"/>
    <w:rsid w:val="00961DF1"/>
    <w:rsid w:val="009624C8"/>
    <w:rsid w:val="0096302F"/>
    <w:rsid w:val="00963BA8"/>
    <w:rsid w:val="0096496B"/>
    <w:rsid w:val="009649FA"/>
    <w:rsid w:val="00965FC2"/>
    <w:rsid w:val="009660B3"/>
    <w:rsid w:val="00970C05"/>
    <w:rsid w:val="00970D95"/>
    <w:rsid w:val="00972F71"/>
    <w:rsid w:val="0097539F"/>
    <w:rsid w:val="009778BE"/>
    <w:rsid w:val="00983687"/>
    <w:rsid w:val="00984DC1"/>
    <w:rsid w:val="00984E31"/>
    <w:rsid w:val="00985565"/>
    <w:rsid w:val="009857F5"/>
    <w:rsid w:val="00985DB5"/>
    <w:rsid w:val="009877D2"/>
    <w:rsid w:val="00987E41"/>
    <w:rsid w:val="00990ACD"/>
    <w:rsid w:val="0099156B"/>
    <w:rsid w:val="009917FC"/>
    <w:rsid w:val="00993F15"/>
    <w:rsid w:val="00994077"/>
    <w:rsid w:val="009957B1"/>
    <w:rsid w:val="00995F5E"/>
    <w:rsid w:val="009961B2"/>
    <w:rsid w:val="009977AA"/>
    <w:rsid w:val="009A15DD"/>
    <w:rsid w:val="009A2179"/>
    <w:rsid w:val="009A266D"/>
    <w:rsid w:val="009A3333"/>
    <w:rsid w:val="009A4F51"/>
    <w:rsid w:val="009A79E1"/>
    <w:rsid w:val="009A7CA5"/>
    <w:rsid w:val="009B00E4"/>
    <w:rsid w:val="009B3753"/>
    <w:rsid w:val="009B3C14"/>
    <w:rsid w:val="009B3D2B"/>
    <w:rsid w:val="009B4365"/>
    <w:rsid w:val="009B451F"/>
    <w:rsid w:val="009B6A42"/>
    <w:rsid w:val="009B76CD"/>
    <w:rsid w:val="009B7E4F"/>
    <w:rsid w:val="009C06DE"/>
    <w:rsid w:val="009C1655"/>
    <w:rsid w:val="009C1F04"/>
    <w:rsid w:val="009C214F"/>
    <w:rsid w:val="009C279E"/>
    <w:rsid w:val="009C2F93"/>
    <w:rsid w:val="009C46C9"/>
    <w:rsid w:val="009D13E8"/>
    <w:rsid w:val="009D1C7F"/>
    <w:rsid w:val="009D4119"/>
    <w:rsid w:val="009D472A"/>
    <w:rsid w:val="009D5541"/>
    <w:rsid w:val="009E0041"/>
    <w:rsid w:val="009E0837"/>
    <w:rsid w:val="009E297E"/>
    <w:rsid w:val="009E2E83"/>
    <w:rsid w:val="009E32E6"/>
    <w:rsid w:val="009E3B62"/>
    <w:rsid w:val="009E4E6E"/>
    <w:rsid w:val="009E751D"/>
    <w:rsid w:val="009E796C"/>
    <w:rsid w:val="009F43B1"/>
    <w:rsid w:val="009F7D28"/>
    <w:rsid w:val="00A01C5A"/>
    <w:rsid w:val="00A0724C"/>
    <w:rsid w:val="00A07AAD"/>
    <w:rsid w:val="00A10B18"/>
    <w:rsid w:val="00A135ED"/>
    <w:rsid w:val="00A13F4C"/>
    <w:rsid w:val="00A14D7C"/>
    <w:rsid w:val="00A15406"/>
    <w:rsid w:val="00A1774E"/>
    <w:rsid w:val="00A208C1"/>
    <w:rsid w:val="00A20C3A"/>
    <w:rsid w:val="00A22455"/>
    <w:rsid w:val="00A22EB7"/>
    <w:rsid w:val="00A23463"/>
    <w:rsid w:val="00A237A9"/>
    <w:rsid w:val="00A24898"/>
    <w:rsid w:val="00A24EAA"/>
    <w:rsid w:val="00A25911"/>
    <w:rsid w:val="00A2594F"/>
    <w:rsid w:val="00A25E7F"/>
    <w:rsid w:val="00A27B61"/>
    <w:rsid w:val="00A30394"/>
    <w:rsid w:val="00A310FB"/>
    <w:rsid w:val="00A32F90"/>
    <w:rsid w:val="00A333EB"/>
    <w:rsid w:val="00A33D67"/>
    <w:rsid w:val="00A33E82"/>
    <w:rsid w:val="00A3619F"/>
    <w:rsid w:val="00A363BA"/>
    <w:rsid w:val="00A4051A"/>
    <w:rsid w:val="00A426AF"/>
    <w:rsid w:val="00A42ADA"/>
    <w:rsid w:val="00A42C66"/>
    <w:rsid w:val="00A43D3A"/>
    <w:rsid w:val="00A45750"/>
    <w:rsid w:val="00A46FF6"/>
    <w:rsid w:val="00A4745B"/>
    <w:rsid w:val="00A4773D"/>
    <w:rsid w:val="00A479DE"/>
    <w:rsid w:val="00A47AD8"/>
    <w:rsid w:val="00A50D2B"/>
    <w:rsid w:val="00A51CF4"/>
    <w:rsid w:val="00A5227F"/>
    <w:rsid w:val="00A52E19"/>
    <w:rsid w:val="00A53C56"/>
    <w:rsid w:val="00A54B28"/>
    <w:rsid w:val="00A569AB"/>
    <w:rsid w:val="00A625BB"/>
    <w:rsid w:val="00A631E7"/>
    <w:rsid w:val="00A63C34"/>
    <w:rsid w:val="00A64524"/>
    <w:rsid w:val="00A645A0"/>
    <w:rsid w:val="00A64AAE"/>
    <w:rsid w:val="00A667B6"/>
    <w:rsid w:val="00A737E6"/>
    <w:rsid w:val="00A740F9"/>
    <w:rsid w:val="00A74C96"/>
    <w:rsid w:val="00A76E3B"/>
    <w:rsid w:val="00A771A5"/>
    <w:rsid w:val="00A77B76"/>
    <w:rsid w:val="00A802B9"/>
    <w:rsid w:val="00A80843"/>
    <w:rsid w:val="00A821A5"/>
    <w:rsid w:val="00A82531"/>
    <w:rsid w:val="00A853A7"/>
    <w:rsid w:val="00A8587C"/>
    <w:rsid w:val="00A863D0"/>
    <w:rsid w:val="00A868EF"/>
    <w:rsid w:val="00A8743E"/>
    <w:rsid w:val="00A92280"/>
    <w:rsid w:val="00A9260B"/>
    <w:rsid w:val="00A93704"/>
    <w:rsid w:val="00A937E8"/>
    <w:rsid w:val="00A94C41"/>
    <w:rsid w:val="00A95729"/>
    <w:rsid w:val="00A95A97"/>
    <w:rsid w:val="00AA04DF"/>
    <w:rsid w:val="00AA081E"/>
    <w:rsid w:val="00AA1814"/>
    <w:rsid w:val="00AA4525"/>
    <w:rsid w:val="00AA5360"/>
    <w:rsid w:val="00AA67C8"/>
    <w:rsid w:val="00AA77E5"/>
    <w:rsid w:val="00AA7A9B"/>
    <w:rsid w:val="00AB18E6"/>
    <w:rsid w:val="00AB191D"/>
    <w:rsid w:val="00AB19B1"/>
    <w:rsid w:val="00AB2168"/>
    <w:rsid w:val="00AB2AD5"/>
    <w:rsid w:val="00AB3C22"/>
    <w:rsid w:val="00AB5597"/>
    <w:rsid w:val="00AB6FC7"/>
    <w:rsid w:val="00AC0405"/>
    <w:rsid w:val="00AC11C8"/>
    <w:rsid w:val="00AC2927"/>
    <w:rsid w:val="00AC3864"/>
    <w:rsid w:val="00AC72BC"/>
    <w:rsid w:val="00AC78D5"/>
    <w:rsid w:val="00AD0234"/>
    <w:rsid w:val="00AD02BD"/>
    <w:rsid w:val="00AD06CC"/>
    <w:rsid w:val="00AD081B"/>
    <w:rsid w:val="00AD1320"/>
    <w:rsid w:val="00AD1E72"/>
    <w:rsid w:val="00AD2266"/>
    <w:rsid w:val="00AD2DCB"/>
    <w:rsid w:val="00AD3D64"/>
    <w:rsid w:val="00AD4505"/>
    <w:rsid w:val="00AD6C6D"/>
    <w:rsid w:val="00AD6F18"/>
    <w:rsid w:val="00AD724B"/>
    <w:rsid w:val="00AE0F3A"/>
    <w:rsid w:val="00AE10C2"/>
    <w:rsid w:val="00AE2CAD"/>
    <w:rsid w:val="00AE6284"/>
    <w:rsid w:val="00AE6680"/>
    <w:rsid w:val="00AE73F4"/>
    <w:rsid w:val="00AE7888"/>
    <w:rsid w:val="00AE7B23"/>
    <w:rsid w:val="00AE7FE2"/>
    <w:rsid w:val="00AF2AAB"/>
    <w:rsid w:val="00AF4119"/>
    <w:rsid w:val="00AF4E7C"/>
    <w:rsid w:val="00AF5174"/>
    <w:rsid w:val="00AF6B21"/>
    <w:rsid w:val="00AF6C39"/>
    <w:rsid w:val="00B01078"/>
    <w:rsid w:val="00B016B8"/>
    <w:rsid w:val="00B036EE"/>
    <w:rsid w:val="00B03B24"/>
    <w:rsid w:val="00B03CC3"/>
    <w:rsid w:val="00B04100"/>
    <w:rsid w:val="00B048B2"/>
    <w:rsid w:val="00B05E81"/>
    <w:rsid w:val="00B07DF1"/>
    <w:rsid w:val="00B100A6"/>
    <w:rsid w:val="00B10379"/>
    <w:rsid w:val="00B1095A"/>
    <w:rsid w:val="00B13843"/>
    <w:rsid w:val="00B13906"/>
    <w:rsid w:val="00B14B07"/>
    <w:rsid w:val="00B15DBB"/>
    <w:rsid w:val="00B178C6"/>
    <w:rsid w:val="00B20856"/>
    <w:rsid w:val="00B2233D"/>
    <w:rsid w:val="00B223F6"/>
    <w:rsid w:val="00B23FDB"/>
    <w:rsid w:val="00B24C50"/>
    <w:rsid w:val="00B27093"/>
    <w:rsid w:val="00B27767"/>
    <w:rsid w:val="00B3371C"/>
    <w:rsid w:val="00B33B02"/>
    <w:rsid w:val="00B3426A"/>
    <w:rsid w:val="00B34DD0"/>
    <w:rsid w:val="00B35112"/>
    <w:rsid w:val="00B362EF"/>
    <w:rsid w:val="00B36E2E"/>
    <w:rsid w:val="00B37C57"/>
    <w:rsid w:val="00B41921"/>
    <w:rsid w:val="00B456E2"/>
    <w:rsid w:val="00B50F23"/>
    <w:rsid w:val="00B5196E"/>
    <w:rsid w:val="00B519D8"/>
    <w:rsid w:val="00B52A5D"/>
    <w:rsid w:val="00B52F0B"/>
    <w:rsid w:val="00B53233"/>
    <w:rsid w:val="00B538E1"/>
    <w:rsid w:val="00B53EAB"/>
    <w:rsid w:val="00B5673C"/>
    <w:rsid w:val="00B56B8E"/>
    <w:rsid w:val="00B57878"/>
    <w:rsid w:val="00B621A3"/>
    <w:rsid w:val="00B62A99"/>
    <w:rsid w:val="00B6339C"/>
    <w:rsid w:val="00B64715"/>
    <w:rsid w:val="00B669BA"/>
    <w:rsid w:val="00B67163"/>
    <w:rsid w:val="00B67409"/>
    <w:rsid w:val="00B6751D"/>
    <w:rsid w:val="00B70073"/>
    <w:rsid w:val="00B72508"/>
    <w:rsid w:val="00B7305E"/>
    <w:rsid w:val="00B73DBD"/>
    <w:rsid w:val="00B77164"/>
    <w:rsid w:val="00B775B1"/>
    <w:rsid w:val="00B778C4"/>
    <w:rsid w:val="00B77E6A"/>
    <w:rsid w:val="00B80E89"/>
    <w:rsid w:val="00B8125A"/>
    <w:rsid w:val="00B8160A"/>
    <w:rsid w:val="00B82986"/>
    <w:rsid w:val="00B855AC"/>
    <w:rsid w:val="00B85B22"/>
    <w:rsid w:val="00B903E8"/>
    <w:rsid w:val="00B909F7"/>
    <w:rsid w:val="00B91090"/>
    <w:rsid w:val="00B91A26"/>
    <w:rsid w:val="00B92A3B"/>
    <w:rsid w:val="00B92AAA"/>
    <w:rsid w:val="00B95024"/>
    <w:rsid w:val="00B951A6"/>
    <w:rsid w:val="00B96797"/>
    <w:rsid w:val="00B97EE4"/>
    <w:rsid w:val="00BA03E2"/>
    <w:rsid w:val="00BA0BD0"/>
    <w:rsid w:val="00BA1261"/>
    <w:rsid w:val="00BA14B0"/>
    <w:rsid w:val="00BA2CBE"/>
    <w:rsid w:val="00BA4B8E"/>
    <w:rsid w:val="00BA5DBB"/>
    <w:rsid w:val="00BA64B6"/>
    <w:rsid w:val="00BB1E7D"/>
    <w:rsid w:val="00BB21FF"/>
    <w:rsid w:val="00BB2C21"/>
    <w:rsid w:val="00BB3238"/>
    <w:rsid w:val="00BB463C"/>
    <w:rsid w:val="00BB467F"/>
    <w:rsid w:val="00BB501B"/>
    <w:rsid w:val="00BB51FE"/>
    <w:rsid w:val="00BB7190"/>
    <w:rsid w:val="00BB744D"/>
    <w:rsid w:val="00BB74A0"/>
    <w:rsid w:val="00BC0798"/>
    <w:rsid w:val="00BC08DA"/>
    <w:rsid w:val="00BC3598"/>
    <w:rsid w:val="00BC535D"/>
    <w:rsid w:val="00BC5AE7"/>
    <w:rsid w:val="00BD0B0D"/>
    <w:rsid w:val="00BD1183"/>
    <w:rsid w:val="00BD12B0"/>
    <w:rsid w:val="00BD1482"/>
    <w:rsid w:val="00BD296A"/>
    <w:rsid w:val="00BD5202"/>
    <w:rsid w:val="00BD6231"/>
    <w:rsid w:val="00BD6753"/>
    <w:rsid w:val="00BD6ED1"/>
    <w:rsid w:val="00BE01DA"/>
    <w:rsid w:val="00BE091B"/>
    <w:rsid w:val="00BE1386"/>
    <w:rsid w:val="00BE3E5A"/>
    <w:rsid w:val="00BE419B"/>
    <w:rsid w:val="00BE44E9"/>
    <w:rsid w:val="00BE4F2F"/>
    <w:rsid w:val="00BE5D37"/>
    <w:rsid w:val="00BF1135"/>
    <w:rsid w:val="00BF1FE1"/>
    <w:rsid w:val="00BF3009"/>
    <w:rsid w:val="00BF6FD7"/>
    <w:rsid w:val="00BF7449"/>
    <w:rsid w:val="00C0094E"/>
    <w:rsid w:val="00C01475"/>
    <w:rsid w:val="00C0161D"/>
    <w:rsid w:val="00C027EE"/>
    <w:rsid w:val="00C02D65"/>
    <w:rsid w:val="00C02E85"/>
    <w:rsid w:val="00C03614"/>
    <w:rsid w:val="00C0466A"/>
    <w:rsid w:val="00C0567D"/>
    <w:rsid w:val="00C0688B"/>
    <w:rsid w:val="00C06AFE"/>
    <w:rsid w:val="00C07B78"/>
    <w:rsid w:val="00C11660"/>
    <w:rsid w:val="00C12316"/>
    <w:rsid w:val="00C12F4B"/>
    <w:rsid w:val="00C13FF2"/>
    <w:rsid w:val="00C148A4"/>
    <w:rsid w:val="00C14C4D"/>
    <w:rsid w:val="00C154E2"/>
    <w:rsid w:val="00C166BB"/>
    <w:rsid w:val="00C179B8"/>
    <w:rsid w:val="00C2021F"/>
    <w:rsid w:val="00C20EFC"/>
    <w:rsid w:val="00C22694"/>
    <w:rsid w:val="00C226D8"/>
    <w:rsid w:val="00C22D7F"/>
    <w:rsid w:val="00C23277"/>
    <w:rsid w:val="00C23427"/>
    <w:rsid w:val="00C24388"/>
    <w:rsid w:val="00C248DC"/>
    <w:rsid w:val="00C2498C"/>
    <w:rsid w:val="00C2705F"/>
    <w:rsid w:val="00C271C5"/>
    <w:rsid w:val="00C27A07"/>
    <w:rsid w:val="00C3024F"/>
    <w:rsid w:val="00C30953"/>
    <w:rsid w:val="00C31099"/>
    <w:rsid w:val="00C31FBC"/>
    <w:rsid w:val="00C3299D"/>
    <w:rsid w:val="00C33C00"/>
    <w:rsid w:val="00C358F6"/>
    <w:rsid w:val="00C35D08"/>
    <w:rsid w:val="00C36A2C"/>
    <w:rsid w:val="00C36C5F"/>
    <w:rsid w:val="00C37C66"/>
    <w:rsid w:val="00C402E1"/>
    <w:rsid w:val="00C404EA"/>
    <w:rsid w:val="00C40D6A"/>
    <w:rsid w:val="00C40DA1"/>
    <w:rsid w:val="00C412E5"/>
    <w:rsid w:val="00C4139B"/>
    <w:rsid w:val="00C424D3"/>
    <w:rsid w:val="00C42898"/>
    <w:rsid w:val="00C43986"/>
    <w:rsid w:val="00C45107"/>
    <w:rsid w:val="00C452B3"/>
    <w:rsid w:val="00C46E21"/>
    <w:rsid w:val="00C55165"/>
    <w:rsid w:val="00C552C3"/>
    <w:rsid w:val="00C555B2"/>
    <w:rsid w:val="00C558BD"/>
    <w:rsid w:val="00C5590A"/>
    <w:rsid w:val="00C56A9F"/>
    <w:rsid w:val="00C573A2"/>
    <w:rsid w:val="00C578CF"/>
    <w:rsid w:val="00C61A24"/>
    <w:rsid w:val="00C63BC9"/>
    <w:rsid w:val="00C647CE"/>
    <w:rsid w:val="00C7511C"/>
    <w:rsid w:val="00C75293"/>
    <w:rsid w:val="00C7572A"/>
    <w:rsid w:val="00C75CEE"/>
    <w:rsid w:val="00C776E5"/>
    <w:rsid w:val="00C778EE"/>
    <w:rsid w:val="00C77B2B"/>
    <w:rsid w:val="00C80BF2"/>
    <w:rsid w:val="00C818BE"/>
    <w:rsid w:val="00C83050"/>
    <w:rsid w:val="00C83C35"/>
    <w:rsid w:val="00C848FA"/>
    <w:rsid w:val="00C8652E"/>
    <w:rsid w:val="00C87919"/>
    <w:rsid w:val="00C909A7"/>
    <w:rsid w:val="00C90C3E"/>
    <w:rsid w:val="00C926D9"/>
    <w:rsid w:val="00C954C7"/>
    <w:rsid w:val="00C962CE"/>
    <w:rsid w:val="00C9706C"/>
    <w:rsid w:val="00C973F4"/>
    <w:rsid w:val="00CA0FF3"/>
    <w:rsid w:val="00CA1407"/>
    <w:rsid w:val="00CA2652"/>
    <w:rsid w:val="00CA3D66"/>
    <w:rsid w:val="00CA4403"/>
    <w:rsid w:val="00CA5E28"/>
    <w:rsid w:val="00CA688F"/>
    <w:rsid w:val="00CB12DB"/>
    <w:rsid w:val="00CB1410"/>
    <w:rsid w:val="00CB1B68"/>
    <w:rsid w:val="00CB238D"/>
    <w:rsid w:val="00CB4CAA"/>
    <w:rsid w:val="00CB5B85"/>
    <w:rsid w:val="00CB7EA1"/>
    <w:rsid w:val="00CC1933"/>
    <w:rsid w:val="00CC464B"/>
    <w:rsid w:val="00CC4A33"/>
    <w:rsid w:val="00CC5328"/>
    <w:rsid w:val="00CC56D2"/>
    <w:rsid w:val="00CC77B0"/>
    <w:rsid w:val="00CD018C"/>
    <w:rsid w:val="00CD2990"/>
    <w:rsid w:val="00CD5C81"/>
    <w:rsid w:val="00CD6503"/>
    <w:rsid w:val="00CD6819"/>
    <w:rsid w:val="00CD765B"/>
    <w:rsid w:val="00CD7849"/>
    <w:rsid w:val="00CDA01D"/>
    <w:rsid w:val="00CE2F6E"/>
    <w:rsid w:val="00CE302A"/>
    <w:rsid w:val="00CE4B43"/>
    <w:rsid w:val="00CE5B22"/>
    <w:rsid w:val="00CE6C4F"/>
    <w:rsid w:val="00CF07BC"/>
    <w:rsid w:val="00CF0B2E"/>
    <w:rsid w:val="00CF1AE1"/>
    <w:rsid w:val="00CF3E37"/>
    <w:rsid w:val="00CF581A"/>
    <w:rsid w:val="00CF60E3"/>
    <w:rsid w:val="00CF6AFA"/>
    <w:rsid w:val="00D00B40"/>
    <w:rsid w:val="00D04DF0"/>
    <w:rsid w:val="00D0521B"/>
    <w:rsid w:val="00D059C4"/>
    <w:rsid w:val="00D07D5F"/>
    <w:rsid w:val="00D13C26"/>
    <w:rsid w:val="00D14935"/>
    <w:rsid w:val="00D155B4"/>
    <w:rsid w:val="00D15E57"/>
    <w:rsid w:val="00D1605B"/>
    <w:rsid w:val="00D16064"/>
    <w:rsid w:val="00D16FB8"/>
    <w:rsid w:val="00D171BD"/>
    <w:rsid w:val="00D23453"/>
    <w:rsid w:val="00D24136"/>
    <w:rsid w:val="00D24E18"/>
    <w:rsid w:val="00D2597F"/>
    <w:rsid w:val="00D270C9"/>
    <w:rsid w:val="00D335AA"/>
    <w:rsid w:val="00D33B9F"/>
    <w:rsid w:val="00D34729"/>
    <w:rsid w:val="00D35C8F"/>
    <w:rsid w:val="00D3679B"/>
    <w:rsid w:val="00D40DD0"/>
    <w:rsid w:val="00D435D3"/>
    <w:rsid w:val="00D43AB3"/>
    <w:rsid w:val="00D458CD"/>
    <w:rsid w:val="00D45A2B"/>
    <w:rsid w:val="00D460FD"/>
    <w:rsid w:val="00D4673A"/>
    <w:rsid w:val="00D504ED"/>
    <w:rsid w:val="00D5087E"/>
    <w:rsid w:val="00D50EB5"/>
    <w:rsid w:val="00D5137F"/>
    <w:rsid w:val="00D52048"/>
    <w:rsid w:val="00D5327B"/>
    <w:rsid w:val="00D5388F"/>
    <w:rsid w:val="00D54318"/>
    <w:rsid w:val="00D5467D"/>
    <w:rsid w:val="00D5521D"/>
    <w:rsid w:val="00D55D7B"/>
    <w:rsid w:val="00D5684B"/>
    <w:rsid w:val="00D57144"/>
    <w:rsid w:val="00D575DA"/>
    <w:rsid w:val="00D579B3"/>
    <w:rsid w:val="00D57DBD"/>
    <w:rsid w:val="00D617ED"/>
    <w:rsid w:val="00D62F55"/>
    <w:rsid w:val="00D65509"/>
    <w:rsid w:val="00D6649E"/>
    <w:rsid w:val="00D66BB6"/>
    <w:rsid w:val="00D66DB1"/>
    <w:rsid w:val="00D674AF"/>
    <w:rsid w:val="00D677F7"/>
    <w:rsid w:val="00D7033F"/>
    <w:rsid w:val="00D7036B"/>
    <w:rsid w:val="00D70C53"/>
    <w:rsid w:val="00D713BF"/>
    <w:rsid w:val="00D74D4C"/>
    <w:rsid w:val="00D75F3C"/>
    <w:rsid w:val="00D76D85"/>
    <w:rsid w:val="00D77827"/>
    <w:rsid w:val="00D80A2D"/>
    <w:rsid w:val="00D81908"/>
    <w:rsid w:val="00D81F3E"/>
    <w:rsid w:val="00D84A2E"/>
    <w:rsid w:val="00D85C41"/>
    <w:rsid w:val="00D86183"/>
    <w:rsid w:val="00D8684C"/>
    <w:rsid w:val="00D874E5"/>
    <w:rsid w:val="00D87A32"/>
    <w:rsid w:val="00D92D9D"/>
    <w:rsid w:val="00D93962"/>
    <w:rsid w:val="00D947BA"/>
    <w:rsid w:val="00D948AE"/>
    <w:rsid w:val="00D949AC"/>
    <w:rsid w:val="00D949F9"/>
    <w:rsid w:val="00D94BA7"/>
    <w:rsid w:val="00D95F42"/>
    <w:rsid w:val="00D96114"/>
    <w:rsid w:val="00D973FB"/>
    <w:rsid w:val="00DA2582"/>
    <w:rsid w:val="00DA2631"/>
    <w:rsid w:val="00DA3152"/>
    <w:rsid w:val="00DA45DE"/>
    <w:rsid w:val="00DA5156"/>
    <w:rsid w:val="00DA726E"/>
    <w:rsid w:val="00DA7CFB"/>
    <w:rsid w:val="00DB0CF4"/>
    <w:rsid w:val="00DB3E66"/>
    <w:rsid w:val="00DB472B"/>
    <w:rsid w:val="00DB4FEF"/>
    <w:rsid w:val="00DC010C"/>
    <w:rsid w:val="00DC04BD"/>
    <w:rsid w:val="00DC06BD"/>
    <w:rsid w:val="00DC202A"/>
    <w:rsid w:val="00DC2BF2"/>
    <w:rsid w:val="00DC2D1F"/>
    <w:rsid w:val="00DC6069"/>
    <w:rsid w:val="00DC6F16"/>
    <w:rsid w:val="00DC7A3C"/>
    <w:rsid w:val="00DC7F2B"/>
    <w:rsid w:val="00DD0B03"/>
    <w:rsid w:val="00DD11A1"/>
    <w:rsid w:val="00DD1394"/>
    <w:rsid w:val="00DD166B"/>
    <w:rsid w:val="00DD1858"/>
    <w:rsid w:val="00DD19F1"/>
    <w:rsid w:val="00DD19F5"/>
    <w:rsid w:val="00DD242B"/>
    <w:rsid w:val="00DD475D"/>
    <w:rsid w:val="00DD4C18"/>
    <w:rsid w:val="00DD5B02"/>
    <w:rsid w:val="00DD5CFC"/>
    <w:rsid w:val="00DD62BA"/>
    <w:rsid w:val="00DD6BE1"/>
    <w:rsid w:val="00DE2943"/>
    <w:rsid w:val="00DE3C2F"/>
    <w:rsid w:val="00DE505E"/>
    <w:rsid w:val="00DE5A6F"/>
    <w:rsid w:val="00DE68B9"/>
    <w:rsid w:val="00DE79FF"/>
    <w:rsid w:val="00DE7A86"/>
    <w:rsid w:val="00DF1CDD"/>
    <w:rsid w:val="00DF2771"/>
    <w:rsid w:val="00DF3BB3"/>
    <w:rsid w:val="00DF4109"/>
    <w:rsid w:val="00DF43DA"/>
    <w:rsid w:val="00DF53B8"/>
    <w:rsid w:val="00DF67CC"/>
    <w:rsid w:val="00E011D8"/>
    <w:rsid w:val="00E03755"/>
    <w:rsid w:val="00E0386F"/>
    <w:rsid w:val="00E03D4E"/>
    <w:rsid w:val="00E062D9"/>
    <w:rsid w:val="00E06CA0"/>
    <w:rsid w:val="00E07E4D"/>
    <w:rsid w:val="00E10AF5"/>
    <w:rsid w:val="00E10C7E"/>
    <w:rsid w:val="00E1310E"/>
    <w:rsid w:val="00E1352E"/>
    <w:rsid w:val="00E14CF4"/>
    <w:rsid w:val="00E14E62"/>
    <w:rsid w:val="00E1558D"/>
    <w:rsid w:val="00E1662A"/>
    <w:rsid w:val="00E16773"/>
    <w:rsid w:val="00E174FC"/>
    <w:rsid w:val="00E201A8"/>
    <w:rsid w:val="00E2157F"/>
    <w:rsid w:val="00E21CE1"/>
    <w:rsid w:val="00E230AD"/>
    <w:rsid w:val="00E232BE"/>
    <w:rsid w:val="00E23CC4"/>
    <w:rsid w:val="00E25072"/>
    <w:rsid w:val="00E26977"/>
    <w:rsid w:val="00E279B0"/>
    <w:rsid w:val="00E27FD9"/>
    <w:rsid w:val="00E302A7"/>
    <w:rsid w:val="00E3035A"/>
    <w:rsid w:val="00E32E7B"/>
    <w:rsid w:val="00E331E9"/>
    <w:rsid w:val="00E352C8"/>
    <w:rsid w:val="00E3779E"/>
    <w:rsid w:val="00E377A3"/>
    <w:rsid w:val="00E40A73"/>
    <w:rsid w:val="00E40DB7"/>
    <w:rsid w:val="00E40F69"/>
    <w:rsid w:val="00E42B45"/>
    <w:rsid w:val="00E44486"/>
    <w:rsid w:val="00E45A11"/>
    <w:rsid w:val="00E4646D"/>
    <w:rsid w:val="00E47C47"/>
    <w:rsid w:val="00E47C48"/>
    <w:rsid w:val="00E5082D"/>
    <w:rsid w:val="00E509C7"/>
    <w:rsid w:val="00E53234"/>
    <w:rsid w:val="00E53F02"/>
    <w:rsid w:val="00E543C9"/>
    <w:rsid w:val="00E55608"/>
    <w:rsid w:val="00E558C8"/>
    <w:rsid w:val="00E56B59"/>
    <w:rsid w:val="00E603AE"/>
    <w:rsid w:val="00E617C7"/>
    <w:rsid w:val="00E62D9B"/>
    <w:rsid w:val="00E63287"/>
    <w:rsid w:val="00E65C69"/>
    <w:rsid w:val="00E66436"/>
    <w:rsid w:val="00E742FA"/>
    <w:rsid w:val="00E749C1"/>
    <w:rsid w:val="00E74B38"/>
    <w:rsid w:val="00E74B92"/>
    <w:rsid w:val="00E74CEC"/>
    <w:rsid w:val="00E75AB1"/>
    <w:rsid w:val="00E75DDF"/>
    <w:rsid w:val="00E8065C"/>
    <w:rsid w:val="00E80709"/>
    <w:rsid w:val="00E809FA"/>
    <w:rsid w:val="00E80E18"/>
    <w:rsid w:val="00E82623"/>
    <w:rsid w:val="00E86C93"/>
    <w:rsid w:val="00E87AAB"/>
    <w:rsid w:val="00E9036B"/>
    <w:rsid w:val="00E9085C"/>
    <w:rsid w:val="00E9176B"/>
    <w:rsid w:val="00E95935"/>
    <w:rsid w:val="00EA2187"/>
    <w:rsid w:val="00EA3D1D"/>
    <w:rsid w:val="00EA518E"/>
    <w:rsid w:val="00EA56D1"/>
    <w:rsid w:val="00EA5F1B"/>
    <w:rsid w:val="00EA7196"/>
    <w:rsid w:val="00EA791B"/>
    <w:rsid w:val="00EB0376"/>
    <w:rsid w:val="00EB090B"/>
    <w:rsid w:val="00EB12BF"/>
    <w:rsid w:val="00EB317E"/>
    <w:rsid w:val="00EB42C1"/>
    <w:rsid w:val="00EB5A8C"/>
    <w:rsid w:val="00EB640A"/>
    <w:rsid w:val="00EB79AC"/>
    <w:rsid w:val="00EC1190"/>
    <w:rsid w:val="00EC236A"/>
    <w:rsid w:val="00EC307C"/>
    <w:rsid w:val="00EC42BB"/>
    <w:rsid w:val="00EC4B72"/>
    <w:rsid w:val="00EC5386"/>
    <w:rsid w:val="00EC644D"/>
    <w:rsid w:val="00EC6B3D"/>
    <w:rsid w:val="00EC70FF"/>
    <w:rsid w:val="00ED0301"/>
    <w:rsid w:val="00ED16DC"/>
    <w:rsid w:val="00ED237C"/>
    <w:rsid w:val="00ED2570"/>
    <w:rsid w:val="00ED25F1"/>
    <w:rsid w:val="00ED38A9"/>
    <w:rsid w:val="00ED41DB"/>
    <w:rsid w:val="00ED41EE"/>
    <w:rsid w:val="00ED59F0"/>
    <w:rsid w:val="00ED6D74"/>
    <w:rsid w:val="00ED7FBA"/>
    <w:rsid w:val="00EE034E"/>
    <w:rsid w:val="00EE14F2"/>
    <w:rsid w:val="00EE41BF"/>
    <w:rsid w:val="00EE43F9"/>
    <w:rsid w:val="00EE46C3"/>
    <w:rsid w:val="00EE5C78"/>
    <w:rsid w:val="00EE79B2"/>
    <w:rsid w:val="00EE7EF2"/>
    <w:rsid w:val="00EF0C15"/>
    <w:rsid w:val="00EF1F64"/>
    <w:rsid w:val="00EF2200"/>
    <w:rsid w:val="00EF2C45"/>
    <w:rsid w:val="00EF2F1E"/>
    <w:rsid w:val="00EF40BC"/>
    <w:rsid w:val="00EF7C4B"/>
    <w:rsid w:val="00F0123F"/>
    <w:rsid w:val="00F014BD"/>
    <w:rsid w:val="00F01BE7"/>
    <w:rsid w:val="00F0234A"/>
    <w:rsid w:val="00F03352"/>
    <w:rsid w:val="00F04396"/>
    <w:rsid w:val="00F0540C"/>
    <w:rsid w:val="00F06AE9"/>
    <w:rsid w:val="00F07922"/>
    <w:rsid w:val="00F1284A"/>
    <w:rsid w:val="00F13020"/>
    <w:rsid w:val="00F138C0"/>
    <w:rsid w:val="00F140DD"/>
    <w:rsid w:val="00F1494D"/>
    <w:rsid w:val="00F14971"/>
    <w:rsid w:val="00F15162"/>
    <w:rsid w:val="00F161CF"/>
    <w:rsid w:val="00F17358"/>
    <w:rsid w:val="00F2262A"/>
    <w:rsid w:val="00F22A8A"/>
    <w:rsid w:val="00F2348F"/>
    <w:rsid w:val="00F24BC7"/>
    <w:rsid w:val="00F261C0"/>
    <w:rsid w:val="00F26FCB"/>
    <w:rsid w:val="00F27FA7"/>
    <w:rsid w:val="00F307D8"/>
    <w:rsid w:val="00F31197"/>
    <w:rsid w:val="00F33001"/>
    <w:rsid w:val="00F37133"/>
    <w:rsid w:val="00F379AD"/>
    <w:rsid w:val="00F37C0E"/>
    <w:rsid w:val="00F37C8A"/>
    <w:rsid w:val="00F43494"/>
    <w:rsid w:val="00F43725"/>
    <w:rsid w:val="00F437CD"/>
    <w:rsid w:val="00F444B9"/>
    <w:rsid w:val="00F45357"/>
    <w:rsid w:val="00F453BF"/>
    <w:rsid w:val="00F46759"/>
    <w:rsid w:val="00F46CED"/>
    <w:rsid w:val="00F47C6C"/>
    <w:rsid w:val="00F500CA"/>
    <w:rsid w:val="00F505A3"/>
    <w:rsid w:val="00F5074A"/>
    <w:rsid w:val="00F509FF"/>
    <w:rsid w:val="00F5203A"/>
    <w:rsid w:val="00F5249F"/>
    <w:rsid w:val="00F52C7D"/>
    <w:rsid w:val="00F52D5A"/>
    <w:rsid w:val="00F53959"/>
    <w:rsid w:val="00F540FE"/>
    <w:rsid w:val="00F56818"/>
    <w:rsid w:val="00F56B74"/>
    <w:rsid w:val="00F615EC"/>
    <w:rsid w:val="00F61C0A"/>
    <w:rsid w:val="00F646D7"/>
    <w:rsid w:val="00F65324"/>
    <w:rsid w:val="00F65FBC"/>
    <w:rsid w:val="00F66761"/>
    <w:rsid w:val="00F66BFD"/>
    <w:rsid w:val="00F67432"/>
    <w:rsid w:val="00F67608"/>
    <w:rsid w:val="00F7166C"/>
    <w:rsid w:val="00F71AF2"/>
    <w:rsid w:val="00F71F3D"/>
    <w:rsid w:val="00F72AAC"/>
    <w:rsid w:val="00F72E67"/>
    <w:rsid w:val="00F7319A"/>
    <w:rsid w:val="00F75465"/>
    <w:rsid w:val="00F77BE5"/>
    <w:rsid w:val="00F77C99"/>
    <w:rsid w:val="00F812AB"/>
    <w:rsid w:val="00F82479"/>
    <w:rsid w:val="00F82C81"/>
    <w:rsid w:val="00F843FE"/>
    <w:rsid w:val="00F93108"/>
    <w:rsid w:val="00F96DB6"/>
    <w:rsid w:val="00F97AE1"/>
    <w:rsid w:val="00F97D0A"/>
    <w:rsid w:val="00FA1914"/>
    <w:rsid w:val="00FA29F4"/>
    <w:rsid w:val="00FA2EA8"/>
    <w:rsid w:val="00FA433A"/>
    <w:rsid w:val="00FA4597"/>
    <w:rsid w:val="00FA5A0B"/>
    <w:rsid w:val="00FA5EDD"/>
    <w:rsid w:val="00FA65E3"/>
    <w:rsid w:val="00FB0902"/>
    <w:rsid w:val="00FB1FC6"/>
    <w:rsid w:val="00FB2434"/>
    <w:rsid w:val="00FB248C"/>
    <w:rsid w:val="00FB7219"/>
    <w:rsid w:val="00FB7635"/>
    <w:rsid w:val="00FC3057"/>
    <w:rsid w:val="00FC4D4B"/>
    <w:rsid w:val="00FC5610"/>
    <w:rsid w:val="00FD2B17"/>
    <w:rsid w:val="00FD2EC1"/>
    <w:rsid w:val="00FD359E"/>
    <w:rsid w:val="00FD375A"/>
    <w:rsid w:val="00FD5522"/>
    <w:rsid w:val="00FE20BF"/>
    <w:rsid w:val="00FE307E"/>
    <w:rsid w:val="00FE4194"/>
    <w:rsid w:val="00FE5D1B"/>
    <w:rsid w:val="00FE5FEB"/>
    <w:rsid w:val="00FE6FFF"/>
    <w:rsid w:val="00FE7B17"/>
    <w:rsid w:val="00FE7D8F"/>
    <w:rsid w:val="00FF055B"/>
    <w:rsid w:val="00FF0D1B"/>
    <w:rsid w:val="00FF0F1F"/>
    <w:rsid w:val="00FF1380"/>
    <w:rsid w:val="00FF3765"/>
    <w:rsid w:val="00FF3E18"/>
    <w:rsid w:val="00FF5A65"/>
    <w:rsid w:val="00FF6261"/>
    <w:rsid w:val="00FF70D0"/>
    <w:rsid w:val="00FF7FD4"/>
    <w:rsid w:val="01203A5A"/>
    <w:rsid w:val="014AC1A6"/>
    <w:rsid w:val="01C35B4E"/>
    <w:rsid w:val="02352464"/>
    <w:rsid w:val="0296EDBB"/>
    <w:rsid w:val="0312D263"/>
    <w:rsid w:val="038D8C6E"/>
    <w:rsid w:val="04B87414"/>
    <w:rsid w:val="04DB5516"/>
    <w:rsid w:val="04E6D357"/>
    <w:rsid w:val="04E87DB6"/>
    <w:rsid w:val="04F743E5"/>
    <w:rsid w:val="0617901C"/>
    <w:rsid w:val="06945AF6"/>
    <w:rsid w:val="070D8DB5"/>
    <w:rsid w:val="07144972"/>
    <w:rsid w:val="07B51159"/>
    <w:rsid w:val="08A00FCA"/>
    <w:rsid w:val="08EB9EAB"/>
    <w:rsid w:val="09056090"/>
    <w:rsid w:val="09103DD3"/>
    <w:rsid w:val="0911485E"/>
    <w:rsid w:val="091E0B3D"/>
    <w:rsid w:val="093BCFF7"/>
    <w:rsid w:val="09AA6739"/>
    <w:rsid w:val="09B7F965"/>
    <w:rsid w:val="09C5C047"/>
    <w:rsid w:val="0A110BD9"/>
    <w:rsid w:val="0A6D2C6D"/>
    <w:rsid w:val="0ACC1FDA"/>
    <w:rsid w:val="0AF52870"/>
    <w:rsid w:val="0B5CB992"/>
    <w:rsid w:val="0CBF69F9"/>
    <w:rsid w:val="0DFBF16D"/>
    <w:rsid w:val="0E60F638"/>
    <w:rsid w:val="0E96D118"/>
    <w:rsid w:val="0E97CC35"/>
    <w:rsid w:val="0F2E3534"/>
    <w:rsid w:val="0FDEC61D"/>
    <w:rsid w:val="103E9640"/>
    <w:rsid w:val="10554187"/>
    <w:rsid w:val="109B479E"/>
    <w:rsid w:val="10D584E3"/>
    <w:rsid w:val="11CFE1FF"/>
    <w:rsid w:val="12A393C1"/>
    <w:rsid w:val="1310EC7D"/>
    <w:rsid w:val="132B9198"/>
    <w:rsid w:val="13B9670A"/>
    <w:rsid w:val="13C68646"/>
    <w:rsid w:val="13E20550"/>
    <w:rsid w:val="13F7AA4B"/>
    <w:rsid w:val="14646F4E"/>
    <w:rsid w:val="147F525B"/>
    <w:rsid w:val="14C0638B"/>
    <w:rsid w:val="1514E1EE"/>
    <w:rsid w:val="15190D60"/>
    <w:rsid w:val="16915663"/>
    <w:rsid w:val="16BD4C17"/>
    <w:rsid w:val="17F3A2EC"/>
    <w:rsid w:val="182163D3"/>
    <w:rsid w:val="18400102"/>
    <w:rsid w:val="1907E993"/>
    <w:rsid w:val="193A91D5"/>
    <w:rsid w:val="19D6592B"/>
    <w:rsid w:val="1A0FB582"/>
    <w:rsid w:val="1A2E8CA0"/>
    <w:rsid w:val="1BA42A19"/>
    <w:rsid w:val="1BC149E5"/>
    <w:rsid w:val="1C19ED6E"/>
    <w:rsid w:val="1C5AFBF4"/>
    <w:rsid w:val="1CCB961A"/>
    <w:rsid w:val="1D5ED1CB"/>
    <w:rsid w:val="1D6F8FD1"/>
    <w:rsid w:val="1DA4CFEA"/>
    <w:rsid w:val="1DC0193F"/>
    <w:rsid w:val="1F94D982"/>
    <w:rsid w:val="20D28050"/>
    <w:rsid w:val="21347EFB"/>
    <w:rsid w:val="21D9C4ED"/>
    <w:rsid w:val="226E50B1"/>
    <w:rsid w:val="228615C8"/>
    <w:rsid w:val="23172F15"/>
    <w:rsid w:val="237A71B8"/>
    <w:rsid w:val="23AD30B6"/>
    <w:rsid w:val="23F94189"/>
    <w:rsid w:val="25032BBE"/>
    <w:rsid w:val="2528532D"/>
    <w:rsid w:val="2566F0CA"/>
    <w:rsid w:val="25B308FD"/>
    <w:rsid w:val="25B66741"/>
    <w:rsid w:val="25B6A974"/>
    <w:rsid w:val="25C07D87"/>
    <w:rsid w:val="263DCCBF"/>
    <w:rsid w:val="2661399E"/>
    <w:rsid w:val="278E1CEC"/>
    <w:rsid w:val="27B99AFB"/>
    <w:rsid w:val="27FD6BEC"/>
    <w:rsid w:val="2817D5A3"/>
    <w:rsid w:val="284CE8BC"/>
    <w:rsid w:val="285A7AAD"/>
    <w:rsid w:val="28ABD9EE"/>
    <w:rsid w:val="28B80943"/>
    <w:rsid w:val="28DFD504"/>
    <w:rsid w:val="292230C8"/>
    <w:rsid w:val="29480FF6"/>
    <w:rsid w:val="297464CC"/>
    <w:rsid w:val="2AA40333"/>
    <w:rsid w:val="2B0D814E"/>
    <w:rsid w:val="2B295D8A"/>
    <w:rsid w:val="2BB623C7"/>
    <w:rsid w:val="2C1C4819"/>
    <w:rsid w:val="2C39AC76"/>
    <w:rsid w:val="2DC08454"/>
    <w:rsid w:val="2E8CE49E"/>
    <w:rsid w:val="2E9735E7"/>
    <w:rsid w:val="2ED29153"/>
    <w:rsid w:val="2EFA4A87"/>
    <w:rsid w:val="2F410849"/>
    <w:rsid w:val="2F791512"/>
    <w:rsid w:val="2FECCE49"/>
    <w:rsid w:val="304C45D0"/>
    <w:rsid w:val="30D79A1E"/>
    <w:rsid w:val="315CFB63"/>
    <w:rsid w:val="31A44540"/>
    <w:rsid w:val="31BF7F68"/>
    <w:rsid w:val="32084D5F"/>
    <w:rsid w:val="32BC9717"/>
    <w:rsid w:val="32D5D660"/>
    <w:rsid w:val="3383DDA0"/>
    <w:rsid w:val="3386AB2C"/>
    <w:rsid w:val="33B284A1"/>
    <w:rsid w:val="340EC6D0"/>
    <w:rsid w:val="34320119"/>
    <w:rsid w:val="34A40F4C"/>
    <w:rsid w:val="351C0C1A"/>
    <w:rsid w:val="35428DFD"/>
    <w:rsid w:val="360428D6"/>
    <w:rsid w:val="3670D4C6"/>
    <w:rsid w:val="3695D169"/>
    <w:rsid w:val="36A1232C"/>
    <w:rsid w:val="36B0A4A9"/>
    <w:rsid w:val="37C86918"/>
    <w:rsid w:val="37FDE9BB"/>
    <w:rsid w:val="382E08DF"/>
    <w:rsid w:val="3839719B"/>
    <w:rsid w:val="383E2F58"/>
    <w:rsid w:val="390749B7"/>
    <w:rsid w:val="3A02E822"/>
    <w:rsid w:val="3AEBF333"/>
    <w:rsid w:val="3B84C310"/>
    <w:rsid w:val="3BE09376"/>
    <w:rsid w:val="3C11D695"/>
    <w:rsid w:val="3C8E6162"/>
    <w:rsid w:val="3D11A07B"/>
    <w:rsid w:val="3D65942B"/>
    <w:rsid w:val="3E6C1999"/>
    <w:rsid w:val="3EA1FB57"/>
    <w:rsid w:val="3FC16CB8"/>
    <w:rsid w:val="4045930B"/>
    <w:rsid w:val="407573BF"/>
    <w:rsid w:val="40C47D08"/>
    <w:rsid w:val="40E913A4"/>
    <w:rsid w:val="40FC965A"/>
    <w:rsid w:val="41991CF3"/>
    <w:rsid w:val="422AF6DE"/>
    <w:rsid w:val="43392A30"/>
    <w:rsid w:val="437D2061"/>
    <w:rsid w:val="43B7D551"/>
    <w:rsid w:val="43E0C475"/>
    <w:rsid w:val="4400AF6A"/>
    <w:rsid w:val="442F1E2B"/>
    <w:rsid w:val="448A2276"/>
    <w:rsid w:val="44E0CEF5"/>
    <w:rsid w:val="45A7D5D3"/>
    <w:rsid w:val="45D4589F"/>
    <w:rsid w:val="45FEC3F4"/>
    <w:rsid w:val="467E10AE"/>
    <w:rsid w:val="4695290D"/>
    <w:rsid w:val="46E5384C"/>
    <w:rsid w:val="470E0F93"/>
    <w:rsid w:val="474F5558"/>
    <w:rsid w:val="47522A55"/>
    <w:rsid w:val="4759D2BE"/>
    <w:rsid w:val="491D3B12"/>
    <w:rsid w:val="4948347A"/>
    <w:rsid w:val="49C21973"/>
    <w:rsid w:val="4A2AE3D4"/>
    <w:rsid w:val="4A6B7245"/>
    <w:rsid w:val="4AA7AFDA"/>
    <w:rsid w:val="4ADAC1B0"/>
    <w:rsid w:val="4B08907F"/>
    <w:rsid w:val="4B7537ED"/>
    <w:rsid w:val="4B7A170B"/>
    <w:rsid w:val="4B93E16A"/>
    <w:rsid w:val="4C52E72A"/>
    <w:rsid w:val="4CDFCF37"/>
    <w:rsid w:val="4CE633CC"/>
    <w:rsid w:val="4D0C20FA"/>
    <w:rsid w:val="4D2FA8D9"/>
    <w:rsid w:val="4D337A83"/>
    <w:rsid w:val="4D55F186"/>
    <w:rsid w:val="4EF53687"/>
    <w:rsid w:val="4F1BDDE5"/>
    <w:rsid w:val="4FD090DC"/>
    <w:rsid w:val="501E32B3"/>
    <w:rsid w:val="507097E7"/>
    <w:rsid w:val="50A74594"/>
    <w:rsid w:val="514F7D21"/>
    <w:rsid w:val="51E2477C"/>
    <w:rsid w:val="51E9FA91"/>
    <w:rsid w:val="52A1C80B"/>
    <w:rsid w:val="53A74189"/>
    <w:rsid w:val="53B112B8"/>
    <w:rsid w:val="5440A8EA"/>
    <w:rsid w:val="546878D0"/>
    <w:rsid w:val="54A291D4"/>
    <w:rsid w:val="54A39317"/>
    <w:rsid w:val="5503BA3B"/>
    <w:rsid w:val="550C59FF"/>
    <w:rsid w:val="557F9974"/>
    <w:rsid w:val="568C247D"/>
    <w:rsid w:val="568F463B"/>
    <w:rsid w:val="56B3794F"/>
    <w:rsid w:val="56D109A5"/>
    <w:rsid w:val="570B37DC"/>
    <w:rsid w:val="58087AF1"/>
    <w:rsid w:val="5815F189"/>
    <w:rsid w:val="5863B97B"/>
    <w:rsid w:val="58E7A9AA"/>
    <w:rsid w:val="5955BC81"/>
    <w:rsid w:val="59E1F132"/>
    <w:rsid w:val="5A0E2BE1"/>
    <w:rsid w:val="5A21474F"/>
    <w:rsid w:val="5BDEA8FF"/>
    <w:rsid w:val="5C1D4688"/>
    <w:rsid w:val="5C2D1E1E"/>
    <w:rsid w:val="5C2D2F0F"/>
    <w:rsid w:val="5C733E76"/>
    <w:rsid w:val="5D9A4893"/>
    <w:rsid w:val="5DD0F908"/>
    <w:rsid w:val="5DD597CC"/>
    <w:rsid w:val="5E31A3F1"/>
    <w:rsid w:val="5E4BF376"/>
    <w:rsid w:val="5E766179"/>
    <w:rsid w:val="5EBE894A"/>
    <w:rsid w:val="5ED6A50F"/>
    <w:rsid w:val="5F6D76F5"/>
    <w:rsid w:val="5F71F815"/>
    <w:rsid w:val="5F9A9AC0"/>
    <w:rsid w:val="5FA4B10C"/>
    <w:rsid w:val="606EFA1F"/>
    <w:rsid w:val="60978667"/>
    <w:rsid w:val="60A65731"/>
    <w:rsid w:val="61126881"/>
    <w:rsid w:val="618AE3B8"/>
    <w:rsid w:val="61E54615"/>
    <w:rsid w:val="61F5D808"/>
    <w:rsid w:val="630196F5"/>
    <w:rsid w:val="6342607D"/>
    <w:rsid w:val="6359FE7B"/>
    <w:rsid w:val="63B2F6CF"/>
    <w:rsid w:val="63BCFBAD"/>
    <w:rsid w:val="64483ED7"/>
    <w:rsid w:val="64D03693"/>
    <w:rsid w:val="64FD3F37"/>
    <w:rsid w:val="6519D903"/>
    <w:rsid w:val="651D3A05"/>
    <w:rsid w:val="658D4BEF"/>
    <w:rsid w:val="66AB7DBC"/>
    <w:rsid w:val="66B66241"/>
    <w:rsid w:val="682097F4"/>
    <w:rsid w:val="68774D65"/>
    <w:rsid w:val="6898CB54"/>
    <w:rsid w:val="68C4ECB1"/>
    <w:rsid w:val="692D6FE4"/>
    <w:rsid w:val="69523721"/>
    <w:rsid w:val="696319E0"/>
    <w:rsid w:val="69CD755A"/>
    <w:rsid w:val="6AA32DD4"/>
    <w:rsid w:val="6AABFE33"/>
    <w:rsid w:val="6C24AB50"/>
    <w:rsid w:val="6C50DCF6"/>
    <w:rsid w:val="6C683CC1"/>
    <w:rsid w:val="6CF99EB2"/>
    <w:rsid w:val="6EE7B9E6"/>
    <w:rsid w:val="6F32296E"/>
    <w:rsid w:val="6F345B11"/>
    <w:rsid w:val="6FB60D44"/>
    <w:rsid w:val="703E8E59"/>
    <w:rsid w:val="708528D6"/>
    <w:rsid w:val="708CDCB0"/>
    <w:rsid w:val="70F2B39E"/>
    <w:rsid w:val="71733ABA"/>
    <w:rsid w:val="7181F34C"/>
    <w:rsid w:val="718C90F1"/>
    <w:rsid w:val="71C9EBB5"/>
    <w:rsid w:val="7257CCFD"/>
    <w:rsid w:val="7293535C"/>
    <w:rsid w:val="7300F836"/>
    <w:rsid w:val="736FC0E0"/>
    <w:rsid w:val="73A8C43A"/>
    <w:rsid w:val="74149057"/>
    <w:rsid w:val="74AE46DA"/>
    <w:rsid w:val="7510CAC0"/>
    <w:rsid w:val="75C9CAEA"/>
    <w:rsid w:val="76B6C1A3"/>
    <w:rsid w:val="775411BC"/>
    <w:rsid w:val="776B9876"/>
    <w:rsid w:val="77A342ED"/>
    <w:rsid w:val="78121A06"/>
    <w:rsid w:val="7865249E"/>
    <w:rsid w:val="790CE635"/>
    <w:rsid w:val="798515BE"/>
    <w:rsid w:val="79B7AA63"/>
    <w:rsid w:val="79CE23F3"/>
    <w:rsid w:val="79D76BC0"/>
    <w:rsid w:val="7A194211"/>
    <w:rsid w:val="7AC20CC9"/>
    <w:rsid w:val="7ACA918D"/>
    <w:rsid w:val="7ACB5A9A"/>
    <w:rsid w:val="7AD1741A"/>
    <w:rsid w:val="7B032952"/>
    <w:rsid w:val="7B36CA02"/>
    <w:rsid w:val="7C6B639D"/>
    <w:rsid w:val="7C9DF9EC"/>
    <w:rsid w:val="7CBC9D9C"/>
    <w:rsid w:val="7CD29A63"/>
    <w:rsid w:val="7D071703"/>
    <w:rsid w:val="7D27D777"/>
    <w:rsid w:val="7D8F4AAC"/>
    <w:rsid w:val="7DB68638"/>
    <w:rsid w:val="7DB94C2A"/>
    <w:rsid w:val="7DF5D47C"/>
    <w:rsid w:val="7E39CA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4A5AE"/>
  <w15:docId w15:val="{C2D004EE-635C-4FC6-96F1-A50B38B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qFormat/>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 w:type="character" w:customStyle="1" w:styleId="jlqj4b">
    <w:name w:val="jlqj4b"/>
    <w:basedOn w:val="Domylnaczcionkaakapitu"/>
    <w:rsid w:val="00E75DDF"/>
  </w:style>
  <w:style w:type="character" w:customStyle="1" w:styleId="y2iqfc">
    <w:name w:val="y2iqfc"/>
    <w:basedOn w:val="Domylnaczcionkaakapitu"/>
    <w:rsid w:val="007372FA"/>
  </w:style>
  <w:style w:type="paragraph" w:customStyle="1" w:styleId="PKTpunkt">
    <w:name w:val="PKT – punkt"/>
    <w:uiPriority w:val="13"/>
    <w:qFormat/>
    <w:rsid w:val="004E760B"/>
    <w:pPr>
      <w:spacing w:line="360" w:lineRule="auto"/>
      <w:ind w:left="510" w:hanging="510"/>
      <w:jc w:val="both"/>
    </w:pPr>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1578516065">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554898412">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784232014">
      <w:bodyDiv w:val="1"/>
      <w:marLeft w:val="0"/>
      <w:marRight w:val="0"/>
      <w:marTop w:val="0"/>
      <w:marBottom w:val="0"/>
      <w:divBdr>
        <w:top w:val="none" w:sz="0" w:space="0" w:color="auto"/>
        <w:left w:val="none" w:sz="0" w:space="0" w:color="auto"/>
        <w:bottom w:val="none" w:sz="0" w:space="0" w:color="auto"/>
        <w:right w:val="none" w:sz="0" w:space="0" w:color="auto"/>
      </w:divBdr>
      <w:divsChild>
        <w:div w:id="846794717">
          <w:marLeft w:val="0"/>
          <w:marRight w:val="0"/>
          <w:marTop w:val="0"/>
          <w:marBottom w:val="0"/>
          <w:divBdr>
            <w:top w:val="none" w:sz="0" w:space="0" w:color="auto"/>
            <w:left w:val="none" w:sz="0" w:space="0" w:color="auto"/>
            <w:bottom w:val="none" w:sz="0" w:space="0" w:color="auto"/>
            <w:right w:val="none" w:sz="0" w:space="0" w:color="auto"/>
          </w:divBdr>
        </w:div>
      </w:divsChild>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5795321">
      <w:bodyDiv w:val="1"/>
      <w:marLeft w:val="0"/>
      <w:marRight w:val="0"/>
      <w:marTop w:val="0"/>
      <w:marBottom w:val="0"/>
      <w:divBdr>
        <w:top w:val="none" w:sz="0" w:space="0" w:color="auto"/>
        <w:left w:val="none" w:sz="0" w:space="0" w:color="auto"/>
        <w:bottom w:val="none" w:sz="0" w:space="0" w:color="auto"/>
        <w:right w:val="none" w:sz="0" w:space="0" w:color="auto"/>
      </w:divBdr>
      <w:divsChild>
        <w:div w:id="1765999918">
          <w:marLeft w:val="0"/>
          <w:marRight w:val="0"/>
          <w:marTop w:val="0"/>
          <w:marBottom w:val="0"/>
          <w:divBdr>
            <w:top w:val="none" w:sz="0" w:space="0" w:color="auto"/>
            <w:left w:val="none" w:sz="0" w:space="0" w:color="auto"/>
            <w:bottom w:val="none" w:sz="0" w:space="0" w:color="auto"/>
            <w:right w:val="none" w:sz="0" w:space="0" w:color="auto"/>
          </w:divBdr>
        </w:div>
      </w:divsChild>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58477111">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128817029">
      <w:bodyDiv w:val="1"/>
      <w:marLeft w:val="0"/>
      <w:marRight w:val="0"/>
      <w:marTop w:val="0"/>
      <w:marBottom w:val="0"/>
      <w:divBdr>
        <w:top w:val="none" w:sz="0" w:space="0" w:color="auto"/>
        <w:left w:val="none" w:sz="0" w:space="0" w:color="auto"/>
        <w:bottom w:val="none" w:sz="0" w:space="0" w:color="auto"/>
        <w:right w:val="none" w:sz="0" w:space="0" w:color="auto"/>
      </w:divBdr>
    </w:div>
    <w:div w:id="1145389841">
      <w:bodyDiv w:val="1"/>
      <w:marLeft w:val="0"/>
      <w:marRight w:val="0"/>
      <w:marTop w:val="0"/>
      <w:marBottom w:val="0"/>
      <w:divBdr>
        <w:top w:val="none" w:sz="0" w:space="0" w:color="auto"/>
        <w:left w:val="none" w:sz="0" w:space="0" w:color="auto"/>
        <w:bottom w:val="none" w:sz="0" w:space="0" w:color="auto"/>
        <w:right w:val="none" w:sz="0" w:space="0" w:color="auto"/>
      </w:divBdr>
      <w:divsChild>
        <w:div w:id="82379414">
          <w:marLeft w:val="0"/>
          <w:marRight w:val="0"/>
          <w:marTop w:val="0"/>
          <w:marBottom w:val="0"/>
          <w:divBdr>
            <w:top w:val="none" w:sz="0" w:space="0" w:color="auto"/>
            <w:left w:val="none" w:sz="0" w:space="0" w:color="auto"/>
            <w:bottom w:val="none" w:sz="0" w:space="0" w:color="auto"/>
            <w:right w:val="none" w:sz="0" w:space="0" w:color="auto"/>
          </w:divBdr>
          <w:divsChild>
            <w:div w:id="738095976">
              <w:marLeft w:val="0"/>
              <w:marRight w:val="0"/>
              <w:marTop w:val="0"/>
              <w:marBottom w:val="0"/>
              <w:divBdr>
                <w:top w:val="none" w:sz="0" w:space="0" w:color="auto"/>
                <w:left w:val="none" w:sz="0" w:space="0" w:color="auto"/>
                <w:bottom w:val="none" w:sz="0" w:space="0" w:color="auto"/>
                <w:right w:val="none" w:sz="0" w:space="0" w:color="auto"/>
              </w:divBdr>
              <w:divsChild>
                <w:div w:id="419445051">
                  <w:marLeft w:val="0"/>
                  <w:marRight w:val="0"/>
                  <w:marTop w:val="0"/>
                  <w:marBottom w:val="0"/>
                  <w:divBdr>
                    <w:top w:val="none" w:sz="0" w:space="0" w:color="auto"/>
                    <w:left w:val="none" w:sz="0" w:space="0" w:color="auto"/>
                    <w:bottom w:val="none" w:sz="0" w:space="0" w:color="auto"/>
                    <w:right w:val="none" w:sz="0" w:space="0" w:color="auto"/>
                  </w:divBdr>
                  <w:divsChild>
                    <w:div w:id="4208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513909499">
      <w:bodyDiv w:val="1"/>
      <w:marLeft w:val="0"/>
      <w:marRight w:val="0"/>
      <w:marTop w:val="0"/>
      <w:marBottom w:val="0"/>
      <w:divBdr>
        <w:top w:val="none" w:sz="0" w:space="0" w:color="auto"/>
        <w:left w:val="none" w:sz="0" w:space="0" w:color="auto"/>
        <w:bottom w:val="none" w:sz="0" w:space="0" w:color="auto"/>
        <w:right w:val="none" w:sz="0" w:space="0" w:color="auto"/>
      </w:divBdr>
      <w:divsChild>
        <w:div w:id="1309090834">
          <w:marLeft w:val="0"/>
          <w:marRight w:val="0"/>
          <w:marTop w:val="0"/>
          <w:marBottom w:val="0"/>
          <w:divBdr>
            <w:top w:val="none" w:sz="0" w:space="0" w:color="auto"/>
            <w:left w:val="none" w:sz="0" w:space="0" w:color="auto"/>
            <w:bottom w:val="none" w:sz="0" w:space="0" w:color="auto"/>
            <w:right w:val="none" w:sz="0" w:space="0" w:color="auto"/>
          </w:divBdr>
        </w:div>
      </w:divsChild>
    </w:div>
    <w:div w:id="1546330395">
      <w:bodyDiv w:val="1"/>
      <w:marLeft w:val="0"/>
      <w:marRight w:val="0"/>
      <w:marTop w:val="0"/>
      <w:marBottom w:val="0"/>
      <w:divBdr>
        <w:top w:val="none" w:sz="0" w:space="0" w:color="auto"/>
        <w:left w:val="none" w:sz="0" w:space="0" w:color="auto"/>
        <w:bottom w:val="none" w:sz="0" w:space="0" w:color="auto"/>
        <w:right w:val="none" w:sz="0" w:space="0" w:color="auto"/>
      </w:divBdr>
      <w:divsChild>
        <w:div w:id="957642646">
          <w:marLeft w:val="0"/>
          <w:marRight w:val="0"/>
          <w:marTop w:val="0"/>
          <w:marBottom w:val="0"/>
          <w:divBdr>
            <w:top w:val="none" w:sz="0" w:space="0" w:color="auto"/>
            <w:left w:val="none" w:sz="0" w:space="0" w:color="auto"/>
            <w:bottom w:val="none" w:sz="0" w:space="0" w:color="auto"/>
            <w:right w:val="none" w:sz="0" w:space="0" w:color="auto"/>
          </w:divBdr>
        </w:div>
      </w:divsChild>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636330008">
                  <w:marLeft w:val="0"/>
                  <w:marRight w:val="0"/>
                  <w:marTop w:val="0"/>
                  <w:marBottom w:val="0"/>
                  <w:divBdr>
                    <w:top w:val="none" w:sz="0" w:space="0" w:color="auto"/>
                    <w:left w:val="none" w:sz="0" w:space="0" w:color="auto"/>
                    <w:bottom w:val="none" w:sz="0" w:space="0" w:color="auto"/>
                    <w:right w:val="none" w:sz="0" w:space="0" w:color="auto"/>
                  </w:divBdr>
                </w:div>
                <w:div w:id="1257638904">
                  <w:marLeft w:val="0"/>
                  <w:marRight w:val="0"/>
                  <w:marTop w:val="0"/>
                  <w:marBottom w:val="0"/>
                  <w:divBdr>
                    <w:top w:val="none" w:sz="0" w:space="0" w:color="auto"/>
                    <w:left w:val="none" w:sz="0" w:space="0" w:color="auto"/>
                    <w:bottom w:val="none" w:sz="0" w:space="0" w:color="auto"/>
                    <w:right w:val="none" w:sz="0" w:space="0" w:color="auto"/>
                  </w:divBdr>
                </w:div>
              </w:divsChild>
            </w:div>
            <w:div w:id="1750037060">
              <w:marLeft w:val="0"/>
              <w:marRight w:val="0"/>
              <w:marTop w:val="0"/>
              <w:marBottom w:val="0"/>
              <w:divBdr>
                <w:top w:val="none" w:sz="0" w:space="0" w:color="auto"/>
                <w:left w:val="none" w:sz="0" w:space="0" w:color="auto"/>
                <w:bottom w:val="none" w:sz="0" w:space="0" w:color="auto"/>
                <w:right w:val="none" w:sz="0" w:space="0" w:color="auto"/>
              </w:divBdr>
            </w:div>
            <w:div w:id="849568829">
              <w:marLeft w:val="0"/>
              <w:marRight w:val="0"/>
              <w:marTop w:val="0"/>
              <w:marBottom w:val="0"/>
              <w:divBdr>
                <w:top w:val="none" w:sz="0" w:space="0" w:color="auto"/>
                <w:left w:val="none" w:sz="0" w:space="0" w:color="auto"/>
                <w:bottom w:val="none" w:sz="0" w:space="0" w:color="auto"/>
                <w:right w:val="none" w:sz="0" w:space="0" w:color="auto"/>
              </w:divBdr>
            </w:div>
          </w:divsChild>
        </w:div>
        <w:div w:id="166290448">
          <w:marLeft w:val="0"/>
          <w:marRight w:val="0"/>
          <w:marTop w:val="0"/>
          <w:marBottom w:val="0"/>
          <w:divBdr>
            <w:top w:val="none" w:sz="0" w:space="0" w:color="auto"/>
            <w:left w:val="none" w:sz="0" w:space="0" w:color="auto"/>
            <w:bottom w:val="none" w:sz="0" w:space="0" w:color="auto"/>
            <w:right w:val="none" w:sz="0" w:space="0" w:color="auto"/>
          </w:divBdr>
          <w:divsChild>
            <w:div w:id="1574969122">
              <w:marLeft w:val="0"/>
              <w:marRight w:val="0"/>
              <w:marTop w:val="0"/>
              <w:marBottom w:val="0"/>
              <w:divBdr>
                <w:top w:val="none" w:sz="0" w:space="0" w:color="auto"/>
                <w:left w:val="none" w:sz="0" w:space="0" w:color="auto"/>
                <w:bottom w:val="none" w:sz="0" w:space="0" w:color="auto"/>
                <w:right w:val="none" w:sz="0" w:space="0" w:color="auto"/>
              </w:divBdr>
            </w:div>
            <w:div w:id="437605495">
              <w:marLeft w:val="0"/>
              <w:marRight w:val="0"/>
              <w:marTop w:val="0"/>
              <w:marBottom w:val="0"/>
              <w:divBdr>
                <w:top w:val="none" w:sz="0" w:space="0" w:color="auto"/>
                <w:left w:val="none" w:sz="0" w:space="0" w:color="auto"/>
                <w:bottom w:val="none" w:sz="0" w:space="0" w:color="auto"/>
                <w:right w:val="none" w:sz="0" w:space="0" w:color="auto"/>
              </w:divBdr>
              <w:divsChild>
                <w:div w:id="1957103730">
                  <w:marLeft w:val="0"/>
                  <w:marRight w:val="0"/>
                  <w:marTop w:val="0"/>
                  <w:marBottom w:val="0"/>
                  <w:divBdr>
                    <w:top w:val="none" w:sz="0" w:space="0" w:color="auto"/>
                    <w:left w:val="none" w:sz="0" w:space="0" w:color="auto"/>
                    <w:bottom w:val="none" w:sz="0" w:space="0" w:color="auto"/>
                    <w:right w:val="none" w:sz="0" w:space="0" w:color="auto"/>
                  </w:divBdr>
                </w:div>
                <w:div w:id="398671840">
                  <w:marLeft w:val="0"/>
                  <w:marRight w:val="0"/>
                  <w:marTop w:val="0"/>
                  <w:marBottom w:val="0"/>
                  <w:divBdr>
                    <w:top w:val="none" w:sz="0" w:space="0" w:color="auto"/>
                    <w:left w:val="none" w:sz="0" w:space="0" w:color="auto"/>
                    <w:bottom w:val="none" w:sz="0" w:space="0" w:color="auto"/>
                    <w:right w:val="none" w:sz="0" w:space="0" w:color="auto"/>
                  </w:divBdr>
                </w:div>
              </w:divsChild>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1502699012">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1027563920">
              <w:marLeft w:val="0"/>
              <w:marRight w:val="0"/>
              <w:marTop w:val="0"/>
              <w:marBottom w:val="0"/>
              <w:divBdr>
                <w:top w:val="none" w:sz="0" w:space="0" w:color="auto"/>
                <w:left w:val="none" w:sz="0" w:space="0" w:color="auto"/>
                <w:bottom w:val="none" w:sz="0" w:space="0" w:color="auto"/>
                <w:right w:val="none" w:sz="0" w:space="0" w:color="auto"/>
              </w:divBdr>
            </w:div>
            <w:div w:id="948661598">
              <w:marLeft w:val="0"/>
              <w:marRight w:val="0"/>
              <w:marTop w:val="0"/>
              <w:marBottom w:val="0"/>
              <w:divBdr>
                <w:top w:val="none" w:sz="0" w:space="0" w:color="auto"/>
                <w:left w:val="none" w:sz="0" w:space="0" w:color="auto"/>
                <w:bottom w:val="none" w:sz="0" w:space="0" w:color="auto"/>
                <w:right w:val="none" w:sz="0" w:space="0" w:color="auto"/>
              </w:divBdr>
              <w:divsChild>
                <w:div w:id="2014139258">
                  <w:marLeft w:val="0"/>
                  <w:marRight w:val="0"/>
                  <w:marTop w:val="0"/>
                  <w:marBottom w:val="0"/>
                  <w:divBdr>
                    <w:top w:val="none" w:sz="0" w:space="0" w:color="auto"/>
                    <w:left w:val="none" w:sz="0" w:space="0" w:color="auto"/>
                    <w:bottom w:val="none" w:sz="0" w:space="0" w:color="auto"/>
                    <w:right w:val="none" w:sz="0" w:space="0" w:color="auto"/>
                  </w:divBdr>
                </w:div>
                <w:div w:id="417674525">
                  <w:marLeft w:val="0"/>
                  <w:marRight w:val="0"/>
                  <w:marTop w:val="0"/>
                  <w:marBottom w:val="0"/>
                  <w:divBdr>
                    <w:top w:val="none" w:sz="0" w:space="0" w:color="auto"/>
                    <w:left w:val="none" w:sz="0" w:space="0" w:color="auto"/>
                    <w:bottom w:val="none" w:sz="0" w:space="0" w:color="auto"/>
                    <w:right w:val="none" w:sz="0" w:space="0" w:color="auto"/>
                  </w:divBdr>
                </w:div>
              </w:divsChild>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1947276227">
          <w:marLeft w:val="0"/>
          <w:marRight w:val="0"/>
          <w:marTop w:val="0"/>
          <w:marBottom w:val="0"/>
          <w:divBdr>
            <w:top w:val="none" w:sz="0" w:space="0" w:color="auto"/>
            <w:left w:val="none" w:sz="0" w:space="0" w:color="auto"/>
            <w:bottom w:val="none" w:sz="0" w:space="0" w:color="auto"/>
            <w:right w:val="none" w:sz="0" w:space="0" w:color="auto"/>
          </w:divBdr>
        </w:div>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sChild>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D44A-664F-4836-BF1A-6961ADD8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13811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Dulęba Karolina</dc:creator>
  <cp:lastModifiedBy>Urzyczyn Anna</cp:lastModifiedBy>
  <cp:revision>2</cp:revision>
  <cp:lastPrinted>2018-07-09T11:18:00Z</cp:lastPrinted>
  <dcterms:created xsi:type="dcterms:W3CDTF">2024-08-05T09:09:00Z</dcterms:created>
  <dcterms:modified xsi:type="dcterms:W3CDTF">2024-08-05T09:09:00Z</dcterms:modified>
</cp:coreProperties>
</file>