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061662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061662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061662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061662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19 lipca 2024</w:t>
      </w:r>
      <w:bookmarkEnd w:id="0"/>
      <w:r w:rsidRPr="00E53A80">
        <w:rPr>
          <w:rFonts w:cs="Arial"/>
          <w:szCs w:val="24"/>
        </w:rPr>
        <w:t xml:space="preserve"> r.</w:t>
      </w:r>
    </w:p>
    <w:p w:rsidR="00B6637F" w:rsidRPr="00422E40" w:rsidRDefault="00061662" w:rsidP="00B6637F">
      <w:pPr>
        <w:pStyle w:val="Nagwek2"/>
      </w:pPr>
      <w:r w:rsidRPr="00422E40">
        <w:t>zmieniające zarządzenie w sprawie</w:t>
      </w:r>
      <w:r>
        <w:t xml:space="preserve"> wewnętrznej polityki antymobbingowej w Pomorskim Urzędzie Wojewódzkim w Gdańsku</w:t>
      </w:r>
    </w:p>
    <w:p w:rsidR="00B6637F" w:rsidRPr="00E53A80" w:rsidRDefault="00061662" w:rsidP="00B6637F">
      <w:pPr>
        <w:spacing w:after="360"/>
      </w:pPr>
      <w:r w:rsidRPr="00E53A80">
        <w:t xml:space="preserve">Na podstawie </w:t>
      </w:r>
      <w:r w:rsidRPr="00376FE9">
        <w:t>art. 94</w:t>
      </w:r>
      <w:r w:rsidRPr="00376FE9">
        <w:rPr>
          <w:vertAlign w:val="superscript"/>
        </w:rPr>
        <w:t xml:space="preserve">3 </w:t>
      </w:r>
      <w:r w:rsidRPr="00376FE9">
        <w:t xml:space="preserve">Kodeksu pracy (Dz. U. z 2023 r. poz. 1465) art. 25 ust. 4 pkt 2 i ust. 10 ustawy z dnia 21 listopada 2008 r. o służbie cywilnej (Dz. U. z 2024 r. poz. 409) </w:t>
      </w:r>
      <w:r w:rsidRPr="00E53A80">
        <w:t>zarządza się, co następuje:</w:t>
      </w:r>
    </w:p>
    <w:p w:rsidR="00B6637F" w:rsidRDefault="00061662" w:rsidP="00B6637F">
      <w:bookmarkStart w:id="1" w:name="_Hlk71116339"/>
      <w:r w:rsidRPr="00742356">
        <w:rPr>
          <w:b/>
          <w:bCs/>
        </w:rPr>
        <w:t>§ 1.</w:t>
      </w:r>
      <w:r>
        <w:rPr>
          <w:b/>
          <w:bCs/>
        </w:rPr>
        <w:t xml:space="preserve"> </w:t>
      </w:r>
      <w:r>
        <w:t>W Wewnętrznej Polityce Antymobbingowej stanowiącej załącznik do zar</w:t>
      </w:r>
      <w:r>
        <w:t>ządzenia Dyrektora Generalnego Pomorskiego Urzędu Wojewódzkiego w Gdańsku z dnia 30 stycznia 2024 r. wprowadza się następujące zmiany:</w:t>
      </w:r>
    </w:p>
    <w:p w:rsidR="00B6637F" w:rsidRDefault="00061662" w:rsidP="00B6637F">
      <w:pPr>
        <w:pStyle w:val="Akapitzlist"/>
        <w:numPr>
          <w:ilvl w:val="0"/>
          <w:numId w:val="1"/>
        </w:numPr>
        <w:ind w:left="426"/>
      </w:pPr>
      <w:r>
        <w:t xml:space="preserve">w </w:t>
      </w:r>
      <w:r>
        <w:rPr>
          <w:rFonts w:cs="Arial"/>
        </w:rPr>
        <w:t>§</w:t>
      </w:r>
      <w:r>
        <w:t xml:space="preserve"> 2 w pkt 4 kropkę zastępuje się średnikiem i dodaje się pkt 5-6 w brzmieniu:</w:t>
      </w:r>
    </w:p>
    <w:p w:rsidR="00B6637F" w:rsidRDefault="00061662" w:rsidP="00B6637F">
      <w:pPr>
        <w:pStyle w:val="Akapitzlist"/>
        <w:ind w:left="567" w:hanging="283"/>
      </w:pPr>
      <w:r>
        <w:t>„5) skarga – pisemne zgłoszenie pracownik</w:t>
      </w:r>
      <w:r>
        <w:t>a, wskazujące na wystąpienie względem niego lub innych pracowników przypadków mobbingu;</w:t>
      </w:r>
    </w:p>
    <w:p w:rsidR="00B6637F" w:rsidRDefault="00061662" w:rsidP="00B6637F">
      <w:pPr>
        <w:pStyle w:val="Akapitzlist"/>
        <w:spacing w:after="120"/>
        <w:ind w:left="568" w:hanging="284"/>
        <w:contextualSpacing w:val="0"/>
      </w:pPr>
      <w:r>
        <w:t>6) strona postępowania – pracownik wnoszący skargę i pracownik lub grupa pracowników, których oskarża się o stosowanie mobbingu.”;</w:t>
      </w:r>
    </w:p>
    <w:p w:rsidR="00B6637F" w:rsidRDefault="00061662" w:rsidP="00B6637F">
      <w:pPr>
        <w:pStyle w:val="Akapitzlist"/>
        <w:numPr>
          <w:ilvl w:val="0"/>
          <w:numId w:val="1"/>
        </w:numPr>
        <w:ind w:left="426"/>
      </w:pPr>
      <w:r>
        <w:rPr>
          <w:rFonts w:cs="Arial"/>
        </w:rPr>
        <w:t>§</w:t>
      </w:r>
      <w:r>
        <w:t xml:space="preserve"> 4-5 otrzymują brzmienie:</w:t>
      </w:r>
    </w:p>
    <w:p w:rsidR="00B6637F" w:rsidRDefault="00061662" w:rsidP="00B6637F">
      <w:pPr>
        <w:pStyle w:val="Akapitzlist"/>
        <w:tabs>
          <w:tab w:val="left" w:pos="851"/>
        </w:tabs>
        <w:spacing w:after="120"/>
        <w:ind w:left="0"/>
        <w:contextualSpacing w:val="0"/>
      </w:pPr>
      <w:r>
        <w:t>„</w:t>
      </w:r>
      <w:r>
        <w:rPr>
          <w:rFonts w:cs="Arial"/>
        </w:rPr>
        <w:t>§</w:t>
      </w:r>
      <w:r>
        <w:t xml:space="preserve"> 4. 1. K</w:t>
      </w:r>
      <w:r>
        <w:t>ażdy pracownik, który uzna, że został poddany mobbingowi, był świadkiem lub posiada informacje o działaniach noszących znamiona mobbingu jest uprawniony do złożenia skargi.</w:t>
      </w:r>
    </w:p>
    <w:p w:rsidR="00B6637F" w:rsidRDefault="00061662" w:rsidP="00B6637F">
      <w:pPr>
        <w:pStyle w:val="Akapitzlist"/>
        <w:tabs>
          <w:tab w:val="left" w:pos="426"/>
          <w:tab w:val="left" w:pos="851"/>
        </w:tabs>
        <w:spacing w:after="120"/>
        <w:ind w:left="0"/>
        <w:contextualSpacing w:val="0"/>
      </w:pPr>
      <w:r>
        <w:t>2. Skarga powinna zwierać opis działań (określenie czasu, miejsca zdarzenia, wskaza</w:t>
      </w:r>
      <w:r>
        <w:t>nie obecnych osób, opis niepożądanych zachowań), wskazanie osób dopuszczających się mobbingu oraz, o ile to możliwe, dowodów na potwierdzenie przytoczonych okoliczności.</w:t>
      </w:r>
    </w:p>
    <w:p w:rsidR="00B6637F" w:rsidRPr="00CD7F16" w:rsidRDefault="00061662" w:rsidP="00B6637F">
      <w:pPr>
        <w:pStyle w:val="Akapitzlist"/>
        <w:tabs>
          <w:tab w:val="left" w:pos="426"/>
          <w:tab w:val="left" w:pos="851"/>
        </w:tabs>
        <w:ind w:left="0"/>
      </w:pPr>
      <w:r w:rsidRPr="00CD7F16">
        <w:t>3. Złożenie skargi nie wyklucza prawa pracownika do dochodzenia ochrony prawnej na dro</w:t>
      </w:r>
      <w:r w:rsidRPr="00CD7F16">
        <w:t>dze sądowej.</w:t>
      </w:r>
    </w:p>
    <w:bookmarkEnd w:id="1"/>
    <w:p w:rsidR="00B6637F" w:rsidRDefault="00061662" w:rsidP="00B6637F">
      <w:pPr>
        <w:spacing w:after="120"/>
      </w:pPr>
      <w:r w:rsidRPr="00C27A9D">
        <w:rPr>
          <w:rFonts w:cs="Arial"/>
        </w:rPr>
        <w:t xml:space="preserve">§ 5. </w:t>
      </w:r>
      <w:r>
        <w:rPr>
          <w:rFonts w:cs="Arial"/>
        </w:rPr>
        <w:t xml:space="preserve">1. Pracodawca w ciągu </w:t>
      </w:r>
      <w:r>
        <w:rPr>
          <w:rFonts w:cs="Arial"/>
        </w:rPr>
        <w:t xml:space="preserve">14 </w:t>
      </w:r>
      <w:r>
        <w:rPr>
          <w:rFonts w:cs="Arial"/>
        </w:rPr>
        <w:t>dni od dnia złożenia skargi</w:t>
      </w:r>
      <w:r w:rsidRPr="00BB6CC7">
        <w:t xml:space="preserve"> powołuje Komisję antymobbingową (zwaną dalej Komisją), która ma za zadanie wyjaśnienie zasadności złożonej skargi</w:t>
      </w:r>
      <w:r w:rsidRPr="00CD7F16">
        <w:t xml:space="preserve">. </w:t>
      </w:r>
      <w:r w:rsidRPr="00BB6CC7">
        <w:t>O powołaniu Komisji pisemnie</w:t>
      </w:r>
      <w:r>
        <w:t xml:space="preserve"> zawiadamia strony postępowania.</w:t>
      </w:r>
    </w:p>
    <w:p w:rsidR="00B6637F" w:rsidRDefault="00061662" w:rsidP="00224611">
      <w:pPr>
        <w:spacing w:after="0"/>
      </w:pPr>
      <w:r>
        <w:t xml:space="preserve">2. W </w:t>
      </w:r>
      <w:r>
        <w:t>skład Komisji z prawem do udziału w głosowaniu wchodzą:</w:t>
      </w:r>
    </w:p>
    <w:p w:rsidR="00B6637F" w:rsidRDefault="00061662" w:rsidP="00B6637F">
      <w:pPr>
        <w:pStyle w:val="Akapitzlist"/>
        <w:numPr>
          <w:ilvl w:val="0"/>
          <w:numId w:val="3"/>
        </w:numPr>
        <w:spacing w:after="120"/>
        <w:ind w:left="426"/>
      </w:pPr>
      <w:r w:rsidRPr="00224611">
        <w:t xml:space="preserve">trzech przedstawicieli pracodawcy, w tym </w:t>
      </w:r>
      <w:r>
        <w:t xml:space="preserve">jeden </w:t>
      </w:r>
      <w:r>
        <w:t>w randze dyrektora lub zastępcy dyrektora</w:t>
      </w:r>
      <w:r>
        <w:t xml:space="preserve">, </w:t>
      </w:r>
      <w:r>
        <w:t>jeden posiadający wykształcenie prawnicze</w:t>
      </w:r>
      <w:r>
        <w:t xml:space="preserve">, spośród których pracodawca </w:t>
      </w:r>
      <w:r w:rsidRPr="00CD7F16">
        <w:rPr>
          <w:rFonts w:cs="Arial"/>
        </w:rPr>
        <w:t>wyznacza przewodniczącego Komisji</w:t>
      </w:r>
      <w:r>
        <w:t>;</w:t>
      </w:r>
    </w:p>
    <w:p w:rsidR="00B6637F" w:rsidRPr="00DF4B73" w:rsidRDefault="00061662" w:rsidP="00B6637F">
      <w:pPr>
        <w:pStyle w:val="Akapitzlist"/>
        <w:numPr>
          <w:ilvl w:val="0"/>
          <w:numId w:val="3"/>
        </w:numPr>
        <w:spacing w:after="120"/>
        <w:ind w:left="426"/>
      </w:pPr>
      <w:r w:rsidRPr="00DF4B73">
        <w:t>jeden</w:t>
      </w:r>
      <w:r w:rsidRPr="00DF4B73">
        <w:t xml:space="preserve"> przedstawiciel działając</w:t>
      </w:r>
      <w:r>
        <w:t>ych</w:t>
      </w:r>
      <w:r w:rsidRPr="00DF4B73">
        <w:t xml:space="preserve"> </w:t>
      </w:r>
      <w:r>
        <w:t>u pracodawcy</w:t>
      </w:r>
      <w:r w:rsidRPr="00DF4B73">
        <w:t xml:space="preserve"> organizacj</w:t>
      </w:r>
      <w:r>
        <w:t>i</w:t>
      </w:r>
      <w:r w:rsidRPr="00DF4B73">
        <w:t xml:space="preserve"> związkow</w:t>
      </w:r>
      <w:r>
        <w:t>ych</w:t>
      </w:r>
      <w:r w:rsidRPr="00DF4B73">
        <w:t>;</w:t>
      </w:r>
    </w:p>
    <w:p w:rsidR="00B6637F" w:rsidRPr="002665ED" w:rsidRDefault="00061662" w:rsidP="00B6637F">
      <w:pPr>
        <w:pStyle w:val="Akapitzlist"/>
        <w:numPr>
          <w:ilvl w:val="0"/>
          <w:numId w:val="3"/>
        </w:numPr>
        <w:spacing w:after="120"/>
        <w:ind w:left="426"/>
        <w:rPr>
          <w:rFonts w:cs="Arial"/>
        </w:rPr>
      </w:pPr>
      <w:r w:rsidRPr="002665ED">
        <w:rPr>
          <w:rFonts w:cs="Arial"/>
        </w:rPr>
        <w:lastRenderedPageBreak/>
        <w:t>jed</w:t>
      </w:r>
      <w:r>
        <w:rPr>
          <w:rFonts w:cs="Arial"/>
        </w:rPr>
        <w:t>en</w:t>
      </w:r>
      <w:r w:rsidRPr="002665ED">
        <w:rPr>
          <w:rFonts w:cs="Arial"/>
        </w:rPr>
        <w:t xml:space="preserve"> przedstawiciel pracownika wnoszącego skargę</w:t>
      </w:r>
      <w:r>
        <w:rPr>
          <w:rFonts w:cs="Arial"/>
        </w:rPr>
        <w:t xml:space="preserve"> – o ile go ustanowi</w:t>
      </w:r>
      <w:r w:rsidRPr="002665ED">
        <w:rPr>
          <w:rFonts w:cs="Arial"/>
        </w:rPr>
        <w:t>;</w:t>
      </w:r>
    </w:p>
    <w:p w:rsidR="00B6637F" w:rsidRPr="002665ED" w:rsidRDefault="00061662" w:rsidP="00B6637F">
      <w:pPr>
        <w:pStyle w:val="Akapitzlist"/>
        <w:numPr>
          <w:ilvl w:val="0"/>
          <w:numId w:val="3"/>
        </w:numPr>
        <w:spacing w:after="120"/>
        <w:ind w:left="426"/>
        <w:rPr>
          <w:rFonts w:cs="Arial"/>
        </w:rPr>
      </w:pPr>
      <w:r w:rsidRPr="002665ED">
        <w:rPr>
          <w:rFonts w:cs="Arial"/>
        </w:rPr>
        <w:t>jed</w:t>
      </w:r>
      <w:r>
        <w:rPr>
          <w:rFonts w:cs="Arial"/>
        </w:rPr>
        <w:t>en</w:t>
      </w:r>
      <w:r w:rsidRPr="002665ED">
        <w:rPr>
          <w:rFonts w:cs="Arial"/>
        </w:rPr>
        <w:t xml:space="preserve"> przedstawiciel pracownika lub grup</w:t>
      </w:r>
      <w:r>
        <w:rPr>
          <w:rFonts w:cs="Arial"/>
        </w:rPr>
        <w:t>y</w:t>
      </w:r>
      <w:r w:rsidRPr="002665ED">
        <w:rPr>
          <w:rFonts w:cs="Arial"/>
        </w:rPr>
        <w:t xml:space="preserve"> pracowników, oskarżonych o</w:t>
      </w:r>
      <w:r>
        <w:rPr>
          <w:rFonts w:cs="Arial"/>
        </w:rPr>
        <w:t> </w:t>
      </w:r>
      <w:r w:rsidRPr="002665ED">
        <w:rPr>
          <w:rFonts w:cs="Arial"/>
        </w:rPr>
        <w:t>stosowanie mobbingu</w:t>
      </w:r>
      <w:bookmarkStart w:id="2" w:name="_GoBack"/>
      <w:bookmarkEnd w:id="2"/>
      <w:r>
        <w:rPr>
          <w:rFonts w:cs="Arial"/>
        </w:rPr>
        <w:t xml:space="preserve"> – o ile go ustanowi</w:t>
      </w:r>
      <w:r w:rsidRPr="002665ED">
        <w:rPr>
          <w:rFonts w:cs="Arial"/>
        </w:rPr>
        <w:t>.</w:t>
      </w:r>
    </w:p>
    <w:p w:rsidR="00B6637F" w:rsidRDefault="00061662" w:rsidP="00B6637F">
      <w:pPr>
        <w:spacing w:after="120"/>
        <w:rPr>
          <w:rFonts w:cs="Arial"/>
        </w:rPr>
      </w:pPr>
      <w:r>
        <w:rPr>
          <w:rFonts w:cs="Arial"/>
        </w:rPr>
        <w:t>3. W pra</w:t>
      </w:r>
      <w:r>
        <w:rPr>
          <w:rFonts w:cs="Arial"/>
        </w:rPr>
        <w:t xml:space="preserve">cach Komisji, z głosem doradczym, może uczestniczyć psycholog wskazany przez pracodawcę. </w:t>
      </w:r>
    </w:p>
    <w:p w:rsidR="00B6637F" w:rsidRDefault="00061662" w:rsidP="00B6637F">
      <w:pPr>
        <w:spacing w:after="0"/>
        <w:rPr>
          <w:rFonts w:cs="Arial"/>
        </w:rPr>
      </w:pPr>
      <w:r>
        <w:rPr>
          <w:rFonts w:cs="Arial"/>
        </w:rPr>
        <w:t>4. Członkiem Komisji nie może być:</w:t>
      </w:r>
    </w:p>
    <w:p w:rsidR="00B6637F" w:rsidRDefault="00061662" w:rsidP="00B6637F">
      <w:pPr>
        <w:pStyle w:val="Akapitzlist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strona postępowania;</w:t>
      </w:r>
    </w:p>
    <w:p w:rsidR="00B6637F" w:rsidRDefault="00061662" w:rsidP="00B6637F">
      <w:pPr>
        <w:pStyle w:val="Akapitzlist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przełożony pracownika, będącego stroną w postępowaniu;</w:t>
      </w:r>
    </w:p>
    <w:p w:rsidR="00B6637F" w:rsidRDefault="00061662" w:rsidP="00B6637F">
      <w:pPr>
        <w:pStyle w:val="Akapitzlist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świadek powołany przez stronę postępowania;</w:t>
      </w:r>
    </w:p>
    <w:p w:rsidR="00B6637F" w:rsidRDefault="00061662" w:rsidP="00B6637F">
      <w:pPr>
        <w:pStyle w:val="Akapitzlist"/>
        <w:numPr>
          <w:ilvl w:val="0"/>
          <w:numId w:val="2"/>
        </w:numPr>
        <w:spacing w:after="120"/>
        <w:ind w:left="425" w:hanging="357"/>
        <w:contextualSpacing w:val="0"/>
        <w:rPr>
          <w:rFonts w:cs="Arial"/>
        </w:rPr>
      </w:pPr>
      <w:r>
        <w:rPr>
          <w:rFonts w:cs="Arial"/>
        </w:rPr>
        <w:t xml:space="preserve">pracownik, </w:t>
      </w:r>
      <w:r>
        <w:rPr>
          <w:rFonts w:cs="Arial"/>
        </w:rPr>
        <w:t>pozostający ze stroną post</w:t>
      </w:r>
      <w:r>
        <w:rPr>
          <w:rFonts w:cs="Arial"/>
        </w:rPr>
        <w:t>ę</w:t>
      </w:r>
      <w:r>
        <w:rPr>
          <w:rFonts w:cs="Arial"/>
        </w:rPr>
        <w:t>powania w związku małżeńskim, w stosunku pokrewieństwa lub powinowactwa, do drugiego stopnia włącznie, albo pozostający ze stronami postępowania w takim stosunku prawnym lub faktycznym, który może budzić wątpliwości co do zachowa</w:t>
      </w:r>
      <w:r>
        <w:rPr>
          <w:rFonts w:cs="Arial"/>
        </w:rPr>
        <w:t xml:space="preserve">nia bezstronności. </w:t>
      </w:r>
    </w:p>
    <w:p w:rsidR="00B6637F" w:rsidRDefault="00061662" w:rsidP="00B6637F">
      <w:pPr>
        <w:pStyle w:val="Akapitzlist"/>
        <w:spacing w:after="120"/>
        <w:ind w:left="0"/>
        <w:contextualSpacing w:val="0"/>
        <w:rPr>
          <w:rFonts w:cs="Arial"/>
        </w:rPr>
      </w:pPr>
      <w:r>
        <w:rPr>
          <w:rFonts w:cs="Arial"/>
        </w:rPr>
        <w:t>5. Pracodawca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może dokonać zmian w składzie Komisji z uzasadnionych powodów.</w:t>
      </w:r>
    </w:p>
    <w:p w:rsidR="00B6637F" w:rsidRDefault="00061662" w:rsidP="00B6637F">
      <w:pPr>
        <w:pStyle w:val="Akapitzlist"/>
        <w:spacing w:after="120"/>
        <w:ind w:left="0"/>
        <w:contextualSpacing w:val="0"/>
        <w:rPr>
          <w:rFonts w:cs="Arial"/>
        </w:rPr>
      </w:pPr>
      <w:r>
        <w:rPr>
          <w:rFonts w:cs="Arial"/>
        </w:rPr>
        <w:t xml:space="preserve">6. Komisja obraduje </w:t>
      </w:r>
      <w:r>
        <w:rPr>
          <w:rFonts w:cs="Arial"/>
        </w:rPr>
        <w:t xml:space="preserve">w składzie </w:t>
      </w:r>
      <w:r>
        <w:rPr>
          <w:rFonts w:cs="Arial"/>
        </w:rPr>
        <w:t>co najmniej</w:t>
      </w:r>
      <w:r>
        <w:rPr>
          <w:rFonts w:cs="Arial"/>
        </w:rPr>
        <w:t xml:space="preserve"> </w:t>
      </w:r>
      <w:r w:rsidRPr="00224611">
        <w:rPr>
          <w:rFonts w:cs="Arial"/>
        </w:rPr>
        <w:t>cztero</w:t>
      </w:r>
      <w:r w:rsidRPr="00224611">
        <w:rPr>
          <w:rFonts w:cs="Arial"/>
        </w:rPr>
        <w:t>osobowym</w:t>
      </w:r>
      <w:r>
        <w:rPr>
          <w:rFonts w:cs="Arial"/>
        </w:rPr>
        <w:t xml:space="preserve"> </w:t>
      </w:r>
      <w:r>
        <w:rPr>
          <w:rFonts w:cs="Arial"/>
        </w:rPr>
        <w:t>na posiedzeniach zwoływanych przez przewodniczącego Komisji.</w:t>
      </w:r>
      <w:r>
        <w:rPr>
          <w:rFonts w:cs="Arial"/>
        </w:rPr>
        <w:t xml:space="preserve"> </w:t>
      </w:r>
    </w:p>
    <w:p w:rsidR="00B6637F" w:rsidRDefault="00061662" w:rsidP="00B6637F">
      <w:pPr>
        <w:pStyle w:val="Akapitzlist"/>
        <w:spacing w:after="120"/>
        <w:ind w:left="0"/>
        <w:contextualSpacing w:val="0"/>
        <w:rPr>
          <w:rFonts w:cs="Arial"/>
        </w:rPr>
      </w:pPr>
      <w:r>
        <w:rPr>
          <w:rFonts w:cs="Arial"/>
        </w:rPr>
        <w:t xml:space="preserve">7. Komisja podejmuje uchwały </w:t>
      </w:r>
      <w:r w:rsidRPr="00212EC3">
        <w:rPr>
          <w:rFonts w:cs="Arial"/>
        </w:rPr>
        <w:t xml:space="preserve">zwykłą </w:t>
      </w:r>
      <w:r w:rsidRPr="00212EC3">
        <w:rPr>
          <w:rFonts w:cs="Arial"/>
        </w:rPr>
        <w:t>większością głosów</w:t>
      </w:r>
      <w:r>
        <w:rPr>
          <w:rFonts w:cs="Arial"/>
        </w:rPr>
        <w:t>. W przypadku równej liczby głosów rozstrzyga głos przewodniczącego Komisji.</w:t>
      </w:r>
    </w:p>
    <w:p w:rsidR="00B6637F" w:rsidRPr="00224611" w:rsidRDefault="00061662" w:rsidP="00B6637F">
      <w:pPr>
        <w:pStyle w:val="Akapitzlist"/>
        <w:spacing w:after="120"/>
        <w:ind w:left="0"/>
        <w:contextualSpacing w:val="0"/>
        <w:rPr>
          <w:rFonts w:cs="Arial"/>
        </w:rPr>
      </w:pPr>
      <w:r>
        <w:rPr>
          <w:rFonts w:cs="Arial"/>
        </w:rPr>
        <w:t xml:space="preserve">8. Z posiedzeń Komisji sporządza się </w:t>
      </w:r>
      <w:r w:rsidRPr="00C02D19">
        <w:rPr>
          <w:rFonts w:cs="Arial"/>
        </w:rPr>
        <w:t>protokoły podpisywane przez wszystkich obecnych na posiedzeniach członków.</w:t>
      </w:r>
      <w:r>
        <w:rPr>
          <w:rFonts w:cs="Arial"/>
        </w:rPr>
        <w:t xml:space="preserve"> </w:t>
      </w:r>
      <w:r w:rsidRPr="00224611">
        <w:rPr>
          <w:rFonts w:cs="Arial"/>
        </w:rPr>
        <w:t>Protokoły sporządza członek Komisji – protokolant</w:t>
      </w:r>
      <w:r w:rsidRPr="00224611">
        <w:rPr>
          <w:rFonts w:cs="Arial"/>
        </w:rPr>
        <w:t xml:space="preserve"> wyznaczony przez przewodniczącego Komisji. </w:t>
      </w:r>
    </w:p>
    <w:p w:rsidR="00500B0F" w:rsidRDefault="00061662" w:rsidP="00B6637F">
      <w:pPr>
        <w:pStyle w:val="Akapitzlist"/>
        <w:spacing w:after="120"/>
        <w:ind w:left="0"/>
        <w:contextualSpacing w:val="0"/>
        <w:rPr>
          <w:rFonts w:cs="Arial"/>
        </w:rPr>
      </w:pPr>
      <w:r>
        <w:rPr>
          <w:rFonts w:cs="Arial"/>
        </w:rPr>
        <w:t>9</w:t>
      </w:r>
      <w:r>
        <w:rPr>
          <w:rFonts w:cs="Arial"/>
        </w:rPr>
        <w:t xml:space="preserve">. </w:t>
      </w:r>
      <w:r>
        <w:rPr>
          <w:rFonts w:cs="Arial"/>
        </w:rPr>
        <w:t xml:space="preserve">Strona postępowania oskarżona o stosowanie mobbingu ma prawo do zapoznania się ze skargą stanowiącą podstawę wszczęcia postępowania. Komisja doręcza stronie postępowania wskazanej jako sprawca mobbingu odpis </w:t>
      </w:r>
      <w:r>
        <w:rPr>
          <w:rFonts w:cs="Arial"/>
        </w:rPr>
        <w:t>skargi w formie pisemnej</w:t>
      </w:r>
      <w:r>
        <w:rPr>
          <w:rFonts w:cs="Arial"/>
        </w:rPr>
        <w:t xml:space="preserve"> z informacją o </w:t>
      </w:r>
      <w:r>
        <w:rPr>
          <w:rFonts w:cs="Arial"/>
        </w:rPr>
        <w:t>praw</w:t>
      </w:r>
      <w:r>
        <w:rPr>
          <w:rFonts w:cs="Arial"/>
        </w:rPr>
        <w:t>ie</w:t>
      </w:r>
      <w:r>
        <w:rPr>
          <w:rFonts w:cs="Arial"/>
        </w:rPr>
        <w:t xml:space="preserve"> do złożenia pisemnej odpowiedzi na skargę w terminie wskazanym przez Komisję.</w:t>
      </w:r>
    </w:p>
    <w:p w:rsidR="00B6637F" w:rsidRDefault="00061662" w:rsidP="00B6637F">
      <w:pPr>
        <w:pStyle w:val="Akapitzlist"/>
        <w:spacing w:after="120"/>
        <w:ind w:left="0"/>
        <w:contextualSpacing w:val="0"/>
      </w:pPr>
      <w:r>
        <w:rPr>
          <w:rFonts w:cs="Arial"/>
        </w:rPr>
        <w:t xml:space="preserve">10. </w:t>
      </w:r>
      <w:r w:rsidRPr="00BB6CC7">
        <w:t>Komisja po zapoznaniu się z zebranym materiałem w sprawie, wyznacza termin posiedzenia pojednawczego, na które wzyw</w:t>
      </w:r>
      <w:r>
        <w:t>a</w:t>
      </w:r>
      <w:r w:rsidRPr="00BB6CC7">
        <w:t xml:space="preserve"> </w:t>
      </w:r>
      <w:r>
        <w:t>strony pos</w:t>
      </w:r>
      <w:r>
        <w:t>tępowania.</w:t>
      </w:r>
    </w:p>
    <w:p w:rsidR="00B6637F" w:rsidRDefault="00061662" w:rsidP="00B6637F">
      <w:pPr>
        <w:pStyle w:val="Akapitzlist"/>
        <w:spacing w:after="120"/>
        <w:ind w:left="0"/>
        <w:contextualSpacing w:val="0"/>
      </w:pPr>
      <w:r>
        <w:t>1</w:t>
      </w:r>
      <w:r>
        <w:t>1</w:t>
      </w:r>
      <w:r>
        <w:t xml:space="preserve">. Posiedzenie pojednawcze może zakończyć się ugodą, </w:t>
      </w:r>
      <w:r w:rsidRPr="00BB6CC7">
        <w:t>z której spisuje się protokół zawierający treść jej postanowień</w:t>
      </w:r>
      <w:r>
        <w:t xml:space="preserve">. </w:t>
      </w:r>
      <w:r w:rsidRPr="00BB6CC7">
        <w:t>Protokół podpisuj</w:t>
      </w:r>
      <w:r>
        <w:t>ą</w:t>
      </w:r>
      <w:r>
        <w:t xml:space="preserve"> strony postępowania</w:t>
      </w:r>
      <w:r>
        <w:t xml:space="preserve"> </w:t>
      </w:r>
      <w:r>
        <w:t xml:space="preserve">i </w:t>
      </w:r>
      <w:r>
        <w:t>członkowie Komisji</w:t>
      </w:r>
      <w:r>
        <w:t>.</w:t>
      </w:r>
      <w:r>
        <w:t xml:space="preserve"> </w:t>
      </w:r>
    </w:p>
    <w:p w:rsidR="00B6637F" w:rsidRDefault="00061662" w:rsidP="00B6637F">
      <w:pPr>
        <w:pStyle w:val="Akapitzlist"/>
        <w:spacing w:after="120"/>
        <w:ind w:left="0"/>
        <w:contextualSpacing w:val="0"/>
      </w:pPr>
      <w:r>
        <w:t>1</w:t>
      </w:r>
      <w:r>
        <w:t>2</w:t>
      </w:r>
      <w:r>
        <w:t xml:space="preserve">. </w:t>
      </w:r>
      <w:r w:rsidRPr="00BB6CC7">
        <w:t>Jeżeli posiedzenie pojednawcze</w:t>
      </w:r>
      <w:r>
        <w:t xml:space="preserve"> nie</w:t>
      </w:r>
      <w:r w:rsidRPr="00BB6CC7">
        <w:t xml:space="preserve"> zakończy się zawarciem ug</w:t>
      </w:r>
      <w:r w:rsidRPr="00BB6CC7">
        <w:t>ody toczy się postępowanie wyjaśniające przed Komisją</w:t>
      </w:r>
      <w:r>
        <w:t>.</w:t>
      </w:r>
    </w:p>
    <w:p w:rsidR="00B6637F" w:rsidRDefault="00061662" w:rsidP="00B6637F">
      <w:pPr>
        <w:pStyle w:val="Akapitzlist"/>
        <w:spacing w:after="120"/>
        <w:ind w:left="0"/>
      </w:pPr>
      <w:r>
        <w:t>1</w:t>
      </w:r>
      <w:r>
        <w:t>3</w:t>
      </w:r>
      <w:r>
        <w:t>. Podczas postępowania wyjaśniającego Komisja ma prawo:</w:t>
      </w:r>
    </w:p>
    <w:p w:rsidR="00833F5A" w:rsidRDefault="00061662" w:rsidP="00833F5A">
      <w:pPr>
        <w:pStyle w:val="Akapitzlist"/>
        <w:numPr>
          <w:ilvl w:val="0"/>
          <w:numId w:val="4"/>
        </w:numPr>
        <w:spacing w:after="120"/>
        <w:ind w:left="426"/>
      </w:pPr>
      <w:r>
        <w:t>wysłuchania stron postępowania;</w:t>
      </w:r>
    </w:p>
    <w:p w:rsidR="00833F5A" w:rsidRDefault="00061662" w:rsidP="00833F5A">
      <w:pPr>
        <w:pStyle w:val="Akapitzlist"/>
        <w:numPr>
          <w:ilvl w:val="0"/>
          <w:numId w:val="4"/>
        </w:numPr>
        <w:spacing w:after="120"/>
        <w:ind w:left="426"/>
      </w:pPr>
      <w:r>
        <w:t>przesłuchiwania świadków</w:t>
      </w:r>
      <w:r w:rsidRPr="009C2D2A">
        <w:t xml:space="preserve"> </w:t>
      </w:r>
      <w:r>
        <w:t>powołanych przez Komisję i zgłaszanych przez strony postępowania;</w:t>
      </w:r>
    </w:p>
    <w:p w:rsidR="00B6637F" w:rsidRDefault="00061662" w:rsidP="00B6637F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</w:pPr>
      <w:r>
        <w:t xml:space="preserve">wnioskowania o </w:t>
      </w:r>
      <w:r>
        <w:t>udostępnienie dokumentów lub udzielenie informacji przez pracowników.</w:t>
      </w:r>
    </w:p>
    <w:p w:rsidR="00C02D19" w:rsidRDefault="00061662" w:rsidP="00500B0F">
      <w:pPr>
        <w:pStyle w:val="Akapitzlist"/>
        <w:spacing w:after="120"/>
        <w:ind w:left="0"/>
        <w:contextualSpacing w:val="0"/>
      </w:pPr>
      <w:r>
        <w:lastRenderedPageBreak/>
        <w:t>1</w:t>
      </w:r>
      <w:r>
        <w:t>4</w:t>
      </w:r>
      <w:r>
        <w:t>. Komisja dokonuje oceny zasadności skargi, formułuje wnioski i sporządza uzasadnienie</w:t>
      </w:r>
      <w:r>
        <w:t xml:space="preserve"> stanowiska</w:t>
      </w:r>
      <w:r>
        <w:t>, które wraz z rekomendacjami</w:t>
      </w:r>
      <w:r>
        <w:t>,</w:t>
      </w:r>
      <w:r w:rsidRPr="00500B0F">
        <w:t xml:space="preserve"> </w:t>
      </w:r>
      <w:r>
        <w:t>w formie protokołu</w:t>
      </w:r>
      <w:r>
        <w:t>,</w:t>
      </w:r>
      <w:r>
        <w:t xml:space="preserve"> </w:t>
      </w:r>
      <w:r>
        <w:t>przekazuje pracodawcy.</w:t>
      </w:r>
    </w:p>
    <w:p w:rsidR="00681273" w:rsidRDefault="00061662" w:rsidP="00681273">
      <w:pPr>
        <w:tabs>
          <w:tab w:val="num" w:pos="851"/>
          <w:tab w:val="left" w:pos="993"/>
        </w:tabs>
        <w:spacing w:after="0"/>
      </w:pPr>
      <w:r w:rsidRPr="00500B0F">
        <w:rPr>
          <w:rFonts w:cs="Arial"/>
        </w:rPr>
        <w:t>15</w:t>
      </w:r>
      <w:r w:rsidRPr="00500B0F">
        <w:rPr>
          <w:rFonts w:cs="Arial"/>
        </w:rPr>
        <w:t>.</w:t>
      </w:r>
      <w:r w:rsidRPr="00500B0F">
        <w:t xml:space="preserve"> Postępowanie przed Komisją jest poufne</w:t>
      </w:r>
      <w:r>
        <w:t>:</w:t>
      </w:r>
    </w:p>
    <w:p w:rsidR="00681273" w:rsidRDefault="00061662" w:rsidP="00681273">
      <w:pPr>
        <w:pStyle w:val="Akapitzlist"/>
        <w:numPr>
          <w:ilvl w:val="0"/>
          <w:numId w:val="5"/>
        </w:numPr>
        <w:tabs>
          <w:tab w:val="num" w:pos="851"/>
          <w:tab w:val="left" w:pos="993"/>
        </w:tabs>
        <w:spacing w:after="120"/>
        <w:ind w:left="426"/>
      </w:pPr>
      <w:r>
        <w:t>w</w:t>
      </w:r>
      <w:r w:rsidRPr="00500B0F">
        <w:t>szystkie osoby wykonujące czynności w ramach procedury antymobbingowej zobowiązane są do zachowania poufności co do wszystkich faktów poznanych w ich toku</w:t>
      </w:r>
      <w:r>
        <w:t>;</w:t>
      </w:r>
    </w:p>
    <w:p w:rsidR="00C02D19" w:rsidRDefault="00061662" w:rsidP="00681273">
      <w:pPr>
        <w:pStyle w:val="Akapitzlist"/>
        <w:numPr>
          <w:ilvl w:val="0"/>
          <w:numId w:val="5"/>
        </w:numPr>
        <w:tabs>
          <w:tab w:val="num" w:pos="851"/>
          <w:tab w:val="left" w:pos="993"/>
        </w:tabs>
        <w:spacing w:after="120"/>
        <w:ind w:left="426"/>
      </w:pPr>
      <w:r>
        <w:t>c</w:t>
      </w:r>
      <w:r w:rsidRPr="00500B0F">
        <w:t>złonkowie Komisji nie mogą kopiować i rozpowszechniać dok</w:t>
      </w:r>
      <w:r w:rsidRPr="00500B0F">
        <w:t>umentów dotyczących rozpatrywanego przypadku mobbingu</w:t>
      </w:r>
      <w:r>
        <w:t>;</w:t>
      </w:r>
    </w:p>
    <w:p w:rsidR="00C02D19" w:rsidRPr="00500B0F" w:rsidRDefault="00061662" w:rsidP="00681273">
      <w:pPr>
        <w:pStyle w:val="Akapitzlist"/>
        <w:numPr>
          <w:ilvl w:val="0"/>
          <w:numId w:val="5"/>
        </w:numPr>
        <w:spacing w:after="120"/>
        <w:ind w:left="426"/>
        <w:contextualSpacing w:val="0"/>
        <w:rPr>
          <w:rFonts w:cs="Arial"/>
        </w:rPr>
      </w:pPr>
      <w:r>
        <w:t>d</w:t>
      </w:r>
      <w:r w:rsidRPr="00500B0F">
        <w:t>ane zawarte w materiałach i dokumentach Komisji podlegają ochronie przewidzianej dla ochrony danych osobowych.</w:t>
      </w:r>
    </w:p>
    <w:p w:rsidR="00B6637F" w:rsidRPr="00500B0F" w:rsidRDefault="00061662" w:rsidP="00500B0F">
      <w:pPr>
        <w:pStyle w:val="Akapitzlist"/>
        <w:ind w:left="0"/>
        <w:contextualSpacing w:val="0"/>
      </w:pPr>
      <w:r w:rsidRPr="00500B0F">
        <w:rPr>
          <w:rFonts w:cs="Arial"/>
        </w:rPr>
        <w:t>1</w:t>
      </w:r>
      <w:r>
        <w:rPr>
          <w:rFonts w:cs="Arial"/>
        </w:rPr>
        <w:t>6</w:t>
      </w:r>
      <w:r w:rsidRPr="00500B0F">
        <w:rPr>
          <w:rFonts w:cs="Arial"/>
        </w:rPr>
        <w:t>. Dokumentacja powstała w toku prac Komisji przechowywana jest w Biurze Kadr i Organiza</w:t>
      </w:r>
      <w:r w:rsidRPr="00500B0F">
        <w:rPr>
          <w:rFonts w:cs="Arial"/>
        </w:rPr>
        <w:t>cji.</w:t>
      </w:r>
      <w:r w:rsidRPr="00500B0F">
        <w:rPr>
          <w:rFonts w:cs="Arial"/>
        </w:rPr>
        <w:t>”.</w:t>
      </w:r>
    </w:p>
    <w:p w:rsidR="00B6637F" w:rsidRDefault="00061662" w:rsidP="00061662">
      <w:pPr>
        <w:spacing w:after="720"/>
        <w:rPr>
          <w:i/>
          <w:iCs/>
          <w:color w:val="808080" w:themeColor="background1" w:themeShade="80"/>
        </w:rPr>
      </w:pPr>
      <w:r w:rsidRPr="00742356">
        <w:rPr>
          <w:b/>
          <w:bCs/>
        </w:rPr>
        <w:t>§ 2.</w:t>
      </w:r>
      <w:r>
        <w:t xml:space="preserve"> Zarządzenie wchodzi w życie 14 dni od podania go do wiadomości pracowników.</w:t>
      </w:r>
      <w:r w:rsidRPr="00E53A80">
        <w:rPr>
          <w:i/>
          <w:iCs/>
          <w:color w:val="808080" w:themeColor="background1" w:themeShade="80"/>
        </w:rPr>
        <w:t xml:space="preserve"> </w:t>
      </w:r>
    </w:p>
    <w:p w:rsidR="00B53A48" w:rsidRPr="00F2167F" w:rsidRDefault="00B53A48" w:rsidP="00B53A48">
      <w:pPr>
        <w:ind w:firstLine="5387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B53A48" w:rsidRPr="00F2167F" w:rsidRDefault="00B53A48" w:rsidP="00B53A48">
      <w:pPr>
        <w:ind w:firstLine="5387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B53A48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344"/>
    <w:multiLevelType w:val="hybridMultilevel"/>
    <w:tmpl w:val="E78213CA"/>
    <w:lvl w:ilvl="0" w:tplc="34040CFE">
      <w:start w:val="1"/>
      <w:numFmt w:val="decimal"/>
      <w:lvlText w:val="%1)"/>
      <w:lvlJc w:val="left"/>
      <w:pPr>
        <w:ind w:left="1429" w:hanging="360"/>
      </w:pPr>
    </w:lvl>
    <w:lvl w:ilvl="1" w:tplc="B426AD38" w:tentative="1">
      <w:start w:val="1"/>
      <w:numFmt w:val="lowerLetter"/>
      <w:lvlText w:val="%2."/>
      <w:lvlJc w:val="left"/>
      <w:pPr>
        <w:ind w:left="2149" w:hanging="360"/>
      </w:pPr>
    </w:lvl>
    <w:lvl w:ilvl="2" w:tplc="F2BCD2C6" w:tentative="1">
      <w:start w:val="1"/>
      <w:numFmt w:val="lowerRoman"/>
      <w:lvlText w:val="%3."/>
      <w:lvlJc w:val="right"/>
      <w:pPr>
        <w:ind w:left="2869" w:hanging="180"/>
      </w:pPr>
    </w:lvl>
    <w:lvl w:ilvl="3" w:tplc="A4B8D238" w:tentative="1">
      <w:start w:val="1"/>
      <w:numFmt w:val="decimal"/>
      <w:lvlText w:val="%4."/>
      <w:lvlJc w:val="left"/>
      <w:pPr>
        <w:ind w:left="3589" w:hanging="360"/>
      </w:pPr>
    </w:lvl>
    <w:lvl w:ilvl="4" w:tplc="34ECB246" w:tentative="1">
      <w:start w:val="1"/>
      <w:numFmt w:val="lowerLetter"/>
      <w:lvlText w:val="%5."/>
      <w:lvlJc w:val="left"/>
      <w:pPr>
        <w:ind w:left="4309" w:hanging="360"/>
      </w:pPr>
    </w:lvl>
    <w:lvl w:ilvl="5" w:tplc="9C784756" w:tentative="1">
      <w:start w:val="1"/>
      <w:numFmt w:val="lowerRoman"/>
      <w:lvlText w:val="%6."/>
      <w:lvlJc w:val="right"/>
      <w:pPr>
        <w:ind w:left="5029" w:hanging="180"/>
      </w:pPr>
    </w:lvl>
    <w:lvl w:ilvl="6" w:tplc="0096D2A4" w:tentative="1">
      <w:start w:val="1"/>
      <w:numFmt w:val="decimal"/>
      <w:lvlText w:val="%7."/>
      <w:lvlJc w:val="left"/>
      <w:pPr>
        <w:ind w:left="5749" w:hanging="360"/>
      </w:pPr>
    </w:lvl>
    <w:lvl w:ilvl="7" w:tplc="56B82132" w:tentative="1">
      <w:start w:val="1"/>
      <w:numFmt w:val="lowerLetter"/>
      <w:lvlText w:val="%8."/>
      <w:lvlJc w:val="left"/>
      <w:pPr>
        <w:ind w:left="6469" w:hanging="360"/>
      </w:pPr>
    </w:lvl>
    <w:lvl w:ilvl="8" w:tplc="DC6EF8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713E1"/>
    <w:multiLevelType w:val="hybridMultilevel"/>
    <w:tmpl w:val="AE92B460"/>
    <w:lvl w:ilvl="0" w:tplc="91BEBC38">
      <w:start w:val="1"/>
      <w:numFmt w:val="decimal"/>
      <w:lvlText w:val="%1)"/>
      <w:lvlJc w:val="left"/>
      <w:pPr>
        <w:ind w:left="720" w:hanging="360"/>
      </w:pPr>
    </w:lvl>
    <w:lvl w:ilvl="1" w:tplc="5D784308" w:tentative="1">
      <w:start w:val="1"/>
      <w:numFmt w:val="lowerLetter"/>
      <w:lvlText w:val="%2."/>
      <w:lvlJc w:val="left"/>
      <w:pPr>
        <w:ind w:left="1440" w:hanging="360"/>
      </w:pPr>
    </w:lvl>
    <w:lvl w:ilvl="2" w:tplc="FF0E74E6" w:tentative="1">
      <w:start w:val="1"/>
      <w:numFmt w:val="lowerRoman"/>
      <w:lvlText w:val="%3."/>
      <w:lvlJc w:val="right"/>
      <w:pPr>
        <w:ind w:left="2160" w:hanging="180"/>
      </w:pPr>
    </w:lvl>
    <w:lvl w:ilvl="3" w:tplc="1F8A4C52" w:tentative="1">
      <w:start w:val="1"/>
      <w:numFmt w:val="decimal"/>
      <w:lvlText w:val="%4."/>
      <w:lvlJc w:val="left"/>
      <w:pPr>
        <w:ind w:left="2880" w:hanging="360"/>
      </w:pPr>
    </w:lvl>
    <w:lvl w:ilvl="4" w:tplc="6ED67CEA" w:tentative="1">
      <w:start w:val="1"/>
      <w:numFmt w:val="lowerLetter"/>
      <w:lvlText w:val="%5."/>
      <w:lvlJc w:val="left"/>
      <w:pPr>
        <w:ind w:left="3600" w:hanging="360"/>
      </w:pPr>
    </w:lvl>
    <w:lvl w:ilvl="5" w:tplc="909C51BA" w:tentative="1">
      <w:start w:val="1"/>
      <w:numFmt w:val="lowerRoman"/>
      <w:lvlText w:val="%6."/>
      <w:lvlJc w:val="right"/>
      <w:pPr>
        <w:ind w:left="4320" w:hanging="180"/>
      </w:pPr>
    </w:lvl>
    <w:lvl w:ilvl="6" w:tplc="A306971C" w:tentative="1">
      <w:start w:val="1"/>
      <w:numFmt w:val="decimal"/>
      <w:lvlText w:val="%7."/>
      <w:lvlJc w:val="left"/>
      <w:pPr>
        <w:ind w:left="5040" w:hanging="360"/>
      </w:pPr>
    </w:lvl>
    <w:lvl w:ilvl="7" w:tplc="7C12374A" w:tentative="1">
      <w:start w:val="1"/>
      <w:numFmt w:val="lowerLetter"/>
      <w:lvlText w:val="%8."/>
      <w:lvlJc w:val="left"/>
      <w:pPr>
        <w:ind w:left="5760" w:hanging="360"/>
      </w:pPr>
    </w:lvl>
    <w:lvl w:ilvl="8" w:tplc="8B4EB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5F1F"/>
    <w:multiLevelType w:val="hybridMultilevel"/>
    <w:tmpl w:val="360CF19C"/>
    <w:lvl w:ilvl="0" w:tplc="194AABCE">
      <w:start w:val="1"/>
      <w:numFmt w:val="decimal"/>
      <w:lvlText w:val="%1)"/>
      <w:lvlJc w:val="left"/>
      <w:pPr>
        <w:ind w:left="1429" w:hanging="360"/>
      </w:pPr>
    </w:lvl>
    <w:lvl w:ilvl="1" w:tplc="B2E0E0E8" w:tentative="1">
      <w:start w:val="1"/>
      <w:numFmt w:val="lowerLetter"/>
      <w:lvlText w:val="%2."/>
      <w:lvlJc w:val="left"/>
      <w:pPr>
        <w:ind w:left="2149" w:hanging="360"/>
      </w:pPr>
    </w:lvl>
    <w:lvl w:ilvl="2" w:tplc="9E362DC2" w:tentative="1">
      <w:start w:val="1"/>
      <w:numFmt w:val="lowerRoman"/>
      <w:lvlText w:val="%3."/>
      <w:lvlJc w:val="right"/>
      <w:pPr>
        <w:ind w:left="2869" w:hanging="180"/>
      </w:pPr>
    </w:lvl>
    <w:lvl w:ilvl="3" w:tplc="B6C8B550" w:tentative="1">
      <w:start w:val="1"/>
      <w:numFmt w:val="decimal"/>
      <w:lvlText w:val="%4."/>
      <w:lvlJc w:val="left"/>
      <w:pPr>
        <w:ind w:left="3589" w:hanging="360"/>
      </w:pPr>
    </w:lvl>
    <w:lvl w:ilvl="4" w:tplc="69E27064" w:tentative="1">
      <w:start w:val="1"/>
      <w:numFmt w:val="lowerLetter"/>
      <w:lvlText w:val="%5."/>
      <w:lvlJc w:val="left"/>
      <w:pPr>
        <w:ind w:left="4309" w:hanging="360"/>
      </w:pPr>
    </w:lvl>
    <w:lvl w:ilvl="5" w:tplc="04DE3458" w:tentative="1">
      <w:start w:val="1"/>
      <w:numFmt w:val="lowerRoman"/>
      <w:lvlText w:val="%6."/>
      <w:lvlJc w:val="right"/>
      <w:pPr>
        <w:ind w:left="5029" w:hanging="180"/>
      </w:pPr>
    </w:lvl>
    <w:lvl w:ilvl="6" w:tplc="95A09DB4" w:tentative="1">
      <w:start w:val="1"/>
      <w:numFmt w:val="decimal"/>
      <w:lvlText w:val="%7."/>
      <w:lvlJc w:val="left"/>
      <w:pPr>
        <w:ind w:left="5749" w:hanging="360"/>
      </w:pPr>
    </w:lvl>
    <w:lvl w:ilvl="7" w:tplc="72885ACE" w:tentative="1">
      <w:start w:val="1"/>
      <w:numFmt w:val="lowerLetter"/>
      <w:lvlText w:val="%8."/>
      <w:lvlJc w:val="left"/>
      <w:pPr>
        <w:ind w:left="6469" w:hanging="360"/>
      </w:pPr>
    </w:lvl>
    <w:lvl w:ilvl="8" w:tplc="0EA88C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060397"/>
    <w:multiLevelType w:val="hybridMultilevel"/>
    <w:tmpl w:val="CC5A3CA2"/>
    <w:lvl w:ilvl="0" w:tplc="8206BC92">
      <w:start w:val="1"/>
      <w:numFmt w:val="decimal"/>
      <w:lvlText w:val="%1)"/>
      <w:lvlJc w:val="left"/>
      <w:pPr>
        <w:ind w:left="1429" w:hanging="360"/>
      </w:pPr>
    </w:lvl>
    <w:lvl w:ilvl="1" w:tplc="9E1657B8" w:tentative="1">
      <w:start w:val="1"/>
      <w:numFmt w:val="lowerLetter"/>
      <w:lvlText w:val="%2."/>
      <w:lvlJc w:val="left"/>
      <w:pPr>
        <w:ind w:left="2149" w:hanging="360"/>
      </w:pPr>
    </w:lvl>
    <w:lvl w:ilvl="2" w:tplc="C15092A0" w:tentative="1">
      <w:start w:val="1"/>
      <w:numFmt w:val="lowerRoman"/>
      <w:lvlText w:val="%3."/>
      <w:lvlJc w:val="right"/>
      <w:pPr>
        <w:ind w:left="2869" w:hanging="180"/>
      </w:pPr>
    </w:lvl>
    <w:lvl w:ilvl="3" w:tplc="99F038A0" w:tentative="1">
      <w:start w:val="1"/>
      <w:numFmt w:val="decimal"/>
      <w:lvlText w:val="%4."/>
      <w:lvlJc w:val="left"/>
      <w:pPr>
        <w:ind w:left="3589" w:hanging="360"/>
      </w:pPr>
    </w:lvl>
    <w:lvl w:ilvl="4" w:tplc="D76837DC" w:tentative="1">
      <w:start w:val="1"/>
      <w:numFmt w:val="lowerLetter"/>
      <w:lvlText w:val="%5."/>
      <w:lvlJc w:val="left"/>
      <w:pPr>
        <w:ind w:left="4309" w:hanging="360"/>
      </w:pPr>
    </w:lvl>
    <w:lvl w:ilvl="5" w:tplc="689807D4" w:tentative="1">
      <w:start w:val="1"/>
      <w:numFmt w:val="lowerRoman"/>
      <w:lvlText w:val="%6."/>
      <w:lvlJc w:val="right"/>
      <w:pPr>
        <w:ind w:left="5029" w:hanging="180"/>
      </w:pPr>
    </w:lvl>
    <w:lvl w:ilvl="6" w:tplc="94E80BA2" w:tentative="1">
      <w:start w:val="1"/>
      <w:numFmt w:val="decimal"/>
      <w:lvlText w:val="%7."/>
      <w:lvlJc w:val="left"/>
      <w:pPr>
        <w:ind w:left="5749" w:hanging="360"/>
      </w:pPr>
    </w:lvl>
    <w:lvl w:ilvl="7" w:tplc="BA8AE490" w:tentative="1">
      <w:start w:val="1"/>
      <w:numFmt w:val="lowerLetter"/>
      <w:lvlText w:val="%8."/>
      <w:lvlJc w:val="left"/>
      <w:pPr>
        <w:ind w:left="6469" w:hanging="360"/>
      </w:pPr>
    </w:lvl>
    <w:lvl w:ilvl="8" w:tplc="F91EAB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8149EC"/>
    <w:multiLevelType w:val="hybridMultilevel"/>
    <w:tmpl w:val="E78213CA"/>
    <w:lvl w:ilvl="0" w:tplc="CD24561E">
      <w:start w:val="1"/>
      <w:numFmt w:val="decimal"/>
      <w:lvlText w:val="%1)"/>
      <w:lvlJc w:val="left"/>
      <w:pPr>
        <w:ind w:left="1429" w:hanging="360"/>
      </w:pPr>
    </w:lvl>
    <w:lvl w:ilvl="1" w:tplc="509038F8" w:tentative="1">
      <w:start w:val="1"/>
      <w:numFmt w:val="lowerLetter"/>
      <w:lvlText w:val="%2."/>
      <w:lvlJc w:val="left"/>
      <w:pPr>
        <w:ind w:left="2149" w:hanging="360"/>
      </w:pPr>
    </w:lvl>
    <w:lvl w:ilvl="2" w:tplc="157805F6" w:tentative="1">
      <w:start w:val="1"/>
      <w:numFmt w:val="lowerRoman"/>
      <w:lvlText w:val="%3."/>
      <w:lvlJc w:val="right"/>
      <w:pPr>
        <w:ind w:left="2869" w:hanging="180"/>
      </w:pPr>
    </w:lvl>
    <w:lvl w:ilvl="3" w:tplc="21F406C0" w:tentative="1">
      <w:start w:val="1"/>
      <w:numFmt w:val="decimal"/>
      <w:lvlText w:val="%4."/>
      <w:lvlJc w:val="left"/>
      <w:pPr>
        <w:ind w:left="3589" w:hanging="360"/>
      </w:pPr>
    </w:lvl>
    <w:lvl w:ilvl="4" w:tplc="3EBE6E58" w:tentative="1">
      <w:start w:val="1"/>
      <w:numFmt w:val="lowerLetter"/>
      <w:lvlText w:val="%5."/>
      <w:lvlJc w:val="left"/>
      <w:pPr>
        <w:ind w:left="4309" w:hanging="360"/>
      </w:pPr>
    </w:lvl>
    <w:lvl w:ilvl="5" w:tplc="B376223A" w:tentative="1">
      <w:start w:val="1"/>
      <w:numFmt w:val="lowerRoman"/>
      <w:lvlText w:val="%6."/>
      <w:lvlJc w:val="right"/>
      <w:pPr>
        <w:ind w:left="5029" w:hanging="180"/>
      </w:pPr>
    </w:lvl>
    <w:lvl w:ilvl="6" w:tplc="56EE71DE" w:tentative="1">
      <w:start w:val="1"/>
      <w:numFmt w:val="decimal"/>
      <w:lvlText w:val="%7."/>
      <w:lvlJc w:val="left"/>
      <w:pPr>
        <w:ind w:left="5749" w:hanging="360"/>
      </w:pPr>
    </w:lvl>
    <w:lvl w:ilvl="7" w:tplc="AB904AC6" w:tentative="1">
      <w:start w:val="1"/>
      <w:numFmt w:val="lowerLetter"/>
      <w:lvlText w:val="%8."/>
      <w:lvlJc w:val="left"/>
      <w:pPr>
        <w:ind w:left="6469" w:hanging="360"/>
      </w:pPr>
    </w:lvl>
    <w:lvl w:ilvl="8" w:tplc="041AA7E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48"/>
    <w:rsid w:val="00061662"/>
    <w:rsid w:val="00B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1DEA"/>
  <w15:docId w15:val="{1CF5BA80-AAF7-4785-9B2B-F106F70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6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z dnia 19 lipca 2024 r zmieniające zarządzenie w sprawie wewnętrznej polityki antymobbingowej w Pomorskim Urzędzie Wojewódzkim w Gdańsku</dc:title>
  <dc:creator>Maria Leszczyńska</dc:creator>
  <cp:lastModifiedBy>Monika Giedrojć</cp:lastModifiedBy>
  <cp:revision>15</cp:revision>
  <cp:lastPrinted>2024-07-01T11:24:00Z</cp:lastPrinted>
  <dcterms:created xsi:type="dcterms:W3CDTF">2021-05-10T11:41:00Z</dcterms:created>
  <dcterms:modified xsi:type="dcterms:W3CDTF">2024-07-23T09:17:00Z</dcterms:modified>
</cp:coreProperties>
</file>