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02" w:rsidRPr="00C66D2A" w:rsidRDefault="001C2702" w:rsidP="00C66D2A">
      <w:pPr>
        <w:rPr>
          <w:rFonts w:ascii="Arial" w:hAnsi="Arial" w:cs="Arial"/>
        </w:rPr>
      </w:pPr>
      <w:bookmarkStart w:id="0" w:name="_GoBack"/>
      <w:bookmarkEnd w:id="0"/>
    </w:p>
    <w:p w:rsidR="0015295C" w:rsidRDefault="0015295C" w:rsidP="00C66D2A">
      <w:pPr>
        <w:rPr>
          <w:rFonts w:ascii="Arial" w:hAnsi="Arial" w:cs="Arial"/>
        </w:rPr>
      </w:pPr>
    </w:p>
    <w:p w:rsidR="004047C7" w:rsidRPr="00C66D2A" w:rsidRDefault="004047C7" w:rsidP="00C66D2A">
      <w:pPr>
        <w:rPr>
          <w:rFonts w:ascii="Arial" w:hAnsi="Arial" w:cs="Arial"/>
        </w:rPr>
      </w:pPr>
    </w:p>
    <w:p w:rsidR="00D073CB" w:rsidRPr="00052018" w:rsidRDefault="001A4D91" w:rsidP="00973D15">
      <w:pPr>
        <w:rPr>
          <w:rFonts w:ascii="Arial" w:hAnsi="Arial" w:cs="Arial"/>
          <w:b/>
          <w:color w:val="E31837"/>
          <w:sz w:val="40"/>
          <w:szCs w:val="40"/>
        </w:rPr>
      </w:pPr>
      <w:r w:rsidRPr="00052018">
        <w:rPr>
          <w:rFonts w:ascii="Arial" w:hAnsi="Arial" w:cs="Arial"/>
          <w:b/>
          <w:color w:val="E31837"/>
          <w:sz w:val="40"/>
          <w:szCs w:val="40"/>
        </w:rPr>
        <w:t>INFORMACJA KWARTALNA O</w:t>
      </w:r>
      <w:r w:rsidR="00E86C32" w:rsidRPr="00052018">
        <w:rPr>
          <w:rFonts w:ascii="Arial" w:hAnsi="Arial" w:cs="Arial"/>
          <w:b/>
          <w:color w:val="E31837"/>
          <w:sz w:val="40"/>
          <w:szCs w:val="40"/>
        </w:rPr>
        <w:t> </w:t>
      </w:r>
      <w:r w:rsidRPr="00052018">
        <w:rPr>
          <w:rFonts w:ascii="Arial" w:hAnsi="Arial" w:cs="Arial"/>
          <w:b/>
          <w:color w:val="E31837"/>
          <w:sz w:val="40"/>
          <w:szCs w:val="40"/>
        </w:rPr>
        <w:t xml:space="preserve">STANIE FINANSÓW PUBLICZNYCH 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>W I</w:t>
      </w:r>
      <w:r w:rsidR="00BC5828" w:rsidRPr="00052018">
        <w:rPr>
          <w:rFonts w:ascii="Arial" w:hAnsi="Arial" w:cs="Arial"/>
          <w:b/>
          <w:color w:val="E31837"/>
          <w:sz w:val="40"/>
          <w:szCs w:val="40"/>
        </w:rPr>
        <w:t>V</w:t>
      </w:r>
      <w:r w:rsidR="00123CD7">
        <w:rPr>
          <w:rFonts w:ascii="Arial" w:hAnsi="Arial" w:cs="Arial"/>
          <w:b/>
          <w:color w:val="E31837"/>
          <w:sz w:val="40"/>
          <w:szCs w:val="40"/>
        </w:rPr>
        <w:t xml:space="preserve"> KWARTALE 2021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 xml:space="preserve"> r.</w:t>
      </w:r>
      <w:r w:rsidR="0026261D" w:rsidRPr="00052018">
        <w:rPr>
          <w:rFonts w:ascii="Arial" w:hAnsi="Arial" w:cs="Arial"/>
          <w:b/>
          <w:color w:val="E31837"/>
          <w:sz w:val="40"/>
          <w:szCs w:val="40"/>
        </w:rPr>
        <w:t xml:space="preserve"> </w:t>
      </w:r>
      <w:r w:rsidR="005B557A" w:rsidRPr="00052018">
        <w:rPr>
          <w:rFonts w:ascii="Arial" w:hAnsi="Arial" w:cs="Arial"/>
          <w:b/>
          <w:color w:val="E31837"/>
          <w:sz w:val="40"/>
          <w:szCs w:val="40"/>
        </w:rPr>
        <w:t>I W CAŁYM</w:t>
      </w:r>
      <w:r w:rsidR="007E1B4D" w:rsidRPr="00052018">
        <w:rPr>
          <w:rFonts w:ascii="Arial" w:hAnsi="Arial" w:cs="Arial"/>
          <w:b/>
          <w:color w:val="E31837"/>
          <w:sz w:val="40"/>
          <w:szCs w:val="40"/>
        </w:rPr>
        <w:t xml:space="preserve"> 20</w:t>
      </w:r>
      <w:r w:rsidR="00E47687">
        <w:rPr>
          <w:rFonts w:ascii="Arial" w:hAnsi="Arial" w:cs="Arial"/>
          <w:b/>
          <w:color w:val="E31837"/>
          <w:sz w:val="40"/>
          <w:szCs w:val="40"/>
        </w:rPr>
        <w:t>2</w:t>
      </w:r>
      <w:r w:rsidR="00123CD7">
        <w:rPr>
          <w:rFonts w:ascii="Arial" w:hAnsi="Arial" w:cs="Arial"/>
          <w:b/>
          <w:color w:val="E31837"/>
          <w:sz w:val="40"/>
          <w:szCs w:val="40"/>
        </w:rPr>
        <w:t>1</w:t>
      </w:r>
      <w:r w:rsidR="0026261D" w:rsidRPr="00052018">
        <w:rPr>
          <w:rFonts w:ascii="Arial" w:hAnsi="Arial" w:cs="Arial"/>
          <w:b/>
          <w:color w:val="E31837"/>
          <w:sz w:val="40"/>
          <w:szCs w:val="40"/>
        </w:rPr>
        <w:t xml:space="preserve"> r.</w:t>
      </w:r>
    </w:p>
    <w:p w:rsidR="00973D15" w:rsidRPr="00052018" w:rsidRDefault="00973D15" w:rsidP="00973D15">
      <w:pPr>
        <w:rPr>
          <w:rFonts w:ascii="Arial" w:hAnsi="Arial" w:cs="Arial"/>
          <w:b/>
          <w:color w:val="A6A6A6"/>
          <w:sz w:val="28"/>
          <w:szCs w:val="28"/>
        </w:rPr>
      </w:pP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7B0F5C" w:rsidRPr="00052018">
        <w:rPr>
          <w:rFonts w:ascii="Arial" w:hAnsi="Arial" w:cs="Arial"/>
          <w:b/>
          <w:color w:val="A6A6A6"/>
          <w:sz w:val="28"/>
          <w:szCs w:val="28"/>
        </w:rPr>
        <w:t>2</w:t>
      </w: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r w:rsidR="001A4D91" w:rsidRPr="00052018">
        <w:rPr>
          <w:rFonts w:ascii="Arial" w:hAnsi="Arial" w:cs="Arial"/>
          <w:b/>
          <w:color w:val="A6A6A6"/>
          <w:sz w:val="28"/>
          <w:szCs w:val="28"/>
        </w:rPr>
        <w:t>/</w:t>
      </w: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 20</w:t>
      </w:r>
      <w:r w:rsidR="00221073">
        <w:rPr>
          <w:rFonts w:ascii="Arial" w:hAnsi="Arial" w:cs="Arial"/>
          <w:b/>
          <w:color w:val="A6A6A6"/>
          <w:sz w:val="28"/>
          <w:szCs w:val="28"/>
        </w:rPr>
        <w:t>2</w:t>
      </w:r>
      <w:r w:rsidR="00123CD7">
        <w:rPr>
          <w:rFonts w:ascii="Arial" w:hAnsi="Arial" w:cs="Arial"/>
          <w:b/>
          <w:color w:val="A6A6A6"/>
          <w:sz w:val="28"/>
          <w:szCs w:val="28"/>
        </w:rPr>
        <w:t>2</w:t>
      </w:r>
    </w:p>
    <w:p w:rsidR="00E64CDB" w:rsidRPr="00052018" w:rsidRDefault="00C66D2A" w:rsidP="00E64CDB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ADAFB2"/>
          <w:sz w:val="24"/>
          <w:szCs w:val="24"/>
          <w:highlight w:val="yellow"/>
        </w:rPr>
      </w:pPr>
      <w:r w:rsidRPr="00052018">
        <w:rPr>
          <w:rFonts w:ascii="Arial" w:hAnsi="Arial" w:cs="Arial"/>
          <w:color w:val="ADAFB2"/>
          <w:sz w:val="40"/>
          <w:szCs w:val="40"/>
          <w:highlight w:val="yellow"/>
        </w:rPr>
        <w:br/>
      </w:r>
    </w:p>
    <w:p w:rsidR="00E64CDB" w:rsidRPr="005923C7" w:rsidRDefault="00E64CDB" w:rsidP="00C341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5923C7">
        <w:rPr>
          <w:rFonts w:ascii="Arial" w:hAnsi="Arial" w:cs="Arial"/>
          <w:b/>
          <w:i/>
          <w:color w:val="ADAFB2"/>
          <w:sz w:val="24"/>
          <w:szCs w:val="24"/>
        </w:rPr>
        <w:t xml:space="preserve">Informacji </w:t>
      </w:r>
      <w:r w:rsidR="00594840" w:rsidRPr="005923C7">
        <w:rPr>
          <w:rFonts w:ascii="Arial" w:hAnsi="Arial" w:cs="Arial"/>
          <w:b/>
          <w:i/>
          <w:color w:val="ADAFB2"/>
          <w:sz w:val="24"/>
          <w:szCs w:val="24"/>
        </w:rPr>
        <w:t>kwartalnej</w:t>
      </w:r>
      <w:r w:rsidR="00594840"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  <w:r w:rsidRPr="005923C7">
        <w:rPr>
          <w:rFonts w:ascii="Arial" w:hAnsi="Arial" w:cs="Arial"/>
          <w:b/>
          <w:color w:val="ADAFB2"/>
          <w:sz w:val="24"/>
          <w:szCs w:val="24"/>
        </w:rPr>
        <w:t>jest zaprezentowanie dostępnych informacji na temat sektora finansów publicznych:</w:t>
      </w:r>
    </w:p>
    <w:p w:rsidR="00E64CDB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>według obowiązującego w Un</w:t>
      </w:r>
      <w:r w:rsidR="002A17A6" w:rsidRPr="005923C7">
        <w:rPr>
          <w:rFonts w:ascii="Arial" w:hAnsi="Arial" w:cs="Arial"/>
          <w:b/>
          <w:color w:val="ADAFB2"/>
          <w:sz w:val="24"/>
          <w:szCs w:val="24"/>
        </w:rPr>
        <w:t>ii Europejskiej standardu ESA2010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 (dane kwartalne obejmujące cały sektor instytucji rządowych i samorządowych),</w:t>
      </w:r>
    </w:p>
    <w:p w:rsidR="00E64CDB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 xml:space="preserve">według standardu Międzynarodowego Funduszu Walutowego GFSM2001 (dane miesięczne obejmujące szczebel centralny, </w:t>
      </w:r>
      <w:r w:rsidR="00D023C3" w:rsidRPr="005923C7">
        <w:rPr>
          <w:rFonts w:ascii="Arial" w:hAnsi="Arial" w:cs="Arial"/>
          <w:b/>
          <w:color w:val="ADAFB2"/>
          <w:sz w:val="24"/>
          <w:szCs w:val="24"/>
        </w:rPr>
        <w:t xml:space="preserve">natomiast </w:t>
      </w:r>
      <w:r w:rsidRPr="005923C7">
        <w:rPr>
          <w:rFonts w:ascii="Arial" w:hAnsi="Arial" w:cs="Arial"/>
          <w:b/>
          <w:color w:val="ADAFB2"/>
          <w:sz w:val="24"/>
          <w:szCs w:val="24"/>
        </w:rPr>
        <w:t>dane roczne obejmujące cały sektor instytucji rządowych i samorządowych),</w:t>
      </w:r>
    </w:p>
    <w:p w:rsidR="00C66D2A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>według przepisów krajowych (dane miesięczne o</w:t>
      </w:r>
      <w:r w:rsidR="00CA1B2C" w:rsidRPr="005923C7">
        <w:rPr>
          <w:rFonts w:ascii="Arial" w:hAnsi="Arial" w:cs="Arial"/>
          <w:b/>
          <w:color w:val="ADAFB2"/>
          <w:sz w:val="24"/>
          <w:szCs w:val="24"/>
        </w:rPr>
        <w:t> </w:t>
      </w:r>
      <w:r w:rsidRPr="005923C7">
        <w:rPr>
          <w:rFonts w:ascii="Arial" w:hAnsi="Arial" w:cs="Arial"/>
          <w:b/>
          <w:color w:val="ADAFB2"/>
          <w:sz w:val="24"/>
          <w:szCs w:val="24"/>
        </w:rPr>
        <w:t>budżecie państwa</w:t>
      </w:r>
      <w:r w:rsidR="001F2255" w:rsidRPr="005923C7">
        <w:rPr>
          <w:rFonts w:ascii="Arial" w:hAnsi="Arial" w:cs="Arial"/>
          <w:b/>
          <w:color w:val="ADAFB2"/>
          <w:sz w:val="24"/>
          <w:szCs w:val="24"/>
        </w:rPr>
        <w:t xml:space="preserve">, Funduszu Ubezpieczeń Społecznych, Funduszu Emerytalno-Rentowym, Funduszu Pracy, Narodowym Funduszu </w:t>
      </w:r>
      <w:r w:rsidR="00562706" w:rsidRPr="005923C7">
        <w:rPr>
          <w:rFonts w:ascii="Arial" w:hAnsi="Arial" w:cs="Arial"/>
          <w:b/>
          <w:color w:val="ADAFB2"/>
          <w:sz w:val="24"/>
          <w:szCs w:val="24"/>
        </w:rPr>
        <w:t>Zdrowia</w:t>
      </w:r>
      <w:r w:rsidR="001F2255" w:rsidRPr="005923C7">
        <w:rPr>
          <w:rFonts w:ascii="Arial" w:hAnsi="Arial" w:cs="Arial"/>
          <w:b/>
          <w:color w:val="ADAFB2"/>
          <w:sz w:val="24"/>
          <w:szCs w:val="24"/>
        </w:rPr>
        <w:t>)</w:t>
      </w:r>
      <w:r w:rsidRPr="005923C7">
        <w:rPr>
          <w:rFonts w:ascii="Arial" w:hAnsi="Arial" w:cs="Arial"/>
          <w:b/>
          <w:color w:val="ADAFB2"/>
          <w:sz w:val="24"/>
          <w:szCs w:val="24"/>
        </w:rPr>
        <w:t>.</w:t>
      </w:r>
    </w:p>
    <w:p w:rsidR="00973D15" w:rsidRPr="005923C7" w:rsidRDefault="00973D15" w:rsidP="003E667E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E64CDB" w:rsidRPr="005923C7" w:rsidRDefault="00E64CDB" w:rsidP="00DD73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Departament Polityki </w:t>
      </w:r>
      <w:r w:rsidR="00C23366" w:rsidRPr="005923C7">
        <w:rPr>
          <w:rFonts w:ascii="Arial" w:hAnsi="Arial" w:cs="Arial"/>
          <w:b/>
          <w:color w:val="ADAFB2"/>
          <w:sz w:val="24"/>
          <w:szCs w:val="24"/>
        </w:rPr>
        <w:t>Makroekonomicznej</w:t>
      </w:r>
    </w:p>
    <w:p w:rsidR="00E210E5" w:rsidRPr="005923C7" w:rsidRDefault="00E64CDB" w:rsidP="00E21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Departament Długu Publicznego</w:t>
      </w:r>
      <w:r w:rsidR="00E210E5"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5774A8" w:rsidRPr="00052018" w:rsidRDefault="005774A8" w:rsidP="00D023C3">
      <w:pPr>
        <w:widowControl w:val="0"/>
        <w:autoSpaceDE w:val="0"/>
        <w:autoSpaceDN w:val="0"/>
        <w:adjustRightInd w:val="0"/>
        <w:spacing w:after="280" w:line="360" w:lineRule="auto"/>
        <w:jc w:val="center"/>
        <w:rPr>
          <w:rFonts w:ascii="Arial" w:hAnsi="Arial" w:cs="Arial"/>
          <w:b/>
          <w:color w:val="ADAFB2"/>
          <w:sz w:val="24"/>
          <w:szCs w:val="24"/>
          <w:highlight w:val="yellow"/>
        </w:rPr>
        <w:sectPr w:rsidR="005774A8" w:rsidRPr="00052018" w:rsidSect="00EC4394">
          <w:footerReference w:type="default" r:id="rId11"/>
          <w:headerReference w:type="first" r:id="rId12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:rsidR="00594840" w:rsidRPr="005923C7" w:rsidRDefault="00594840" w:rsidP="0021419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Pr="005923C7">
        <w:rPr>
          <w:rFonts w:ascii="Arial" w:hAnsi="Arial" w:cs="Arial"/>
          <w:b/>
          <w:color w:val="333333"/>
          <w:sz w:val="24"/>
          <w:szCs w:val="24"/>
        </w:rPr>
        <w:t>I</w:t>
      </w:r>
      <w:r w:rsidR="00BC5828" w:rsidRPr="005923C7">
        <w:rPr>
          <w:rFonts w:ascii="Arial" w:hAnsi="Arial" w:cs="Arial"/>
          <w:b/>
          <w:color w:val="333333"/>
          <w:sz w:val="24"/>
          <w:szCs w:val="24"/>
        </w:rPr>
        <w:t>V</w:t>
      </w:r>
      <w:r w:rsidR="0009641C" w:rsidRPr="005923C7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5923C7">
        <w:rPr>
          <w:rFonts w:ascii="Arial" w:hAnsi="Arial" w:cs="Arial"/>
          <w:b/>
          <w:color w:val="333333"/>
          <w:sz w:val="24"/>
          <w:szCs w:val="24"/>
        </w:rPr>
        <w:t xml:space="preserve">kwartału </w:t>
      </w:r>
      <w:r w:rsidR="00BC5828" w:rsidRPr="005923C7">
        <w:rPr>
          <w:rFonts w:ascii="Arial" w:hAnsi="Arial" w:cs="Arial"/>
          <w:b/>
          <w:color w:val="333333"/>
          <w:sz w:val="24"/>
          <w:szCs w:val="24"/>
        </w:rPr>
        <w:t xml:space="preserve">oraz całego </w:t>
      </w:r>
      <w:r w:rsidRPr="005923C7">
        <w:rPr>
          <w:rFonts w:ascii="Arial" w:hAnsi="Arial" w:cs="Arial"/>
          <w:b/>
          <w:color w:val="333333"/>
          <w:sz w:val="24"/>
          <w:szCs w:val="24"/>
        </w:rPr>
        <w:t>20</w:t>
      </w:r>
      <w:r w:rsidR="00E47687">
        <w:rPr>
          <w:rFonts w:ascii="Arial" w:hAnsi="Arial" w:cs="Arial"/>
          <w:b/>
          <w:color w:val="333333"/>
          <w:sz w:val="24"/>
          <w:szCs w:val="24"/>
        </w:rPr>
        <w:t>2</w:t>
      </w:r>
      <w:r w:rsidR="00306773">
        <w:rPr>
          <w:rFonts w:ascii="Arial" w:hAnsi="Arial" w:cs="Arial"/>
          <w:b/>
          <w:color w:val="333333"/>
          <w:sz w:val="24"/>
          <w:szCs w:val="24"/>
        </w:rPr>
        <w:t>1</w:t>
      </w:r>
      <w:r w:rsidR="00C23366" w:rsidRPr="005923C7">
        <w:rPr>
          <w:rFonts w:ascii="Arial" w:hAnsi="Arial" w:cs="Arial"/>
          <w:b/>
          <w:color w:val="333333"/>
          <w:sz w:val="24"/>
          <w:szCs w:val="24"/>
        </w:rPr>
        <w:t> r</w:t>
      </w:r>
      <w:r w:rsidR="0009641C" w:rsidRPr="005923C7">
        <w:rPr>
          <w:rFonts w:ascii="Arial" w:hAnsi="Arial" w:cs="Arial"/>
          <w:b/>
          <w:color w:val="333333"/>
          <w:sz w:val="24"/>
          <w:szCs w:val="24"/>
        </w:rPr>
        <w:t>.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8101FD" w:rsidRPr="00052018" w:rsidRDefault="008101F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690F9E" w:rsidRPr="00052018" w:rsidRDefault="00690F9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E210E5" w:rsidRPr="005923C7" w:rsidRDefault="00E210E5" w:rsidP="0059484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5923C7">
        <w:rPr>
          <w:rFonts w:ascii="Arial" w:hAnsi="Arial" w:cs="Arial"/>
          <w:b/>
          <w:color w:val="E31837"/>
          <w:sz w:val="28"/>
          <w:szCs w:val="28"/>
        </w:rPr>
        <w:t>Podstawowe wskaźniki stanu sektora instytucji rządowych i samorządo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wych wg ESA2010 w </w:t>
      </w:r>
      <w:r w:rsidRPr="005923C7">
        <w:rPr>
          <w:rFonts w:ascii="Arial" w:hAnsi="Arial" w:cs="Arial"/>
          <w:b/>
          <w:color w:val="E31837"/>
          <w:sz w:val="28"/>
          <w:szCs w:val="28"/>
        </w:rPr>
        <w:t>I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>V</w:t>
      </w:r>
      <w:r w:rsidRPr="005923C7">
        <w:rPr>
          <w:rFonts w:ascii="Arial" w:hAnsi="Arial" w:cs="Arial"/>
          <w:b/>
          <w:color w:val="E31837"/>
          <w:sz w:val="28"/>
          <w:szCs w:val="28"/>
        </w:rPr>
        <w:t xml:space="preserve"> kw. 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i </w:t>
      </w:r>
      <w:r w:rsidR="00DD0F06" w:rsidRPr="005923C7">
        <w:rPr>
          <w:rFonts w:ascii="Arial" w:hAnsi="Arial" w:cs="Arial"/>
          <w:b/>
          <w:color w:val="E31837"/>
          <w:sz w:val="28"/>
          <w:szCs w:val="28"/>
        </w:rPr>
        <w:t xml:space="preserve">w 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całym </w:t>
      </w:r>
      <w:r w:rsidR="007E1B4D" w:rsidRPr="005923C7">
        <w:rPr>
          <w:rFonts w:ascii="Arial" w:hAnsi="Arial" w:cs="Arial"/>
          <w:b/>
          <w:color w:val="E31837"/>
          <w:sz w:val="28"/>
          <w:szCs w:val="28"/>
        </w:rPr>
        <w:t>20</w:t>
      </w:r>
      <w:r w:rsidR="00E47687">
        <w:rPr>
          <w:rFonts w:ascii="Arial" w:hAnsi="Arial" w:cs="Arial"/>
          <w:b/>
          <w:color w:val="E31837"/>
          <w:sz w:val="28"/>
          <w:szCs w:val="28"/>
        </w:rPr>
        <w:t>2</w:t>
      </w:r>
      <w:r w:rsidR="00306773">
        <w:rPr>
          <w:rFonts w:ascii="Arial" w:hAnsi="Arial" w:cs="Arial"/>
          <w:b/>
          <w:color w:val="E31837"/>
          <w:sz w:val="28"/>
          <w:szCs w:val="28"/>
        </w:rPr>
        <w:t>1</w:t>
      </w:r>
      <w:r w:rsidRPr="005923C7">
        <w:rPr>
          <w:rFonts w:ascii="Arial" w:hAnsi="Arial" w:cs="Arial"/>
          <w:b/>
          <w:color w:val="E31837"/>
          <w:sz w:val="28"/>
          <w:szCs w:val="28"/>
        </w:rPr>
        <w:t> r.</w:t>
      </w:r>
    </w:p>
    <w:p w:rsidR="00E210E5" w:rsidRPr="005923C7" w:rsidRDefault="00E210E5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BC5828" w:rsidRPr="005923C7">
        <w:rPr>
          <w:rFonts w:ascii="Arial" w:hAnsi="Arial" w:cs="Arial"/>
          <w:b/>
          <w:color w:val="ADAFB2"/>
          <w:sz w:val="24"/>
          <w:szCs w:val="24"/>
        </w:rPr>
        <w:t xml:space="preserve">w IV kw. 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117371" w:rsidRPr="006845BC">
        <w:rPr>
          <w:rFonts w:ascii="Arial" w:hAnsi="Arial" w:cs="Arial"/>
          <w:b/>
          <w:color w:val="E31837"/>
          <w:sz w:val="24"/>
          <w:szCs w:val="24"/>
        </w:rPr>
        <w:t>-</w:t>
      </w:r>
      <w:r w:rsidR="00DA3216">
        <w:rPr>
          <w:rFonts w:ascii="Arial" w:hAnsi="Arial" w:cs="Arial"/>
          <w:b/>
          <w:color w:val="E31837"/>
          <w:sz w:val="24"/>
          <w:szCs w:val="24"/>
        </w:rPr>
        <w:t>43,</w:t>
      </w:r>
      <w:r w:rsidR="00306773">
        <w:rPr>
          <w:rFonts w:ascii="Arial" w:hAnsi="Arial" w:cs="Arial"/>
          <w:b/>
          <w:color w:val="E31837"/>
          <w:sz w:val="24"/>
          <w:szCs w:val="24"/>
        </w:rPr>
        <w:t>3</w:t>
      </w:r>
      <w:r w:rsidR="00DA321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7E1B4D" w:rsidRPr="005923C7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5923C7" w:rsidRPr="005923C7">
        <w:rPr>
          <w:rFonts w:ascii="Arial" w:hAnsi="Arial" w:cs="Arial"/>
          <w:b/>
          <w:color w:val="E31837"/>
          <w:sz w:val="24"/>
          <w:szCs w:val="24"/>
        </w:rPr>
        <w:t>(</w:t>
      </w:r>
      <w:r w:rsidR="00117371">
        <w:rPr>
          <w:rFonts w:ascii="Arial" w:hAnsi="Arial" w:cs="Arial"/>
          <w:b/>
          <w:color w:val="E31837"/>
          <w:sz w:val="24"/>
          <w:szCs w:val="24"/>
        </w:rPr>
        <w:t>-</w:t>
      </w:r>
      <w:r w:rsidR="00306773">
        <w:rPr>
          <w:rFonts w:ascii="Arial" w:hAnsi="Arial" w:cs="Arial"/>
          <w:b/>
          <w:color w:val="E31837"/>
          <w:sz w:val="24"/>
          <w:szCs w:val="24"/>
        </w:rPr>
        <w:t>5,7</w:t>
      </w:r>
      <w:r w:rsidR="002E22EC" w:rsidRPr="005923C7">
        <w:rPr>
          <w:rFonts w:ascii="Arial" w:hAnsi="Arial" w:cs="Arial"/>
          <w:b/>
          <w:color w:val="E31837"/>
          <w:sz w:val="24"/>
          <w:szCs w:val="24"/>
        </w:rPr>
        <w:t>%</w:t>
      </w:r>
      <w:r w:rsidR="00780543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E22EC" w:rsidRPr="005923C7">
        <w:rPr>
          <w:rFonts w:ascii="Arial" w:hAnsi="Arial" w:cs="Arial"/>
          <w:b/>
          <w:color w:val="E31837"/>
          <w:sz w:val="24"/>
          <w:szCs w:val="24"/>
        </w:rPr>
        <w:t>PKB)</w:t>
      </w:r>
    </w:p>
    <w:p w:rsidR="00BC5828" w:rsidRPr="002444E6" w:rsidRDefault="00BC5828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E47687">
        <w:rPr>
          <w:rFonts w:ascii="Arial" w:hAnsi="Arial" w:cs="Arial"/>
          <w:b/>
          <w:color w:val="ADAFB2"/>
          <w:sz w:val="24"/>
          <w:szCs w:val="24"/>
        </w:rPr>
        <w:t>w 202</w:t>
      </w:r>
      <w:r w:rsidR="00306773">
        <w:rPr>
          <w:rFonts w:ascii="Arial" w:hAnsi="Arial" w:cs="Arial"/>
          <w:b/>
          <w:color w:val="ADAFB2"/>
          <w:sz w:val="24"/>
          <w:szCs w:val="24"/>
        </w:rPr>
        <w:t>1</w:t>
      </w: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 r</w:t>
      </w:r>
      <w:r w:rsidR="007E52CD" w:rsidRPr="002444E6">
        <w:rPr>
          <w:rFonts w:ascii="Arial" w:hAnsi="Arial" w:cs="Arial"/>
          <w:b/>
          <w:color w:val="ADAFB2"/>
          <w:sz w:val="24"/>
          <w:szCs w:val="24"/>
        </w:rPr>
        <w:t>.</w:t>
      </w: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 wyniósł </w:t>
      </w:r>
      <w:r w:rsidR="000061C6" w:rsidRPr="002444E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117371">
        <w:rPr>
          <w:rFonts w:ascii="Arial" w:hAnsi="Arial" w:cs="Arial"/>
          <w:b/>
          <w:color w:val="E31837"/>
          <w:sz w:val="24"/>
          <w:szCs w:val="24"/>
        </w:rPr>
        <w:t>-</w:t>
      </w:r>
      <w:r w:rsidR="00306773">
        <w:rPr>
          <w:rFonts w:ascii="Arial" w:hAnsi="Arial" w:cs="Arial"/>
          <w:b/>
          <w:color w:val="E31837"/>
          <w:sz w:val="24"/>
          <w:szCs w:val="24"/>
        </w:rPr>
        <w:t>49,0</w:t>
      </w:r>
      <w:r w:rsidR="00DA321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E22EC" w:rsidRPr="002444E6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306773">
        <w:rPr>
          <w:rFonts w:ascii="Arial" w:hAnsi="Arial" w:cs="Arial"/>
          <w:b/>
          <w:color w:val="E31837"/>
          <w:sz w:val="24"/>
          <w:szCs w:val="24"/>
        </w:rPr>
        <w:t>-1,9</w:t>
      </w:r>
      <w:r w:rsidR="000061C6" w:rsidRPr="002444E6">
        <w:rPr>
          <w:rFonts w:ascii="Arial" w:hAnsi="Arial" w:cs="Arial"/>
          <w:b/>
          <w:color w:val="E31837"/>
          <w:sz w:val="24"/>
          <w:szCs w:val="24"/>
        </w:rPr>
        <w:t>%</w:t>
      </w:r>
      <w:r w:rsidR="00780543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E22EC" w:rsidRPr="002444E6">
        <w:rPr>
          <w:rFonts w:ascii="Arial" w:hAnsi="Arial" w:cs="Arial"/>
          <w:b/>
          <w:color w:val="E31837"/>
          <w:sz w:val="24"/>
          <w:szCs w:val="24"/>
        </w:rPr>
        <w:t>PKB)</w:t>
      </w:r>
    </w:p>
    <w:p w:rsidR="00E210E5" w:rsidRPr="00B74F34" w:rsidRDefault="003F725B" w:rsidP="00B74F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B74F34">
        <w:rPr>
          <w:rFonts w:ascii="Arial" w:hAnsi="Arial" w:cs="Arial"/>
          <w:b/>
          <w:color w:val="ADAFB2"/>
          <w:sz w:val="24"/>
          <w:szCs w:val="24"/>
        </w:rPr>
        <w:t>Dł</w:t>
      </w:r>
      <w:r w:rsidR="00E210E5" w:rsidRPr="00B74F34">
        <w:rPr>
          <w:rFonts w:ascii="Arial" w:hAnsi="Arial" w:cs="Arial"/>
          <w:b/>
          <w:color w:val="ADAFB2"/>
          <w:sz w:val="24"/>
          <w:szCs w:val="24"/>
        </w:rPr>
        <w:t xml:space="preserve">ug EDP </w:t>
      </w:r>
      <w:r w:rsidR="00E47687">
        <w:rPr>
          <w:rFonts w:ascii="Arial" w:hAnsi="Arial" w:cs="Arial"/>
          <w:b/>
          <w:color w:val="ADAFB2"/>
          <w:sz w:val="24"/>
          <w:szCs w:val="24"/>
        </w:rPr>
        <w:t>na koniec 2020</w:t>
      </w:r>
      <w:r w:rsidR="00A700BC" w:rsidRPr="00B74F34">
        <w:rPr>
          <w:rFonts w:ascii="Arial" w:hAnsi="Arial" w:cs="Arial"/>
          <w:b/>
          <w:color w:val="ADAFB2"/>
          <w:sz w:val="24"/>
          <w:szCs w:val="24"/>
        </w:rPr>
        <w:t xml:space="preserve"> r. </w:t>
      </w:r>
      <w:r w:rsidR="00E210E5" w:rsidRPr="00B74F34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B74F34" w:rsidRPr="00B74F34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DA3216">
        <w:rPr>
          <w:rFonts w:ascii="Arial" w:hAnsi="Arial" w:cs="Arial"/>
          <w:b/>
          <w:color w:val="E31837"/>
          <w:sz w:val="24"/>
          <w:szCs w:val="24"/>
        </w:rPr>
        <w:t>1</w:t>
      </w:r>
      <w:r w:rsidR="009706F0">
        <w:rPr>
          <w:rFonts w:ascii="Arial" w:hAnsi="Arial" w:cs="Arial"/>
          <w:b/>
          <w:color w:val="E31837"/>
          <w:sz w:val="24"/>
          <w:szCs w:val="24"/>
        </w:rPr>
        <w:t> </w:t>
      </w:r>
      <w:r w:rsidR="00306773">
        <w:rPr>
          <w:rFonts w:ascii="Arial" w:hAnsi="Arial" w:cs="Arial"/>
          <w:b/>
          <w:color w:val="E31837"/>
          <w:sz w:val="24"/>
          <w:szCs w:val="24"/>
        </w:rPr>
        <w:t>410</w:t>
      </w:r>
      <w:r w:rsidR="009706F0">
        <w:rPr>
          <w:rFonts w:ascii="Arial" w:hAnsi="Arial" w:cs="Arial"/>
          <w:b/>
          <w:color w:val="E31837"/>
          <w:sz w:val="24"/>
          <w:szCs w:val="24"/>
        </w:rPr>
        <w:t>,</w:t>
      </w:r>
      <w:r w:rsidR="00306773">
        <w:rPr>
          <w:rFonts w:ascii="Arial" w:hAnsi="Arial" w:cs="Arial"/>
          <w:b/>
          <w:color w:val="E31837"/>
          <w:sz w:val="24"/>
          <w:szCs w:val="24"/>
        </w:rPr>
        <w:t>5</w:t>
      </w:r>
      <w:r w:rsidR="00DA321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D55FD4" w:rsidRPr="00B74F34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BF7964" w:rsidRPr="00B74F34">
        <w:rPr>
          <w:rFonts w:ascii="Arial" w:hAnsi="Arial" w:cs="Arial"/>
          <w:b/>
          <w:color w:val="E31837"/>
          <w:sz w:val="24"/>
          <w:szCs w:val="24"/>
        </w:rPr>
        <w:t> </w:t>
      </w:r>
      <w:r w:rsidR="00DA3216">
        <w:rPr>
          <w:rFonts w:ascii="Arial" w:hAnsi="Arial" w:cs="Arial"/>
          <w:b/>
          <w:color w:val="E31837"/>
          <w:sz w:val="24"/>
          <w:szCs w:val="24"/>
        </w:rPr>
        <w:t>5</w:t>
      </w:r>
      <w:r w:rsidR="00306773">
        <w:rPr>
          <w:rFonts w:ascii="Arial" w:hAnsi="Arial" w:cs="Arial"/>
          <w:b/>
          <w:color w:val="E31837"/>
          <w:sz w:val="24"/>
          <w:szCs w:val="24"/>
        </w:rPr>
        <w:t>3,8</w:t>
      </w:r>
      <w:r w:rsidR="00DA3216">
        <w:rPr>
          <w:rFonts w:ascii="Arial" w:hAnsi="Arial" w:cs="Arial"/>
          <w:b/>
          <w:color w:val="E31837"/>
          <w:sz w:val="24"/>
          <w:szCs w:val="24"/>
        </w:rPr>
        <w:t> </w:t>
      </w:r>
      <w:r w:rsidR="00117371">
        <w:rPr>
          <w:rFonts w:ascii="Arial" w:hAnsi="Arial" w:cs="Arial"/>
          <w:b/>
          <w:color w:val="E31837"/>
          <w:sz w:val="24"/>
          <w:szCs w:val="24"/>
        </w:rPr>
        <w:t>%</w:t>
      </w:r>
      <w:r w:rsidR="00780543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C102A9" w:rsidRPr="00B74F34">
        <w:rPr>
          <w:rFonts w:ascii="Arial" w:hAnsi="Arial" w:cs="Arial"/>
          <w:b/>
          <w:color w:val="E31837"/>
          <w:sz w:val="24"/>
          <w:szCs w:val="24"/>
        </w:rPr>
        <w:t>PKB)</w:t>
      </w:r>
    </w:p>
    <w:p w:rsidR="003E0424" w:rsidRPr="00052018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E210E5" w:rsidRPr="005923C7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3E0424" w:rsidRPr="005923C7" w:rsidRDefault="00594840" w:rsidP="00D80F1C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</w:rPr>
      </w:pPr>
      <w:r w:rsidRPr="005923C7">
        <w:rPr>
          <w:rFonts w:ascii="Arial" w:hAnsi="Arial" w:cs="Arial"/>
          <w:b/>
          <w:color w:val="ADAFB2"/>
          <w:sz w:val="20"/>
          <w:szCs w:val="20"/>
        </w:rPr>
        <w:t>Niniejszy materiał został opracowany wyłącznie w celach informacyjnych i</w:t>
      </w:r>
      <w:r w:rsidR="00CA1B2C" w:rsidRPr="005923C7">
        <w:rPr>
          <w:rFonts w:ascii="Arial" w:hAnsi="Arial" w:cs="Arial"/>
          <w:b/>
          <w:color w:val="ADAFB2"/>
          <w:sz w:val="20"/>
          <w:szCs w:val="20"/>
        </w:rPr>
        <w:t> </w:t>
      </w:r>
      <w:r w:rsidRPr="005923C7">
        <w:rPr>
          <w:rFonts w:ascii="Arial" w:hAnsi="Arial" w:cs="Arial"/>
          <w:b/>
          <w:color w:val="ADAFB2"/>
          <w:sz w:val="20"/>
          <w:szCs w:val="20"/>
        </w:rPr>
        <w:t>nie może być traktowany jako oferta lub rekomendacja do zawierania jakichkolwiek transakcji. Informacje zawarte w materiale pochodzą z</w:t>
      </w:r>
      <w:r w:rsidR="00CA1B2C" w:rsidRPr="005923C7">
        <w:rPr>
          <w:rFonts w:ascii="Arial" w:hAnsi="Arial" w:cs="Arial"/>
          <w:b/>
          <w:color w:val="ADAFB2"/>
          <w:sz w:val="20"/>
          <w:szCs w:val="20"/>
        </w:rPr>
        <w:t> </w:t>
      </w:r>
      <w:r w:rsidRPr="005923C7">
        <w:rPr>
          <w:rFonts w:ascii="Arial" w:hAnsi="Arial" w:cs="Arial"/>
          <w:b/>
          <w:color w:val="ADAFB2"/>
          <w:sz w:val="20"/>
          <w:szCs w:val="20"/>
        </w:rPr>
        <w:t>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</w:t>
      </w:r>
      <w:r w:rsidR="00D80F1C" w:rsidRPr="005923C7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5725A7" w:rsidRPr="00052018" w:rsidRDefault="005725A7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  <w:sectPr w:rsidR="005725A7" w:rsidRPr="00052018" w:rsidSect="00B24C3B">
          <w:footerReference w:type="first" r:id="rId13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:rsidR="003E0424" w:rsidRPr="00052018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BF757A" w:rsidRPr="00052018" w:rsidRDefault="00BF757A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DE5957" w:rsidRPr="00580E73" w:rsidRDefault="00DE5957" w:rsidP="00DE5957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580E73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:rsidR="00347DF8" w:rsidRDefault="00347DF8" w:rsidP="00C4006A">
      <w:pPr>
        <w:pStyle w:val="Spistreci1"/>
        <w:rPr>
          <w:rStyle w:val="Hipercze"/>
          <w:rFonts w:ascii="Arial" w:hAnsi="Arial" w:cs="Arial"/>
          <w:b/>
          <w:noProof/>
          <w:color w:val="ADAFB2"/>
        </w:rPr>
      </w:pPr>
    </w:p>
    <w:p w:rsidR="001160F9" w:rsidRPr="001160F9" w:rsidRDefault="00A3676D">
      <w:pPr>
        <w:pStyle w:val="Spistreci1"/>
        <w:rPr>
          <w:rStyle w:val="Hipercze"/>
          <w:rFonts w:ascii="Arial" w:hAnsi="Arial" w:cs="Arial"/>
          <w:b/>
          <w:color w:val="ADAFB2"/>
        </w:rPr>
      </w:pP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580E73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105157401" w:history="1">
        <w:r w:rsidR="001160F9" w:rsidRPr="001160F9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IV kw. 2021 r.</w:t>
        </w:r>
        <w:r w:rsidR="001160F9"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1160F9"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1160F9"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_Toc105157401 \h </w:instrText>
        </w:r>
        <w:r w:rsidR="001160F9"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="001160F9"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1160F9"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 w:rsidP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02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_Toc105157402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 w:rsidP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03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_Toc105157403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 w:rsidP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04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_Toc105157404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5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05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2. Wynik, dochody oraz wydatki w 2021 r.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_Toc105157405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6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 w:rsidP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06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2.1. Wynik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_Toc105157406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6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 w:rsidP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07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2.2. Dochody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_Toc105157407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6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 w:rsidP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08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2.3. Wydatki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_Toc105157408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09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3. Dług publiczny oraz potrzeby pożyczkowe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_Toc105157409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8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 w:rsidP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10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3.1. Dług sektora instytucji rządowych i samorządowych (wg definicji UE)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_Toc105157410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8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 w:rsidP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11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3.2. Potrzeby pożyczkowe budżetu państwa  i ich finansowanie w IV kwartale 2021 r.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_Toc105157411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9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12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_Toc105157412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11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1160F9" w:rsidRPr="001160F9" w:rsidRDefault="001160F9">
      <w:pPr>
        <w:pStyle w:val="Spistreci1"/>
        <w:rPr>
          <w:rStyle w:val="Hipercze"/>
          <w:rFonts w:ascii="Arial" w:hAnsi="Arial" w:cs="Arial"/>
          <w:b/>
          <w:color w:val="ADAFB2"/>
        </w:rPr>
      </w:pPr>
      <w:hyperlink w:anchor="_Toc105157413" w:history="1">
        <w:r w:rsidRPr="001160F9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_Toc105157413 \h </w:instrTex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974B40">
          <w:rPr>
            <w:rStyle w:val="Hipercze"/>
            <w:rFonts w:ascii="Arial" w:hAnsi="Arial" w:cs="Arial"/>
            <w:b/>
            <w:noProof/>
            <w:webHidden/>
            <w:color w:val="ADAFB2"/>
          </w:rPr>
          <w:t>12</w:t>
        </w:r>
        <w:r w:rsidRPr="001160F9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A3676D" w:rsidRPr="003022A0" w:rsidRDefault="00A3676D" w:rsidP="00C4006A">
      <w:pPr>
        <w:pStyle w:val="Spistreci1"/>
        <w:rPr>
          <w:rStyle w:val="Hipercze"/>
          <w:rFonts w:ascii="Arial" w:hAnsi="Arial" w:cs="Arial"/>
          <w:b/>
          <w:noProof/>
          <w:color w:val="ADAFB2"/>
        </w:rPr>
      </w:pP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157279" w:rsidRPr="00052018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157279" w:rsidRPr="00052018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157279" w:rsidRPr="00052018" w:rsidSect="00EC4394"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1062E" w:rsidRPr="00162B16" w:rsidRDefault="0031062E" w:rsidP="006B7502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1" w:name="_Toc105157401"/>
      <w:r w:rsidRPr="00162B16">
        <w:rPr>
          <w:rFonts w:ascii="Arial" w:hAnsi="Arial" w:cs="Arial"/>
          <w:color w:val="ADAFB2"/>
          <w:sz w:val="28"/>
          <w:szCs w:val="28"/>
        </w:rPr>
        <w:lastRenderedPageBreak/>
        <w:t>1.</w:t>
      </w:r>
      <w:r w:rsidR="00EC0826" w:rsidRPr="00162B16">
        <w:rPr>
          <w:rFonts w:ascii="Arial" w:hAnsi="Arial" w:cs="Arial"/>
          <w:color w:val="ADAFB2"/>
          <w:sz w:val="28"/>
          <w:szCs w:val="28"/>
        </w:rPr>
        <w:t xml:space="preserve"> </w:t>
      </w:r>
      <w:r w:rsidR="00730D3C" w:rsidRPr="00162B16">
        <w:rPr>
          <w:rFonts w:ascii="Arial" w:hAnsi="Arial" w:cs="Arial"/>
          <w:color w:val="ADAFB2"/>
          <w:sz w:val="28"/>
          <w:szCs w:val="28"/>
        </w:rPr>
        <w:t>Wynik, d</w:t>
      </w:r>
      <w:r w:rsidR="000A6CA0" w:rsidRPr="00162B16">
        <w:rPr>
          <w:rFonts w:ascii="Arial" w:hAnsi="Arial" w:cs="Arial"/>
          <w:color w:val="ADAFB2"/>
          <w:sz w:val="28"/>
          <w:szCs w:val="28"/>
        </w:rPr>
        <w:t>ochody</w:t>
      </w:r>
      <w:r w:rsidR="00730D3C" w:rsidRPr="00162B16">
        <w:rPr>
          <w:rFonts w:ascii="Arial" w:hAnsi="Arial" w:cs="Arial"/>
          <w:color w:val="ADAFB2"/>
          <w:sz w:val="28"/>
          <w:szCs w:val="28"/>
        </w:rPr>
        <w:t xml:space="preserve"> oraz</w:t>
      </w:r>
      <w:r w:rsidR="00E65258" w:rsidRPr="00162B16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101324" w:rsidRPr="00162B16">
        <w:rPr>
          <w:rFonts w:ascii="Arial" w:hAnsi="Arial" w:cs="Arial"/>
          <w:color w:val="ADAFB2"/>
          <w:sz w:val="28"/>
          <w:szCs w:val="28"/>
        </w:rPr>
        <w:t>w IV kw.</w:t>
      </w:r>
      <w:r w:rsidR="000A6CA0" w:rsidRPr="00162B16">
        <w:rPr>
          <w:rFonts w:ascii="Arial" w:hAnsi="Arial" w:cs="Arial"/>
          <w:color w:val="ADAFB2"/>
          <w:sz w:val="28"/>
          <w:szCs w:val="28"/>
        </w:rPr>
        <w:t xml:space="preserve"> </w:t>
      </w:r>
      <w:r w:rsidR="0085795C" w:rsidRPr="00162B16">
        <w:rPr>
          <w:rFonts w:ascii="Arial" w:hAnsi="Arial" w:cs="Arial"/>
          <w:color w:val="ADAFB2"/>
          <w:sz w:val="28"/>
          <w:szCs w:val="28"/>
        </w:rPr>
        <w:t>20</w:t>
      </w:r>
      <w:r w:rsidR="00E47687" w:rsidRPr="00162B16">
        <w:rPr>
          <w:rFonts w:ascii="Arial" w:hAnsi="Arial" w:cs="Arial"/>
          <w:color w:val="ADAFB2"/>
          <w:sz w:val="28"/>
          <w:szCs w:val="28"/>
        </w:rPr>
        <w:t>2</w:t>
      </w:r>
      <w:r w:rsidR="00306773">
        <w:rPr>
          <w:rFonts w:ascii="Arial" w:hAnsi="Arial" w:cs="Arial"/>
          <w:color w:val="ADAFB2"/>
          <w:sz w:val="28"/>
          <w:szCs w:val="28"/>
        </w:rPr>
        <w:t>1</w:t>
      </w:r>
      <w:r w:rsidR="00730D3C" w:rsidRPr="00162B16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1"/>
    </w:p>
    <w:p w:rsidR="006A5483" w:rsidRPr="00162B16" w:rsidRDefault="006A5483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162B16">
        <w:rPr>
          <w:rFonts w:ascii="Times New Roman" w:hAnsi="Times New Roman"/>
          <w:bCs/>
          <w:sz w:val="20"/>
          <w:szCs w:val="20"/>
        </w:rPr>
        <w:t xml:space="preserve">Poniżej przedstawione zostały </w:t>
      </w:r>
      <w:r w:rsidR="009D4E91" w:rsidRPr="00162B16">
        <w:rPr>
          <w:rFonts w:ascii="Times New Roman" w:hAnsi="Times New Roman"/>
          <w:bCs/>
          <w:sz w:val="20"/>
          <w:szCs w:val="20"/>
        </w:rPr>
        <w:t>podstawow</w:t>
      </w:r>
      <w:r w:rsidRPr="00162B16">
        <w:rPr>
          <w:rFonts w:ascii="Times New Roman" w:hAnsi="Times New Roman"/>
          <w:bCs/>
          <w:sz w:val="20"/>
          <w:szCs w:val="20"/>
        </w:rPr>
        <w:t>e informacje na temat sytua</w:t>
      </w:r>
      <w:r w:rsidR="00BC5828" w:rsidRPr="00162B16">
        <w:rPr>
          <w:rFonts w:ascii="Times New Roman" w:hAnsi="Times New Roman"/>
          <w:bCs/>
          <w:sz w:val="20"/>
          <w:szCs w:val="20"/>
        </w:rPr>
        <w:t>cji w finansach publicznych w IV</w:t>
      </w:r>
      <w:r w:rsidR="00323461" w:rsidRPr="00162B16">
        <w:rPr>
          <w:rFonts w:ascii="Times New Roman" w:hAnsi="Times New Roman"/>
          <w:bCs/>
          <w:sz w:val="20"/>
          <w:szCs w:val="20"/>
        </w:rPr>
        <w:t xml:space="preserve"> kw. 20</w:t>
      </w:r>
      <w:r w:rsidR="001F0584">
        <w:rPr>
          <w:rFonts w:ascii="Times New Roman" w:hAnsi="Times New Roman"/>
          <w:bCs/>
          <w:sz w:val="20"/>
          <w:szCs w:val="20"/>
        </w:rPr>
        <w:t>21</w:t>
      </w:r>
      <w:r w:rsidRPr="00162B16">
        <w:rPr>
          <w:rFonts w:ascii="Times New Roman" w:hAnsi="Times New Roman"/>
          <w:bCs/>
          <w:sz w:val="20"/>
          <w:szCs w:val="20"/>
        </w:rPr>
        <w:t xml:space="preserve"> roku</w:t>
      </w:r>
      <w:r w:rsidR="0072464B" w:rsidRPr="00162B16">
        <w:rPr>
          <w:rFonts w:ascii="Times New Roman" w:hAnsi="Times New Roman"/>
          <w:bCs/>
          <w:sz w:val="20"/>
          <w:szCs w:val="20"/>
        </w:rPr>
        <w:t>.</w:t>
      </w:r>
    </w:p>
    <w:p w:rsidR="00D55ED6" w:rsidRPr="00162B16" w:rsidRDefault="00D55ED6" w:rsidP="00D55ED6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105157402"/>
      <w:r w:rsidRPr="00162B16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2"/>
      <w:r w:rsidRPr="00162B16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D55ED6" w:rsidRPr="00162B16" w:rsidRDefault="00796336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162B16">
        <w:rPr>
          <w:rFonts w:ascii="Times New Roman" w:hAnsi="Times New Roman" w:cs="Arial"/>
          <w:sz w:val="20"/>
          <w:szCs w:val="20"/>
        </w:rPr>
        <w:t>Według danych GUS w</w:t>
      </w:r>
      <w:r w:rsidR="00D55ED6" w:rsidRPr="00162B16">
        <w:rPr>
          <w:rFonts w:ascii="Times New Roman" w:hAnsi="Times New Roman" w:cs="Arial"/>
          <w:sz w:val="20"/>
          <w:szCs w:val="20"/>
        </w:rPr>
        <w:t>ynik sektora instytucji rządowych i samorządowych w IV kw. 20</w:t>
      </w:r>
      <w:r w:rsidR="00162B16" w:rsidRPr="00162B16">
        <w:rPr>
          <w:rFonts w:ascii="Times New Roman" w:hAnsi="Times New Roman" w:cs="Arial"/>
          <w:sz w:val="20"/>
          <w:szCs w:val="20"/>
        </w:rPr>
        <w:t>2</w:t>
      </w:r>
      <w:r w:rsidR="00306773">
        <w:rPr>
          <w:rFonts w:ascii="Times New Roman" w:hAnsi="Times New Roman" w:cs="Arial"/>
          <w:sz w:val="20"/>
          <w:szCs w:val="20"/>
        </w:rPr>
        <w:t>1</w:t>
      </w:r>
      <w:r w:rsidR="00D55ED6" w:rsidRPr="00162B16">
        <w:rPr>
          <w:rFonts w:ascii="Times New Roman" w:hAnsi="Times New Roman" w:cs="Arial"/>
          <w:sz w:val="20"/>
          <w:szCs w:val="20"/>
        </w:rPr>
        <w:t xml:space="preserve"> r. wyniósł </w:t>
      </w:r>
      <w:r w:rsidR="00306773">
        <w:rPr>
          <w:rFonts w:ascii="Times New Roman" w:hAnsi="Times New Roman" w:cs="Arial"/>
          <w:sz w:val="20"/>
          <w:szCs w:val="20"/>
        </w:rPr>
        <w:t>-43,3</w:t>
      </w:r>
      <w:r w:rsidR="001E7B5E">
        <w:rPr>
          <w:rFonts w:ascii="Times New Roman" w:hAnsi="Times New Roman" w:cs="Arial"/>
          <w:sz w:val="20"/>
          <w:szCs w:val="20"/>
        </w:rPr>
        <w:t> </w:t>
      </w:r>
      <w:r w:rsidR="00D55ED6" w:rsidRPr="00162B16">
        <w:rPr>
          <w:rFonts w:ascii="Times New Roman" w:hAnsi="Times New Roman" w:cs="Arial"/>
          <w:sz w:val="20"/>
          <w:szCs w:val="20"/>
        </w:rPr>
        <w:t>mld</w:t>
      </w:r>
      <w:r w:rsidR="001E7B5E">
        <w:rPr>
          <w:rFonts w:ascii="Times New Roman" w:hAnsi="Times New Roman" w:cs="Arial"/>
          <w:sz w:val="20"/>
          <w:szCs w:val="20"/>
        </w:rPr>
        <w:t> </w:t>
      </w:r>
      <w:r w:rsidR="00D55ED6" w:rsidRPr="00162B16">
        <w:rPr>
          <w:rFonts w:ascii="Times New Roman" w:hAnsi="Times New Roman" w:cs="Arial"/>
          <w:sz w:val="20"/>
          <w:szCs w:val="20"/>
        </w:rPr>
        <w:t>zł</w:t>
      </w:r>
      <w:r w:rsidR="00162B16" w:rsidRPr="00162B16">
        <w:rPr>
          <w:rFonts w:ascii="Times New Roman" w:hAnsi="Times New Roman" w:cs="Arial"/>
          <w:sz w:val="20"/>
          <w:szCs w:val="20"/>
        </w:rPr>
        <w:t xml:space="preserve"> (-</w:t>
      </w:r>
      <w:r w:rsidR="00306773">
        <w:rPr>
          <w:rFonts w:ascii="Times New Roman" w:hAnsi="Times New Roman" w:cs="Arial"/>
          <w:sz w:val="20"/>
          <w:szCs w:val="20"/>
        </w:rPr>
        <w:t>5,7</w:t>
      </w:r>
      <w:r w:rsidR="00641571" w:rsidRPr="00162B16">
        <w:rPr>
          <w:rFonts w:ascii="Times New Roman" w:hAnsi="Times New Roman" w:cs="Arial"/>
          <w:sz w:val="20"/>
          <w:szCs w:val="20"/>
        </w:rPr>
        <w:t>%</w:t>
      </w:r>
      <w:r w:rsidR="00767350" w:rsidRPr="00162B16">
        <w:rPr>
          <w:rFonts w:ascii="Times New Roman" w:hAnsi="Times New Roman" w:cs="Arial"/>
          <w:sz w:val="20"/>
          <w:szCs w:val="20"/>
        </w:rPr>
        <w:t xml:space="preserve"> </w:t>
      </w:r>
      <w:r w:rsidR="00641571" w:rsidRPr="00162B16">
        <w:rPr>
          <w:rFonts w:ascii="Times New Roman" w:hAnsi="Times New Roman" w:cs="Arial"/>
          <w:sz w:val="20"/>
          <w:szCs w:val="20"/>
        </w:rPr>
        <w:t xml:space="preserve">PKB), </w:t>
      </w:r>
      <w:r w:rsidR="00162B16" w:rsidRPr="00162B16">
        <w:rPr>
          <w:rFonts w:ascii="Times New Roman" w:hAnsi="Times New Roman" w:cs="Arial"/>
          <w:sz w:val="20"/>
          <w:szCs w:val="20"/>
        </w:rPr>
        <w:t>a wynik pierwotny -</w:t>
      </w:r>
      <w:r w:rsidR="00306773">
        <w:rPr>
          <w:rFonts w:ascii="Times New Roman" w:hAnsi="Times New Roman" w:cs="Arial"/>
          <w:sz w:val="20"/>
          <w:szCs w:val="20"/>
        </w:rPr>
        <w:t>36,6</w:t>
      </w:r>
      <w:r w:rsidR="001E7B5E">
        <w:rPr>
          <w:rFonts w:ascii="Times New Roman" w:hAnsi="Times New Roman" w:cs="Arial"/>
          <w:sz w:val="20"/>
          <w:szCs w:val="20"/>
        </w:rPr>
        <w:t> </w:t>
      </w:r>
      <w:r w:rsidR="00B24C3B" w:rsidRPr="00162B16">
        <w:rPr>
          <w:rFonts w:ascii="Times New Roman" w:hAnsi="Times New Roman" w:cs="Arial"/>
          <w:sz w:val="20"/>
          <w:szCs w:val="20"/>
        </w:rPr>
        <w:t>mld</w:t>
      </w:r>
      <w:r w:rsidR="001E7B5E">
        <w:rPr>
          <w:rFonts w:ascii="Times New Roman" w:hAnsi="Times New Roman" w:cs="Arial"/>
          <w:sz w:val="20"/>
          <w:szCs w:val="20"/>
        </w:rPr>
        <w:t> </w:t>
      </w:r>
      <w:r w:rsidR="00B24C3B" w:rsidRPr="00162B16">
        <w:rPr>
          <w:rFonts w:ascii="Times New Roman" w:hAnsi="Times New Roman" w:cs="Arial"/>
          <w:sz w:val="20"/>
          <w:szCs w:val="20"/>
        </w:rPr>
        <w:t>zł (</w:t>
      </w:r>
      <w:r w:rsidR="00306773">
        <w:rPr>
          <w:rFonts w:ascii="Times New Roman" w:hAnsi="Times New Roman" w:cs="Arial"/>
          <w:sz w:val="20"/>
          <w:szCs w:val="20"/>
        </w:rPr>
        <w:t>-4,9</w:t>
      </w:r>
      <w:r w:rsidR="00D55ED6" w:rsidRPr="00162B16">
        <w:rPr>
          <w:rFonts w:ascii="Times New Roman" w:hAnsi="Times New Roman" w:cs="Arial"/>
          <w:sz w:val="20"/>
          <w:szCs w:val="20"/>
        </w:rPr>
        <w:t>%</w:t>
      </w:r>
      <w:r w:rsidR="00767350" w:rsidRPr="00162B16">
        <w:rPr>
          <w:rFonts w:ascii="Times New Roman" w:hAnsi="Times New Roman" w:cs="Arial"/>
          <w:sz w:val="20"/>
          <w:szCs w:val="20"/>
        </w:rPr>
        <w:t xml:space="preserve"> </w:t>
      </w:r>
      <w:r w:rsidR="00D55ED6" w:rsidRPr="00162B16">
        <w:rPr>
          <w:rFonts w:ascii="Times New Roman" w:hAnsi="Times New Roman" w:cs="Arial"/>
          <w:sz w:val="20"/>
          <w:szCs w:val="20"/>
        </w:rPr>
        <w:t xml:space="preserve">PKB).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55ED6" w:rsidRPr="00306773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D55ED6" w:rsidRPr="00950297" w:rsidRDefault="00D55ED6" w:rsidP="00415A43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9502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9502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9502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Wynik sektora instytucji rządowych i samorządowych ( w % PKB).</w:t>
            </w:r>
          </w:p>
        </w:tc>
      </w:tr>
      <w:tr w:rsidR="00D55ED6" w:rsidRPr="00306773" w:rsidTr="002A20F0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D55ED6" w:rsidRPr="00950297" w:rsidRDefault="00950297" w:rsidP="00415A43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1544FF99" wp14:editId="1F215B80">
                  <wp:extent cx="2842260" cy="2065020"/>
                  <wp:effectExtent l="0" t="0" r="0" b="0"/>
                  <wp:docPr id="5" name="Obraz 5" descr="Wykres prezentuje wynik sektora instytucji rządowych i samorządowych w % PKB: wynik, wynik pierwotny i wynik w ujęciu roku płynnego w okresie od I kwartału 2019 do IV kwartału 2021 roku. Dane szczegółowe dostępne w Aneksie statystycznym, na końcu opracowania." title="Wykres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06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ED6" w:rsidRPr="00306773" w:rsidTr="00415A43">
        <w:tc>
          <w:tcPr>
            <w:tcW w:w="4680" w:type="dxa"/>
          </w:tcPr>
          <w:p w:rsidR="00D55ED6" w:rsidRPr="00950297" w:rsidRDefault="00D55ED6" w:rsidP="00415A43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950297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950297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Dane Eurostat, GUS, obliczenia własne</w:t>
            </w:r>
          </w:p>
        </w:tc>
      </w:tr>
    </w:tbl>
    <w:p w:rsidR="002460E7" w:rsidRPr="00717F0C" w:rsidRDefault="002460E7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3" w:name="_Toc105157403"/>
      <w:r w:rsidRPr="00717F0C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717F0C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717F0C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3"/>
    </w:p>
    <w:p w:rsidR="00562706" w:rsidRPr="00717F0C" w:rsidRDefault="0020557E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717F0C">
        <w:rPr>
          <w:rFonts w:ascii="Times New Roman" w:hAnsi="Times New Roman"/>
          <w:bCs/>
          <w:sz w:val="20"/>
          <w:szCs w:val="20"/>
        </w:rPr>
        <w:t>W IV</w:t>
      </w:r>
      <w:r w:rsidR="0072464B" w:rsidRPr="00717F0C">
        <w:rPr>
          <w:rFonts w:ascii="Times New Roman" w:hAnsi="Times New Roman"/>
          <w:bCs/>
          <w:sz w:val="20"/>
          <w:szCs w:val="20"/>
        </w:rPr>
        <w:t xml:space="preserve"> kw.</w:t>
      </w:r>
      <w:r w:rsidR="00717F0C" w:rsidRPr="00717F0C">
        <w:rPr>
          <w:rFonts w:ascii="Times New Roman" w:hAnsi="Times New Roman"/>
          <w:bCs/>
          <w:sz w:val="20"/>
          <w:szCs w:val="20"/>
        </w:rPr>
        <w:t xml:space="preserve"> 2021</w:t>
      </w:r>
      <w:r w:rsidR="002826C7" w:rsidRPr="00717F0C">
        <w:rPr>
          <w:rFonts w:ascii="Times New Roman" w:hAnsi="Times New Roman"/>
          <w:bCs/>
          <w:sz w:val="20"/>
          <w:szCs w:val="20"/>
        </w:rPr>
        <w:t xml:space="preserve"> r. dochody sektora</w:t>
      </w:r>
      <w:r w:rsidR="0072464B" w:rsidRPr="00717F0C">
        <w:rPr>
          <w:rFonts w:ascii="Times New Roman" w:hAnsi="Times New Roman"/>
          <w:bCs/>
          <w:sz w:val="20"/>
          <w:szCs w:val="20"/>
        </w:rPr>
        <w:t xml:space="preserve"> instytucji rządowych i </w:t>
      </w:r>
      <w:r w:rsidR="002826C7" w:rsidRPr="00717F0C">
        <w:rPr>
          <w:rFonts w:ascii="Times New Roman" w:hAnsi="Times New Roman"/>
          <w:bCs/>
          <w:sz w:val="20"/>
          <w:szCs w:val="20"/>
        </w:rPr>
        <w:t>samorządowych</w:t>
      </w:r>
      <w:r w:rsidRPr="00717F0C">
        <w:rPr>
          <w:rFonts w:ascii="Times New Roman" w:hAnsi="Times New Roman"/>
          <w:bCs/>
          <w:sz w:val="20"/>
          <w:szCs w:val="20"/>
        </w:rPr>
        <w:t xml:space="preserve"> (</w:t>
      </w:r>
      <w:r w:rsidR="00092DA3" w:rsidRPr="00717F0C">
        <w:rPr>
          <w:rFonts w:ascii="Times New Roman" w:hAnsi="Times New Roman"/>
          <w:bCs/>
          <w:sz w:val="20"/>
          <w:szCs w:val="20"/>
        </w:rPr>
        <w:t xml:space="preserve">wg zasad ESA2010) wyniosły </w:t>
      </w:r>
      <w:r w:rsidR="00717F0C" w:rsidRPr="00717F0C">
        <w:rPr>
          <w:rFonts w:ascii="Times New Roman" w:hAnsi="Times New Roman"/>
          <w:bCs/>
          <w:sz w:val="20"/>
          <w:szCs w:val="20"/>
        </w:rPr>
        <w:t>311,0</w:t>
      </w:r>
      <w:r w:rsidR="0072464B" w:rsidRPr="00717F0C">
        <w:rPr>
          <w:rFonts w:ascii="Times New Roman" w:hAnsi="Times New Roman"/>
          <w:bCs/>
          <w:sz w:val="20"/>
          <w:szCs w:val="20"/>
        </w:rPr>
        <w:t> </w:t>
      </w:r>
      <w:r w:rsidR="002826C7" w:rsidRPr="00717F0C">
        <w:rPr>
          <w:rFonts w:ascii="Times New Roman" w:hAnsi="Times New Roman"/>
          <w:bCs/>
          <w:sz w:val="20"/>
          <w:szCs w:val="20"/>
        </w:rPr>
        <w:t>ml</w:t>
      </w:r>
      <w:r w:rsidR="00A43C11" w:rsidRPr="00717F0C">
        <w:rPr>
          <w:rFonts w:ascii="Times New Roman" w:hAnsi="Times New Roman"/>
          <w:bCs/>
          <w:sz w:val="20"/>
          <w:szCs w:val="20"/>
        </w:rPr>
        <w:t>d</w:t>
      </w:r>
      <w:r w:rsidR="002826C7" w:rsidRPr="00717F0C">
        <w:rPr>
          <w:rFonts w:ascii="Times New Roman" w:hAnsi="Times New Roman"/>
          <w:bCs/>
          <w:sz w:val="20"/>
          <w:szCs w:val="20"/>
        </w:rPr>
        <w:t xml:space="preserve"> zł i były </w:t>
      </w:r>
      <w:r w:rsidR="00F0195E" w:rsidRPr="00717F0C">
        <w:rPr>
          <w:rFonts w:ascii="Times New Roman" w:hAnsi="Times New Roman"/>
          <w:bCs/>
          <w:sz w:val="20"/>
          <w:szCs w:val="20"/>
        </w:rPr>
        <w:t>wyższe</w:t>
      </w:r>
      <w:r w:rsidR="002826C7" w:rsidRPr="00717F0C">
        <w:rPr>
          <w:rFonts w:ascii="Times New Roman" w:hAnsi="Times New Roman"/>
          <w:bCs/>
          <w:sz w:val="20"/>
          <w:szCs w:val="20"/>
        </w:rPr>
        <w:t xml:space="preserve"> od wykonania dochodów w</w:t>
      </w:r>
      <w:r w:rsidR="00A700BC" w:rsidRPr="00717F0C">
        <w:rPr>
          <w:rFonts w:ascii="Times New Roman" w:hAnsi="Times New Roman"/>
          <w:bCs/>
          <w:sz w:val="20"/>
          <w:szCs w:val="20"/>
        </w:rPr>
        <w:t> </w:t>
      </w:r>
      <w:r w:rsidR="002826C7" w:rsidRPr="00717F0C">
        <w:rPr>
          <w:rFonts w:ascii="Times New Roman" w:hAnsi="Times New Roman"/>
          <w:bCs/>
          <w:sz w:val="20"/>
          <w:szCs w:val="20"/>
        </w:rPr>
        <w:t>analogicznym</w:t>
      </w:r>
      <w:r w:rsidR="0052514A" w:rsidRPr="00717F0C">
        <w:rPr>
          <w:rFonts w:ascii="Times New Roman" w:hAnsi="Times New Roman"/>
          <w:bCs/>
          <w:sz w:val="20"/>
          <w:szCs w:val="20"/>
        </w:rPr>
        <w:t xml:space="preserve"> okresie roku poprzedniego o </w:t>
      </w:r>
      <w:r w:rsidR="00717F0C" w:rsidRPr="00717F0C">
        <w:rPr>
          <w:rFonts w:ascii="Times New Roman" w:hAnsi="Times New Roman"/>
          <w:bCs/>
          <w:sz w:val="20"/>
          <w:szCs w:val="20"/>
        </w:rPr>
        <w:t>17,5</w:t>
      </w:r>
      <w:r w:rsidR="002826C7" w:rsidRPr="00717F0C">
        <w:rPr>
          <w:rFonts w:ascii="Times New Roman" w:hAnsi="Times New Roman"/>
          <w:bCs/>
          <w:sz w:val="20"/>
          <w:szCs w:val="20"/>
        </w:rPr>
        <w:t>%</w:t>
      </w:r>
      <w:r w:rsidR="0095058D" w:rsidRPr="00717F0C">
        <w:rPr>
          <w:rFonts w:ascii="Times New Roman" w:hAnsi="Times New Roman"/>
          <w:bCs/>
          <w:sz w:val="20"/>
          <w:szCs w:val="20"/>
        </w:rPr>
        <w:t> </w:t>
      </w:r>
      <w:r w:rsidR="0072464B" w:rsidRPr="00717F0C">
        <w:rPr>
          <w:rFonts w:ascii="Times New Roman" w:hAnsi="Times New Roman"/>
          <w:bCs/>
          <w:sz w:val="20"/>
          <w:szCs w:val="20"/>
        </w:rPr>
        <w:t>(r/r)</w:t>
      </w:r>
      <w:r w:rsidR="00162B16" w:rsidRPr="00717F0C">
        <w:rPr>
          <w:rFonts w:ascii="Times New Roman" w:hAnsi="Times New Roman"/>
          <w:bCs/>
          <w:sz w:val="20"/>
          <w:szCs w:val="20"/>
        </w:rPr>
        <w:t xml:space="preserve"> (wzrost relacji o 0,9</w:t>
      </w:r>
      <w:r w:rsidR="00F0195E" w:rsidRPr="00717F0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F0195E" w:rsidRPr="00717F0C">
        <w:rPr>
          <w:rFonts w:ascii="Times New Roman" w:hAnsi="Times New Roman"/>
          <w:bCs/>
          <w:sz w:val="20"/>
          <w:szCs w:val="20"/>
        </w:rPr>
        <w:t>pp</w:t>
      </w:r>
      <w:proofErr w:type="spellEnd"/>
      <w:r w:rsidR="00F0195E" w:rsidRPr="00717F0C">
        <w:rPr>
          <w:rFonts w:ascii="Times New Roman" w:hAnsi="Times New Roman"/>
          <w:bCs/>
          <w:sz w:val="20"/>
          <w:szCs w:val="20"/>
        </w:rPr>
        <w:t xml:space="preserve"> PKB</w:t>
      </w:r>
      <w:r w:rsidR="003E77B8" w:rsidRPr="00717F0C">
        <w:rPr>
          <w:rFonts w:ascii="Times New Roman" w:hAnsi="Times New Roman"/>
          <w:bCs/>
          <w:sz w:val="20"/>
          <w:szCs w:val="20"/>
        </w:rPr>
        <w:t>). Wzrost wpływów z</w:t>
      </w:r>
      <w:r w:rsidR="004E1DDD" w:rsidRPr="00717F0C">
        <w:rPr>
          <w:rFonts w:ascii="Times New Roman" w:hAnsi="Times New Roman"/>
          <w:bCs/>
          <w:sz w:val="20"/>
          <w:szCs w:val="20"/>
        </w:rPr>
        <w:t> </w:t>
      </w:r>
      <w:r w:rsidR="003E77B8" w:rsidRPr="00717F0C">
        <w:rPr>
          <w:rFonts w:ascii="Times New Roman" w:hAnsi="Times New Roman"/>
          <w:bCs/>
          <w:sz w:val="20"/>
          <w:szCs w:val="20"/>
        </w:rPr>
        <w:t>podatków</w:t>
      </w:r>
      <w:r w:rsidR="0095058D" w:rsidRPr="00717F0C">
        <w:rPr>
          <w:rFonts w:ascii="Times New Roman" w:hAnsi="Times New Roman"/>
          <w:bCs/>
          <w:sz w:val="20"/>
          <w:szCs w:val="20"/>
        </w:rPr>
        <w:t>, które mają największy udzia</w:t>
      </w:r>
      <w:r w:rsidR="00424B41" w:rsidRPr="00717F0C">
        <w:rPr>
          <w:rFonts w:ascii="Times New Roman" w:hAnsi="Times New Roman"/>
          <w:bCs/>
          <w:sz w:val="20"/>
          <w:szCs w:val="20"/>
        </w:rPr>
        <w:t>ł w </w:t>
      </w:r>
      <w:r w:rsidR="0095058D" w:rsidRPr="00717F0C">
        <w:rPr>
          <w:rFonts w:ascii="Times New Roman" w:hAnsi="Times New Roman"/>
          <w:bCs/>
          <w:sz w:val="20"/>
          <w:szCs w:val="20"/>
        </w:rPr>
        <w:t>dochodach</w:t>
      </w:r>
      <w:r w:rsidR="003E77B8" w:rsidRPr="00717F0C">
        <w:rPr>
          <w:rFonts w:ascii="Times New Roman" w:hAnsi="Times New Roman"/>
          <w:bCs/>
          <w:sz w:val="20"/>
          <w:szCs w:val="20"/>
        </w:rPr>
        <w:t xml:space="preserve"> wyniósł</w:t>
      </w:r>
      <w:r w:rsidR="0095058D" w:rsidRPr="00717F0C">
        <w:rPr>
          <w:rFonts w:ascii="Times New Roman" w:hAnsi="Times New Roman"/>
          <w:bCs/>
          <w:sz w:val="20"/>
          <w:szCs w:val="20"/>
        </w:rPr>
        <w:t xml:space="preserve"> </w:t>
      </w:r>
      <w:r w:rsidR="00717F0C" w:rsidRPr="00717F0C">
        <w:rPr>
          <w:rFonts w:ascii="Times New Roman" w:hAnsi="Times New Roman"/>
          <w:bCs/>
          <w:sz w:val="20"/>
          <w:szCs w:val="20"/>
        </w:rPr>
        <w:t>22,4</w:t>
      </w:r>
      <w:r w:rsidR="003E77B8" w:rsidRPr="00717F0C">
        <w:rPr>
          <w:rFonts w:ascii="Times New Roman" w:hAnsi="Times New Roman"/>
          <w:bCs/>
          <w:sz w:val="20"/>
          <w:szCs w:val="20"/>
        </w:rPr>
        <w:t>% (r/r)</w:t>
      </w:r>
      <w:r w:rsidR="004E1DDD" w:rsidRPr="00717F0C">
        <w:rPr>
          <w:rFonts w:ascii="Times New Roman" w:hAnsi="Times New Roman"/>
          <w:bCs/>
          <w:sz w:val="20"/>
          <w:szCs w:val="20"/>
        </w:rPr>
        <w:t xml:space="preserve"> tj. powyżej wzrostu dochodów ogółem</w:t>
      </w:r>
      <w:r w:rsidR="003E77B8" w:rsidRPr="00717F0C">
        <w:rPr>
          <w:rFonts w:ascii="Times New Roman" w:hAnsi="Times New Roman"/>
          <w:bCs/>
          <w:sz w:val="20"/>
          <w:szCs w:val="20"/>
        </w:rPr>
        <w:t>.</w:t>
      </w:r>
    </w:p>
    <w:p w:rsidR="00BD7199" w:rsidRPr="00306773" w:rsidRDefault="00424B41" w:rsidP="00BD7199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cyan"/>
        </w:rPr>
      </w:pPr>
      <w:r w:rsidRPr="00717F0C">
        <w:rPr>
          <w:rFonts w:ascii="Times New Roman" w:hAnsi="Times New Roman"/>
          <w:bCs/>
          <w:sz w:val="20"/>
          <w:szCs w:val="20"/>
        </w:rPr>
        <w:t xml:space="preserve">Dochody z tytułu składek na ubezpieczenie społeczne </w:t>
      </w:r>
      <w:r w:rsidR="0095332B" w:rsidRPr="00717F0C">
        <w:rPr>
          <w:rFonts w:ascii="Times New Roman" w:hAnsi="Times New Roman"/>
          <w:bCs/>
          <w:sz w:val="20"/>
          <w:szCs w:val="20"/>
        </w:rPr>
        <w:t>w </w:t>
      </w:r>
      <w:r w:rsidR="00D95ADB" w:rsidRPr="00717F0C">
        <w:rPr>
          <w:rFonts w:ascii="Times New Roman" w:hAnsi="Times New Roman"/>
          <w:bCs/>
          <w:sz w:val="20"/>
          <w:szCs w:val="20"/>
        </w:rPr>
        <w:t xml:space="preserve">podsektorze ubezpieczeń społecznych </w:t>
      </w:r>
      <w:r w:rsidRPr="00717F0C">
        <w:rPr>
          <w:rFonts w:ascii="Times New Roman" w:hAnsi="Times New Roman"/>
          <w:bCs/>
          <w:sz w:val="20"/>
          <w:szCs w:val="20"/>
        </w:rPr>
        <w:t xml:space="preserve">wg zasad ESA2010 </w:t>
      </w:r>
      <w:r w:rsidR="00717F0C" w:rsidRPr="00717F0C">
        <w:rPr>
          <w:rFonts w:ascii="Times New Roman" w:hAnsi="Times New Roman"/>
          <w:bCs/>
          <w:sz w:val="20"/>
          <w:szCs w:val="20"/>
        </w:rPr>
        <w:t>w IV kw. 2021 r. były wyższe o 9,8</w:t>
      </w:r>
      <w:r w:rsidR="00BE2444" w:rsidRPr="00717F0C">
        <w:rPr>
          <w:rFonts w:ascii="Times New Roman" w:hAnsi="Times New Roman"/>
          <w:bCs/>
          <w:sz w:val="20"/>
          <w:szCs w:val="20"/>
        </w:rPr>
        <w:t>% r/r</w:t>
      </w:r>
      <w:r w:rsidR="007902F1" w:rsidRPr="00717F0C">
        <w:rPr>
          <w:rFonts w:ascii="Times New Roman" w:hAnsi="Times New Roman"/>
          <w:bCs/>
          <w:sz w:val="20"/>
          <w:szCs w:val="20"/>
        </w:rPr>
        <w:t>, podczas gdy t</w:t>
      </w:r>
      <w:r w:rsidR="00026048" w:rsidRPr="00717F0C">
        <w:rPr>
          <w:rFonts w:ascii="Times New Roman" w:hAnsi="Times New Roman"/>
          <w:bCs/>
          <w:sz w:val="20"/>
          <w:szCs w:val="20"/>
        </w:rPr>
        <w:t>empo</w:t>
      </w:r>
      <w:r w:rsidR="00BD7199" w:rsidRPr="00717F0C">
        <w:rPr>
          <w:rFonts w:ascii="Times New Roman" w:hAnsi="Times New Roman"/>
          <w:bCs/>
          <w:sz w:val="20"/>
          <w:szCs w:val="20"/>
        </w:rPr>
        <w:t xml:space="preserve"> wzrostu funduszu wynagrodzeń w gospodarce narodowej (bez tzw. jednostek małych</w:t>
      </w:r>
      <w:r w:rsidR="00717F0C" w:rsidRPr="00717F0C">
        <w:rPr>
          <w:rFonts w:ascii="Times New Roman" w:hAnsi="Times New Roman"/>
          <w:bCs/>
          <w:sz w:val="20"/>
          <w:szCs w:val="20"/>
        </w:rPr>
        <w:t>) w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="00717F0C" w:rsidRPr="00717F0C">
        <w:rPr>
          <w:rFonts w:ascii="Times New Roman" w:hAnsi="Times New Roman"/>
          <w:bCs/>
          <w:sz w:val="20"/>
          <w:szCs w:val="20"/>
        </w:rPr>
        <w:t xml:space="preserve">omawianym okresie </w:t>
      </w:r>
      <w:r w:rsidR="00717F0C" w:rsidRPr="00E95478">
        <w:rPr>
          <w:rFonts w:ascii="Times New Roman" w:hAnsi="Times New Roman"/>
          <w:bCs/>
          <w:sz w:val="20"/>
          <w:szCs w:val="20"/>
        </w:rPr>
        <w:t>wyniosło 10</w:t>
      </w:r>
      <w:r w:rsidR="00E95478" w:rsidRPr="00E95478">
        <w:rPr>
          <w:rFonts w:ascii="Times New Roman" w:hAnsi="Times New Roman"/>
          <w:bCs/>
          <w:sz w:val="20"/>
          <w:szCs w:val="20"/>
        </w:rPr>
        <w:t>,8</w:t>
      </w:r>
      <w:r w:rsidR="00BD7199" w:rsidRPr="00E95478">
        <w:rPr>
          <w:rFonts w:ascii="Times New Roman" w:hAnsi="Times New Roman"/>
          <w:bCs/>
          <w:sz w:val="20"/>
          <w:szCs w:val="20"/>
        </w:rPr>
        <w:t xml:space="preserve">% r/r. </w:t>
      </w:r>
    </w:p>
    <w:p w:rsidR="00424B41" w:rsidRPr="00162B16" w:rsidRDefault="00424B41" w:rsidP="00424B4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162B16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950297" w:rsidRDefault="00CE4AD9" w:rsidP="00950297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95029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 w:rsidR="009E157D" w:rsidRPr="0095029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2</w:t>
            </w:r>
            <w:r w:rsidRPr="0095029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Struktura dochodów sektora instytucji rządowy</w:t>
            </w:r>
            <w:r w:rsidR="00844B6E" w:rsidRPr="0095029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ch i </w:t>
            </w:r>
            <w:r w:rsidR="002271C6" w:rsidRPr="0095029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samorządowych w IV kw. 202</w:t>
            </w:r>
            <w:r w:rsidR="00950297" w:rsidRPr="0095029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1</w:t>
            </w:r>
            <w:r w:rsidRPr="0095029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E4AD9" w:rsidRPr="00162B16" w:rsidTr="00D77324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950297" w:rsidRDefault="00950297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950297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20675538" wp14:editId="2492970C">
                  <wp:extent cx="2933844" cy="1800313"/>
                  <wp:effectExtent l="0" t="0" r="0" b="9525"/>
                  <wp:docPr id="12" name="Obraz 12" descr="Wykres przedstawia strukturę dochodów sektora instytucji rządowych i samorządowych w IV kwartale 2021 roku w podziale na: składki na ubezpieczenia społeczne 30,2%, VAT 22,2%; pozostałe podatki 20,7%, podatki dochodowe 14,8%, inne 12,1%." title="Wykres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350" cy="1811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162B16" w:rsidTr="00415A43">
        <w:tc>
          <w:tcPr>
            <w:tcW w:w="4680" w:type="dxa"/>
          </w:tcPr>
          <w:p w:rsidR="00CE4AD9" w:rsidRPr="00950297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950297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556604" w:rsidRPr="00DA636C" w:rsidRDefault="00306773" w:rsidP="00556604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06773">
        <w:rPr>
          <w:rFonts w:ascii="Times New Roman" w:hAnsi="Times New Roman"/>
          <w:bCs/>
          <w:sz w:val="20"/>
          <w:szCs w:val="20"/>
        </w:rPr>
        <w:t>Dochody sektora instytucji rządowych i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Pr="00306773">
        <w:rPr>
          <w:rFonts w:ascii="Times New Roman" w:hAnsi="Times New Roman"/>
          <w:bCs/>
          <w:sz w:val="20"/>
          <w:szCs w:val="20"/>
        </w:rPr>
        <w:t>samorządowych z PIT, wg zasad ESA2010, wyniosły w IV kw. 202</w:t>
      </w:r>
      <w:r>
        <w:rPr>
          <w:rFonts w:ascii="Times New Roman" w:hAnsi="Times New Roman"/>
          <w:bCs/>
          <w:sz w:val="20"/>
          <w:szCs w:val="20"/>
        </w:rPr>
        <w:t>1</w:t>
      </w:r>
      <w:r w:rsidRPr="00306773">
        <w:rPr>
          <w:rFonts w:ascii="Times New Roman" w:hAnsi="Times New Roman"/>
          <w:bCs/>
          <w:sz w:val="20"/>
          <w:szCs w:val="20"/>
        </w:rPr>
        <w:t xml:space="preserve"> r. 43,0 mld zł i były wyższe o 15,6% r/r. Szacuje się, że nominalne tempo wzrostu funduszu wynagrodzeń w sektorze przedsiębiorstw oraz emerytur i rent w IV kw. 2021 r. wyniosło 8,7% r/r. Wpływy z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Pr="00306773">
        <w:rPr>
          <w:rFonts w:ascii="Times New Roman" w:hAnsi="Times New Roman"/>
          <w:bCs/>
          <w:sz w:val="20"/>
          <w:szCs w:val="20"/>
        </w:rPr>
        <w:t>PIT od podatników rozliczających się według skali podatkowej w IV kwartale 2021 r. wzrosły o 19,4%, natomiast od podatników rozliczających się na podatku liniowym o 4,7% r/r. Wpływy z ryczałtu od przychodów ewidencjonowanych wzrosły o 45,6%, natomiast z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Pr="00306773">
        <w:rPr>
          <w:rFonts w:ascii="Times New Roman" w:hAnsi="Times New Roman"/>
          <w:bCs/>
          <w:sz w:val="20"/>
          <w:szCs w:val="20"/>
        </w:rPr>
        <w:t>pozostałych ryczałtów (wraz z ryczałtem od odsetek) o 36,1%.</w:t>
      </w:r>
      <w:r w:rsidR="00556604" w:rsidRPr="00DA636C">
        <w:rPr>
          <w:rFonts w:ascii="Times New Roman" w:hAnsi="Times New Roman"/>
          <w:bCs/>
          <w:sz w:val="20"/>
          <w:szCs w:val="20"/>
        </w:rPr>
        <w:t xml:space="preserve"> </w:t>
      </w:r>
    </w:p>
    <w:p w:rsidR="00C444FD" w:rsidRPr="00306773" w:rsidRDefault="002F7D61" w:rsidP="00C444FD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  <w:highlight w:val="cyan"/>
        </w:rPr>
      </w:pPr>
      <w:r w:rsidRPr="002F7D61">
        <w:rPr>
          <w:rFonts w:ascii="Times New Roman" w:hAnsi="Times New Roman"/>
          <w:bCs/>
          <w:sz w:val="20"/>
          <w:szCs w:val="20"/>
        </w:rPr>
        <w:t>Dochody sektora instytucji rządowych i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Pr="002F7D61">
        <w:rPr>
          <w:rFonts w:ascii="Times New Roman" w:hAnsi="Times New Roman"/>
          <w:bCs/>
          <w:sz w:val="20"/>
          <w:szCs w:val="20"/>
        </w:rPr>
        <w:t>samorządowych z CIT, wg zasad ESA2010, wyniosły w IV kw. 2021 r. 19,0 mld zł i były wyższe o 39,8% r/r. W IV kw. 2021 r. polepszyła się sytuacja przedsiębiorców. Według GUS wynik finansowy brutto przedsiębiorstw niefinansowych zwiększył się o 90,3% r/r, a zysk brutto tych podmiotów wzrósł o 69,9% r/r. Wpływy od banków i pozostałych instytucji finansowych spadły o 17,7% r/r, a wpływy od pozostałych przedsiębiorstw wzrosły o 45,6% r/r. Wynik finansowy brutto banków wg Komisji Nadzoru Finansowego w ostatnim kwartale 2021 r. wzrósł o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Pr="002F7D61">
        <w:rPr>
          <w:rFonts w:ascii="Times New Roman" w:hAnsi="Times New Roman"/>
          <w:bCs/>
          <w:sz w:val="20"/>
          <w:szCs w:val="20"/>
        </w:rPr>
        <w:t xml:space="preserve">121,5% r/r. Należy mieć jednak na uwadze, że tak wysoki wzrost wynika z efektu bazy z uwagi </w:t>
      </w:r>
      <w:r w:rsidR="001E7B5E">
        <w:rPr>
          <w:rFonts w:ascii="Times New Roman" w:hAnsi="Times New Roman"/>
          <w:bCs/>
          <w:sz w:val="20"/>
          <w:szCs w:val="20"/>
        </w:rPr>
        <w:t xml:space="preserve">na </w:t>
      </w:r>
      <w:r w:rsidRPr="002F7D61">
        <w:rPr>
          <w:rFonts w:ascii="Times New Roman" w:hAnsi="Times New Roman"/>
          <w:bCs/>
          <w:sz w:val="20"/>
          <w:szCs w:val="20"/>
        </w:rPr>
        <w:t>bardzo niskie wyniki w IV kw. 2020 r. m.in. z powodu tworzenia rezerw zawiązanych na ryzyko związane ze skutkami pandemii Covid-19 oraz na walutowe kredyty hipoteczne.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801B07" w:rsidRPr="00162B16" w:rsidTr="008A67CE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801B07" w:rsidRPr="002F7D61" w:rsidRDefault="00801B07" w:rsidP="00796336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2F7D6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3. Dyna</w:t>
            </w:r>
            <w:r w:rsidR="00796336" w:rsidRPr="002F7D6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mika wpływów z podatku VAT (w %</w:t>
            </w:r>
            <w:r w:rsidRPr="002F7D6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).</w:t>
            </w:r>
          </w:p>
        </w:tc>
      </w:tr>
      <w:tr w:rsidR="00801B07" w:rsidRPr="00162B16" w:rsidTr="008A67CE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801B07" w:rsidRPr="002F7D61" w:rsidRDefault="00B943E8" w:rsidP="008A67C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0F6EE454">
                  <wp:extent cx="2853055" cy="2054225"/>
                  <wp:effectExtent l="0" t="0" r="4445" b="0"/>
                  <wp:docPr id="21" name="Obraz 21" descr="Wykres prezentuje dynamikę memoriałowych wpływów z podatku VAT r/r  w okresie od I kwartału 2019 do IV kwartału 2021 roku. Dane szczegółowe dostępne w Aneksie statystycznym, na końcu opracowania." title="Wykre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B07" w:rsidRPr="00162B16" w:rsidTr="008A67CE">
        <w:tc>
          <w:tcPr>
            <w:tcW w:w="4680" w:type="dxa"/>
          </w:tcPr>
          <w:p w:rsidR="00801B07" w:rsidRPr="002F7D61" w:rsidRDefault="00F66E37" w:rsidP="008A67C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2F7D6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 </w:t>
            </w:r>
            <w:r w:rsidR="00801B07" w:rsidRPr="002F7D6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="00801B07" w:rsidRPr="002F7D61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MF</w:t>
            </w:r>
          </w:p>
        </w:tc>
      </w:tr>
    </w:tbl>
    <w:p w:rsidR="00123CD7" w:rsidRPr="00123CD7" w:rsidRDefault="00123CD7" w:rsidP="00123CD7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123CD7">
        <w:rPr>
          <w:rFonts w:ascii="Times New Roman" w:hAnsi="Times New Roman"/>
          <w:bCs/>
          <w:sz w:val="20"/>
          <w:szCs w:val="20"/>
        </w:rPr>
        <w:t>Dochody z tytułu podatku VAT, wg zasad ESA2010, w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Pr="00123CD7">
        <w:rPr>
          <w:rFonts w:ascii="Times New Roman" w:hAnsi="Times New Roman"/>
          <w:bCs/>
          <w:sz w:val="20"/>
          <w:szCs w:val="20"/>
        </w:rPr>
        <w:t>IV kw. 2021 r. były o 19,2% wyższe niż w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Pr="00123CD7">
        <w:rPr>
          <w:rFonts w:ascii="Times New Roman" w:hAnsi="Times New Roman"/>
          <w:bCs/>
          <w:sz w:val="20"/>
          <w:szCs w:val="20"/>
        </w:rPr>
        <w:t>analogicznym okresie 2020 r. P</w:t>
      </w:r>
      <w:r w:rsidR="002F7D61">
        <w:rPr>
          <w:rFonts w:ascii="Times New Roman" w:hAnsi="Times New Roman"/>
          <w:bCs/>
          <w:sz w:val="20"/>
          <w:szCs w:val="20"/>
        </w:rPr>
        <w:t>rodukcja sprzedana w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="002F7D61">
        <w:rPr>
          <w:rFonts w:ascii="Times New Roman" w:hAnsi="Times New Roman"/>
          <w:bCs/>
          <w:sz w:val="20"/>
          <w:szCs w:val="20"/>
        </w:rPr>
        <w:t>IV kw. 2021</w:t>
      </w:r>
      <w:r w:rsidRPr="00123CD7">
        <w:rPr>
          <w:rFonts w:ascii="Times New Roman" w:hAnsi="Times New Roman"/>
          <w:bCs/>
          <w:sz w:val="20"/>
          <w:szCs w:val="20"/>
        </w:rPr>
        <w:t xml:space="preserve"> r. wzrosła nominalnie o 27,1% r/r, a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Pr="00123CD7">
        <w:rPr>
          <w:rFonts w:ascii="Times New Roman" w:hAnsi="Times New Roman"/>
          <w:bCs/>
          <w:sz w:val="20"/>
          <w:szCs w:val="20"/>
        </w:rPr>
        <w:t>sprzedaż detaliczna wzrosła realnie o 10,0% r/r.</w:t>
      </w:r>
    </w:p>
    <w:p w:rsidR="00DA636C" w:rsidRPr="00306773" w:rsidRDefault="00123CD7" w:rsidP="00123CD7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cyan"/>
        </w:rPr>
      </w:pPr>
      <w:r w:rsidRPr="00123CD7">
        <w:rPr>
          <w:rFonts w:ascii="Times New Roman" w:hAnsi="Times New Roman"/>
          <w:bCs/>
          <w:sz w:val="20"/>
          <w:szCs w:val="20"/>
        </w:rPr>
        <w:t>Dochody z akcyzy, wg zasad ESA2010, wyniosły w IV kw. 2021 r. 20,4,1 mld zł i były wyższe o 13,2% r/r. Dochody z akcyzy od paliw silnikowych wzrosły o 11,2% r/r), od wyrobów tytoniowych o 15,1% r/r, od alkoholu etylowego o 12,6% r/r, od piwa o 11,2% r/r, samochodów osobowych o 10,1% r/r)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EF223A" w:rsidRPr="0021158F" w:rsidRDefault="00903C82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4" w:name="_Toc105157404"/>
      <w:r w:rsidRPr="0021158F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21158F">
        <w:rPr>
          <w:rFonts w:ascii="Arial" w:hAnsi="Arial" w:cs="Arial"/>
          <w:i w:val="0"/>
          <w:color w:val="E31837"/>
          <w:sz w:val="20"/>
          <w:szCs w:val="20"/>
        </w:rPr>
        <w:t>3</w:t>
      </w:r>
      <w:r w:rsidRPr="0021158F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4"/>
    </w:p>
    <w:p w:rsidR="00EF223A" w:rsidRPr="00651A03" w:rsidRDefault="0020557E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51A03">
        <w:rPr>
          <w:rFonts w:ascii="Times New Roman" w:hAnsi="Times New Roman"/>
          <w:bCs/>
          <w:sz w:val="20"/>
          <w:szCs w:val="20"/>
        </w:rPr>
        <w:t>W IV</w:t>
      </w:r>
      <w:r w:rsidR="00F15FF6" w:rsidRPr="00651A03">
        <w:rPr>
          <w:rFonts w:ascii="Times New Roman" w:hAnsi="Times New Roman"/>
          <w:bCs/>
          <w:sz w:val="20"/>
          <w:szCs w:val="20"/>
        </w:rPr>
        <w:t xml:space="preserve"> kw</w:t>
      </w:r>
      <w:r w:rsidR="003B2E14" w:rsidRPr="00651A03">
        <w:rPr>
          <w:rFonts w:ascii="Times New Roman" w:hAnsi="Times New Roman"/>
          <w:bCs/>
          <w:sz w:val="20"/>
          <w:szCs w:val="20"/>
        </w:rPr>
        <w:t>.</w:t>
      </w:r>
      <w:r w:rsidR="00AC50DB" w:rsidRPr="00651A03">
        <w:rPr>
          <w:rFonts w:ascii="Times New Roman" w:hAnsi="Times New Roman"/>
          <w:bCs/>
          <w:sz w:val="20"/>
          <w:szCs w:val="20"/>
        </w:rPr>
        <w:t xml:space="preserve"> 2021</w:t>
      </w:r>
      <w:r w:rsidR="00F15FF6" w:rsidRPr="00651A03">
        <w:rPr>
          <w:rFonts w:ascii="Times New Roman" w:hAnsi="Times New Roman"/>
          <w:bCs/>
          <w:sz w:val="20"/>
          <w:szCs w:val="20"/>
        </w:rPr>
        <w:t xml:space="preserve"> r. wydatki sektora instytucji rządowych i</w:t>
      </w:r>
      <w:r w:rsidR="00F142BF" w:rsidRPr="00651A03">
        <w:rPr>
          <w:rFonts w:ascii="Times New Roman" w:hAnsi="Times New Roman"/>
          <w:bCs/>
          <w:sz w:val="20"/>
          <w:szCs w:val="20"/>
        </w:rPr>
        <w:t> </w:t>
      </w:r>
      <w:r w:rsidR="00F15FF6" w:rsidRPr="00651A03">
        <w:rPr>
          <w:rFonts w:ascii="Times New Roman" w:hAnsi="Times New Roman"/>
          <w:bCs/>
          <w:sz w:val="20"/>
          <w:szCs w:val="20"/>
        </w:rPr>
        <w:t>samorządowych (wg zasad ES</w:t>
      </w:r>
      <w:r w:rsidR="00AC50DB" w:rsidRPr="00651A03">
        <w:rPr>
          <w:rFonts w:ascii="Times New Roman" w:hAnsi="Times New Roman"/>
          <w:bCs/>
          <w:sz w:val="20"/>
          <w:szCs w:val="20"/>
        </w:rPr>
        <w:t>A2010) wyniosły 354,2</w:t>
      </w:r>
      <w:r w:rsidR="003B2E14" w:rsidRPr="00651A03">
        <w:rPr>
          <w:rFonts w:ascii="Times New Roman" w:hAnsi="Times New Roman"/>
          <w:bCs/>
          <w:sz w:val="20"/>
          <w:szCs w:val="20"/>
        </w:rPr>
        <w:t> </w:t>
      </w:r>
      <w:r w:rsidRPr="00651A03">
        <w:rPr>
          <w:rFonts w:ascii="Times New Roman" w:hAnsi="Times New Roman"/>
          <w:bCs/>
          <w:sz w:val="20"/>
          <w:szCs w:val="20"/>
        </w:rPr>
        <w:t xml:space="preserve">mld zł i były </w:t>
      </w:r>
      <w:r w:rsidR="00AC50DB" w:rsidRPr="00651A03">
        <w:rPr>
          <w:rFonts w:ascii="Times New Roman" w:hAnsi="Times New Roman"/>
          <w:bCs/>
          <w:sz w:val="20"/>
          <w:szCs w:val="20"/>
        </w:rPr>
        <w:t>wyższe o 15,4</w:t>
      </w:r>
      <w:r w:rsidR="00F15FF6" w:rsidRPr="00651A03">
        <w:rPr>
          <w:rFonts w:ascii="Times New Roman" w:hAnsi="Times New Roman"/>
          <w:bCs/>
          <w:sz w:val="20"/>
          <w:szCs w:val="20"/>
        </w:rPr>
        <w:t>%</w:t>
      </w:r>
      <w:r w:rsidR="003B2E14" w:rsidRPr="00651A03">
        <w:rPr>
          <w:rFonts w:ascii="Times New Roman" w:hAnsi="Times New Roman"/>
          <w:bCs/>
          <w:sz w:val="20"/>
          <w:szCs w:val="20"/>
        </w:rPr>
        <w:t xml:space="preserve"> r/r</w:t>
      </w:r>
      <w:r w:rsidR="00F15FF6" w:rsidRPr="00651A03">
        <w:rPr>
          <w:rFonts w:ascii="Times New Roman" w:hAnsi="Times New Roman"/>
          <w:bCs/>
          <w:sz w:val="20"/>
          <w:szCs w:val="20"/>
        </w:rPr>
        <w:t>. Największy udział w wydatkach sektora instytucji rządowych i</w:t>
      </w:r>
      <w:r w:rsidR="00F142BF" w:rsidRPr="00651A03">
        <w:rPr>
          <w:rFonts w:ascii="Times New Roman" w:hAnsi="Times New Roman"/>
          <w:bCs/>
          <w:sz w:val="20"/>
          <w:szCs w:val="20"/>
        </w:rPr>
        <w:t> </w:t>
      </w:r>
      <w:r w:rsidR="00F15FF6" w:rsidRPr="00651A03">
        <w:rPr>
          <w:rFonts w:ascii="Times New Roman" w:hAnsi="Times New Roman"/>
          <w:bCs/>
          <w:sz w:val="20"/>
          <w:szCs w:val="20"/>
        </w:rPr>
        <w:t xml:space="preserve">samorządowych mają świadczenia społeczne, wydatki na wynagrodzenia (łącznie ze składkami) oraz wydatki na </w:t>
      </w:r>
      <w:r w:rsidR="000106DF" w:rsidRPr="00651A03">
        <w:rPr>
          <w:rFonts w:ascii="Times New Roman" w:hAnsi="Times New Roman"/>
          <w:bCs/>
          <w:sz w:val="20"/>
          <w:szCs w:val="20"/>
        </w:rPr>
        <w:t>zakup towarów i usług (zużycie pośrednie)</w:t>
      </w:r>
      <w:r w:rsidR="00F15FF6" w:rsidRPr="00651A03">
        <w:rPr>
          <w:rFonts w:ascii="Times New Roman" w:hAnsi="Times New Roman"/>
          <w:bCs/>
          <w:sz w:val="20"/>
          <w:szCs w:val="20"/>
        </w:rPr>
        <w:t>.</w:t>
      </w:r>
    </w:p>
    <w:p w:rsidR="00266236" w:rsidRPr="0021158F" w:rsidRDefault="009E157D" w:rsidP="009E157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9772D">
        <w:rPr>
          <w:rFonts w:ascii="Times New Roman" w:hAnsi="Times New Roman"/>
          <w:bCs/>
          <w:sz w:val="20"/>
          <w:szCs w:val="20"/>
        </w:rPr>
        <w:t>W IV</w:t>
      </w:r>
      <w:r w:rsidR="005456C3" w:rsidRPr="0039772D">
        <w:rPr>
          <w:rFonts w:ascii="Times New Roman" w:hAnsi="Times New Roman"/>
          <w:bCs/>
          <w:sz w:val="20"/>
          <w:szCs w:val="20"/>
        </w:rPr>
        <w:t xml:space="preserve"> kw. 2021</w:t>
      </w:r>
      <w:r w:rsidRPr="0039772D">
        <w:rPr>
          <w:rFonts w:ascii="Times New Roman" w:hAnsi="Times New Roman"/>
          <w:bCs/>
          <w:sz w:val="20"/>
          <w:szCs w:val="20"/>
        </w:rPr>
        <w:t xml:space="preserve"> r. świadczenia socjalne wzrosły nominalnie o </w:t>
      </w:r>
      <w:r w:rsidR="005456C3" w:rsidRPr="0039772D">
        <w:rPr>
          <w:rFonts w:ascii="Times New Roman" w:hAnsi="Times New Roman"/>
          <w:bCs/>
          <w:sz w:val="20"/>
          <w:szCs w:val="20"/>
        </w:rPr>
        <w:t>14,2</w:t>
      </w:r>
      <w:r w:rsidRPr="0039772D">
        <w:rPr>
          <w:rFonts w:ascii="Times New Roman" w:hAnsi="Times New Roman"/>
          <w:bCs/>
          <w:sz w:val="20"/>
          <w:szCs w:val="20"/>
        </w:rPr>
        <w:t>% r/r</w:t>
      </w:r>
      <w:r w:rsidR="00AA6EA7" w:rsidRPr="0039772D">
        <w:rPr>
          <w:rFonts w:ascii="Times New Roman" w:hAnsi="Times New Roman"/>
          <w:bCs/>
          <w:sz w:val="20"/>
          <w:szCs w:val="20"/>
        </w:rPr>
        <w:t>.</w:t>
      </w:r>
      <w:r w:rsidR="00F2737D" w:rsidRPr="0039772D">
        <w:rPr>
          <w:rFonts w:ascii="Times New Roman" w:hAnsi="Times New Roman"/>
          <w:bCs/>
          <w:sz w:val="20"/>
          <w:szCs w:val="20"/>
        </w:rPr>
        <w:t xml:space="preserve"> </w:t>
      </w:r>
      <w:r w:rsidR="00065A29" w:rsidRPr="0039772D">
        <w:rPr>
          <w:rFonts w:ascii="Times New Roman" w:hAnsi="Times New Roman"/>
          <w:bCs/>
          <w:sz w:val="20"/>
          <w:szCs w:val="20"/>
        </w:rPr>
        <w:t>Przeciętny kwartalny fund</w:t>
      </w:r>
      <w:r w:rsidR="008B5EA1" w:rsidRPr="0039772D">
        <w:rPr>
          <w:rFonts w:ascii="Times New Roman" w:hAnsi="Times New Roman"/>
          <w:bCs/>
          <w:sz w:val="20"/>
          <w:szCs w:val="20"/>
        </w:rPr>
        <w:t>usz emerytur i rent wzrósł o 5,9</w:t>
      </w:r>
      <w:r w:rsidR="00065A29" w:rsidRPr="0039772D">
        <w:rPr>
          <w:rFonts w:ascii="Times New Roman" w:hAnsi="Times New Roman"/>
          <w:bCs/>
          <w:sz w:val="20"/>
          <w:szCs w:val="20"/>
        </w:rPr>
        <w:t>% r/r w omawianym okresie.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162B16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950297" w:rsidRDefault="00CE4AD9" w:rsidP="00950297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9502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9502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4</w:t>
            </w:r>
            <w:r w:rsidRPr="009502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Struktura wydatków sektora instytucji rządowych i samorządowych w IV kw. 20</w:t>
            </w:r>
            <w:r w:rsidR="002271C6" w:rsidRPr="009502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2</w:t>
            </w:r>
            <w:r w:rsidR="00950297" w:rsidRPr="009502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9502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E4AD9" w:rsidRPr="00162B16" w:rsidTr="00D55ED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950297" w:rsidRDefault="00950297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950297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3076EE5A" wp14:editId="0A271AFF">
                  <wp:extent cx="2882381" cy="1780983"/>
                  <wp:effectExtent l="0" t="0" r="0" b="0"/>
                  <wp:docPr id="13" name="Obraz 13" descr="Wykres przedstawia strukturę wydatków sektora instytucji rządowych i samorządowych w IV kwartale 2021 roku w podziale na: świadczenia socjale 34,7%, koszty pracy 25,4%, zużycie pośrednie 14,2%, inwestycje 13,3%, odsetki 1,9% i pozostałe 10,4%." title="Wykres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325" cy="1791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162B16" w:rsidTr="00415A43">
        <w:tc>
          <w:tcPr>
            <w:tcW w:w="4680" w:type="dxa"/>
          </w:tcPr>
          <w:p w:rsidR="00CE4AD9" w:rsidRPr="00950297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950297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651A03" w:rsidRDefault="00521EFD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Wysoka dynamika świadczeń socjalnych (znacząco powyżej </w:t>
      </w:r>
      <w:r w:rsidR="00CA5F45">
        <w:rPr>
          <w:rFonts w:ascii="Times New Roman" w:hAnsi="Times New Roman"/>
          <w:bCs/>
          <w:sz w:val="20"/>
          <w:szCs w:val="20"/>
        </w:rPr>
        <w:t xml:space="preserve">tempa wzrostu </w:t>
      </w:r>
      <w:r>
        <w:rPr>
          <w:rFonts w:ascii="Times New Roman" w:hAnsi="Times New Roman"/>
          <w:bCs/>
          <w:sz w:val="20"/>
          <w:szCs w:val="20"/>
        </w:rPr>
        <w:t>funduszu emerytur i rent) wynikała, przede wszystkim, z wypłaty</w:t>
      </w:r>
      <w:r w:rsidRPr="00521EFD">
        <w:rPr>
          <w:rFonts w:ascii="Times New Roman" w:hAnsi="Times New Roman"/>
          <w:bCs/>
          <w:sz w:val="20"/>
          <w:szCs w:val="20"/>
        </w:rPr>
        <w:t xml:space="preserve"> dodatkowe</w:t>
      </w:r>
      <w:r>
        <w:rPr>
          <w:rFonts w:ascii="Times New Roman" w:hAnsi="Times New Roman"/>
          <w:bCs/>
          <w:sz w:val="20"/>
          <w:szCs w:val="20"/>
        </w:rPr>
        <w:t>go</w:t>
      </w:r>
      <w:r w:rsidRPr="00521EFD">
        <w:rPr>
          <w:rFonts w:ascii="Times New Roman" w:hAnsi="Times New Roman"/>
          <w:bCs/>
          <w:sz w:val="20"/>
          <w:szCs w:val="20"/>
        </w:rPr>
        <w:t xml:space="preserve"> roczne</w:t>
      </w:r>
      <w:r>
        <w:rPr>
          <w:rFonts w:ascii="Times New Roman" w:hAnsi="Times New Roman"/>
          <w:bCs/>
          <w:sz w:val="20"/>
          <w:szCs w:val="20"/>
        </w:rPr>
        <w:t>go świadczenia</w:t>
      </w:r>
      <w:r w:rsidRPr="00521EFD">
        <w:rPr>
          <w:rFonts w:ascii="Times New Roman" w:hAnsi="Times New Roman"/>
          <w:bCs/>
          <w:sz w:val="20"/>
          <w:szCs w:val="20"/>
        </w:rPr>
        <w:t xml:space="preserve"> dla emerytów</w:t>
      </w:r>
      <w:r>
        <w:rPr>
          <w:rFonts w:ascii="Times New Roman" w:hAnsi="Times New Roman"/>
          <w:bCs/>
          <w:sz w:val="20"/>
          <w:szCs w:val="20"/>
        </w:rPr>
        <w:t xml:space="preserve"> i rencistów, tzw. 14</w:t>
      </w:r>
      <w:r w:rsidRPr="00521EFD">
        <w:rPr>
          <w:rFonts w:ascii="Times New Roman" w:hAnsi="Times New Roman"/>
          <w:bCs/>
          <w:sz w:val="20"/>
          <w:szCs w:val="20"/>
        </w:rPr>
        <w:t xml:space="preserve"> emerytury (Dz.U. z 2021 r. poz. 432). </w:t>
      </w:r>
      <w:r w:rsidR="00651A03" w:rsidRPr="00651A03">
        <w:rPr>
          <w:rFonts w:ascii="Times New Roman" w:hAnsi="Times New Roman"/>
          <w:bCs/>
          <w:sz w:val="20"/>
          <w:szCs w:val="20"/>
        </w:rPr>
        <w:t>Całkowita wartość wypłat sięgnęła 10,4 mld zł.</w:t>
      </w:r>
    </w:p>
    <w:p w:rsidR="00F76424" w:rsidRPr="00C51E3F" w:rsidRDefault="00AA6EA7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5E4AEB">
        <w:rPr>
          <w:rFonts w:ascii="Times New Roman" w:hAnsi="Times New Roman"/>
          <w:bCs/>
          <w:sz w:val="20"/>
          <w:szCs w:val="20"/>
        </w:rPr>
        <w:t>Wzrost</w:t>
      </w:r>
      <w:r w:rsidR="0094645D" w:rsidRPr="005E4AEB">
        <w:rPr>
          <w:rFonts w:ascii="Times New Roman" w:hAnsi="Times New Roman"/>
          <w:bCs/>
          <w:sz w:val="20"/>
          <w:szCs w:val="20"/>
        </w:rPr>
        <w:t xml:space="preserve"> wy</w:t>
      </w:r>
      <w:r w:rsidR="00F76424" w:rsidRPr="005E4AEB">
        <w:rPr>
          <w:rFonts w:ascii="Times New Roman" w:hAnsi="Times New Roman"/>
          <w:bCs/>
          <w:sz w:val="20"/>
          <w:szCs w:val="20"/>
        </w:rPr>
        <w:t>datków na zużycie pośrednie</w:t>
      </w:r>
      <w:r w:rsidR="0039772D" w:rsidRPr="005E4AEB">
        <w:rPr>
          <w:rFonts w:ascii="Times New Roman" w:hAnsi="Times New Roman"/>
          <w:bCs/>
          <w:sz w:val="20"/>
          <w:szCs w:val="20"/>
        </w:rPr>
        <w:t xml:space="preserve"> wyniósł 14,8</w:t>
      </w:r>
      <w:r w:rsidRPr="005E4AEB">
        <w:rPr>
          <w:rFonts w:ascii="Times New Roman" w:hAnsi="Times New Roman"/>
          <w:bCs/>
          <w:sz w:val="20"/>
          <w:szCs w:val="20"/>
        </w:rPr>
        <w:t>%</w:t>
      </w:r>
      <w:r w:rsidR="006B7480" w:rsidRPr="005E4AEB">
        <w:rPr>
          <w:rFonts w:ascii="Times New Roman" w:hAnsi="Times New Roman"/>
          <w:bCs/>
          <w:sz w:val="20"/>
          <w:szCs w:val="20"/>
        </w:rPr>
        <w:t> </w:t>
      </w:r>
      <w:r w:rsidRPr="005E4AEB">
        <w:rPr>
          <w:rFonts w:ascii="Times New Roman" w:hAnsi="Times New Roman"/>
          <w:bCs/>
          <w:sz w:val="20"/>
          <w:szCs w:val="20"/>
        </w:rPr>
        <w:t>r/r, natomiast</w:t>
      </w:r>
      <w:r w:rsidR="004245C4" w:rsidRPr="005E4AEB">
        <w:rPr>
          <w:rFonts w:ascii="Times New Roman" w:hAnsi="Times New Roman"/>
          <w:bCs/>
          <w:sz w:val="20"/>
          <w:szCs w:val="20"/>
        </w:rPr>
        <w:t xml:space="preserve"> wzrost kosztów</w:t>
      </w:r>
      <w:r w:rsidR="00F76424" w:rsidRPr="005E4AEB">
        <w:rPr>
          <w:rFonts w:ascii="Times New Roman" w:hAnsi="Times New Roman"/>
          <w:bCs/>
          <w:sz w:val="20"/>
          <w:szCs w:val="20"/>
        </w:rPr>
        <w:t xml:space="preserve"> pracy (</w:t>
      </w:r>
      <w:r w:rsidR="0039772D" w:rsidRPr="005E4AEB">
        <w:rPr>
          <w:rFonts w:ascii="Times New Roman" w:hAnsi="Times New Roman"/>
          <w:bCs/>
          <w:sz w:val="20"/>
          <w:szCs w:val="20"/>
        </w:rPr>
        <w:t>16,3</w:t>
      </w:r>
      <w:r w:rsidR="0094645D" w:rsidRPr="005E4AEB">
        <w:rPr>
          <w:rFonts w:ascii="Times New Roman" w:hAnsi="Times New Roman"/>
          <w:bCs/>
          <w:sz w:val="20"/>
          <w:szCs w:val="20"/>
        </w:rPr>
        <w:t>% r/r)</w:t>
      </w:r>
      <w:r w:rsidRPr="005E4AEB">
        <w:rPr>
          <w:rFonts w:ascii="Times New Roman" w:hAnsi="Times New Roman"/>
          <w:bCs/>
          <w:sz w:val="20"/>
          <w:szCs w:val="20"/>
        </w:rPr>
        <w:t>. Dynamika obu kategorii</w:t>
      </w:r>
      <w:r w:rsidR="0094645D" w:rsidRPr="005E4AEB">
        <w:rPr>
          <w:rFonts w:ascii="Times New Roman" w:hAnsi="Times New Roman"/>
          <w:bCs/>
          <w:sz w:val="20"/>
          <w:szCs w:val="20"/>
        </w:rPr>
        <w:t xml:space="preserve"> </w:t>
      </w:r>
      <w:r w:rsidR="004245C4" w:rsidRPr="005E4AEB">
        <w:rPr>
          <w:rFonts w:ascii="Times New Roman" w:hAnsi="Times New Roman"/>
          <w:bCs/>
          <w:sz w:val="20"/>
          <w:szCs w:val="20"/>
        </w:rPr>
        <w:t xml:space="preserve">znacząco </w:t>
      </w:r>
      <w:r w:rsidR="0094645D" w:rsidRPr="005E4AEB">
        <w:rPr>
          <w:rFonts w:ascii="Times New Roman" w:hAnsi="Times New Roman"/>
          <w:bCs/>
          <w:sz w:val="20"/>
          <w:szCs w:val="20"/>
        </w:rPr>
        <w:t>przekroczył</w:t>
      </w:r>
      <w:r w:rsidRPr="005E4AEB">
        <w:rPr>
          <w:rFonts w:ascii="Times New Roman" w:hAnsi="Times New Roman"/>
          <w:bCs/>
          <w:sz w:val="20"/>
          <w:szCs w:val="20"/>
        </w:rPr>
        <w:t>a</w:t>
      </w:r>
      <w:r w:rsidR="0094645D" w:rsidRPr="005E4AEB">
        <w:rPr>
          <w:rFonts w:ascii="Times New Roman" w:hAnsi="Times New Roman"/>
          <w:bCs/>
          <w:sz w:val="20"/>
          <w:szCs w:val="20"/>
        </w:rPr>
        <w:t xml:space="preserve"> poziom </w:t>
      </w:r>
      <w:r w:rsidR="0094645D" w:rsidRPr="00C51E3F">
        <w:rPr>
          <w:rFonts w:ascii="Times New Roman" w:hAnsi="Times New Roman"/>
          <w:bCs/>
          <w:sz w:val="20"/>
          <w:szCs w:val="20"/>
        </w:rPr>
        <w:t>i</w:t>
      </w:r>
      <w:r w:rsidR="00F76424" w:rsidRPr="00C51E3F">
        <w:rPr>
          <w:rFonts w:ascii="Times New Roman" w:hAnsi="Times New Roman"/>
          <w:bCs/>
          <w:sz w:val="20"/>
          <w:szCs w:val="20"/>
        </w:rPr>
        <w:t xml:space="preserve">nflacji </w:t>
      </w:r>
      <w:r w:rsidR="0039772D" w:rsidRPr="00C51E3F">
        <w:rPr>
          <w:rFonts w:ascii="Times New Roman" w:hAnsi="Times New Roman"/>
          <w:bCs/>
          <w:sz w:val="20"/>
          <w:szCs w:val="20"/>
        </w:rPr>
        <w:t>w omawianym okresie (7,7</w:t>
      </w:r>
      <w:r w:rsidR="001E7B5E">
        <w:rPr>
          <w:rFonts w:ascii="Times New Roman" w:hAnsi="Times New Roman"/>
          <w:bCs/>
          <w:sz w:val="20"/>
          <w:szCs w:val="20"/>
        </w:rPr>
        <w:t>% r/r).</w:t>
      </w:r>
    </w:p>
    <w:p w:rsidR="004776B1" w:rsidRPr="00C51E3F" w:rsidRDefault="0021158F" w:rsidP="004776B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51E3F">
        <w:rPr>
          <w:rFonts w:ascii="Times New Roman" w:hAnsi="Times New Roman"/>
          <w:bCs/>
          <w:sz w:val="20"/>
          <w:szCs w:val="20"/>
        </w:rPr>
        <w:t>Wzro</w:t>
      </w:r>
      <w:r w:rsidR="00004D64" w:rsidRPr="00C51E3F">
        <w:rPr>
          <w:rFonts w:ascii="Times New Roman" w:hAnsi="Times New Roman"/>
          <w:bCs/>
          <w:sz w:val="20"/>
          <w:szCs w:val="20"/>
        </w:rPr>
        <w:t xml:space="preserve">st </w:t>
      </w:r>
      <w:r w:rsidR="00C51E3F" w:rsidRPr="00C51E3F">
        <w:rPr>
          <w:rFonts w:ascii="Times New Roman" w:hAnsi="Times New Roman"/>
          <w:bCs/>
          <w:sz w:val="20"/>
          <w:szCs w:val="20"/>
        </w:rPr>
        <w:t>inwestycji sektora instytucji rządowych i</w:t>
      </w:r>
      <w:r w:rsidR="001E7B5E">
        <w:rPr>
          <w:rFonts w:ascii="Times New Roman" w:hAnsi="Times New Roman"/>
          <w:bCs/>
          <w:sz w:val="20"/>
          <w:szCs w:val="20"/>
        </w:rPr>
        <w:t> </w:t>
      </w:r>
      <w:r w:rsidR="00C51E3F" w:rsidRPr="00C51E3F">
        <w:rPr>
          <w:rFonts w:ascii="Times New Roman" w:hAnsi="Times New Roman"/>
          <w:bCs/>
          <w:sz w:val="20"/>
          <w:szCs w:val="20"/>
        </w:rPr>
        <w:t>samorządowych wyniósł</w:t>
      </w:r>
      <w:r w:rsidR="005E4AEB" w:rsidRPr="00C51E3F">
        <w:rPr>
          <w:rFonts w:ascii="Times New Roman" w:hAnsi="Times New Roman"/>
          <w:bCs/>
          <w:sz w:val="20"/>
          <w:szCs w:val="20"/>
        </w:rPr>
        <w:t xml:space="preserve"> 10,7</w:t>
      </w:r>
      <w:r w:rsidRPr="00C51E3F">
        <w:rPr>
          <w:rFonts w:ascii="Times New Roman" w:hAnsi="Times New Roman"/>
          <w:bCs/>
          <w:sz w:val="20"/>
          <w:szCs w:val="20"/>
        </w:rPr>
        <w:t>% r/r</w:t>
      </w:r>
      <w:r w:rsidR="001E7B5E">
        <w:rPr>
          <w:rFonts w:ascii="Times New Roman" w:hAnsi="Times New Roman"/>
          <w:bCs/>
          <w:sz w:val="20"/>
          <w:szCs w:val="20"/>
        </w:rPr>
        <w:t>, na co wpływ miały głównie i</w:t>
      </w:r>
      <w:r w:rsidR="006B7480" w:rsidRPr="00C51E3F">
        <w:rPr>
          <w:rFonts w:ascii="Times New Roman" w:hAnsi="Times New Roman"/>
          <w:bCs/>
          <w:sz w:val="20"/>
          <w:szCs w:val="20"/>
        </w:rPr>
        <w:t xml:space="preserve">nwestycje realizowane przez </w:t>
      </w:r>
      <w:r w:rsidR="00BD01CB" w:rsidRPr="00C51E3F">
        <w:rPr>
          <w:rFonts w:ascii="Times New Roman" w:hAnsi="Times New Roman"/>
          <w:bCs/>
          <w:sz w:val="20"/>
          <w:szCs w:val="20"/>
        </w:rPr>
        <w:t>jednost</w:t>
      </w:r>
      <w:r w:rsidR="006B7480" w:rsidRPr="00C51E3F">
        <w:rPr>
          <w:rFonts w:ascii="Times New Roman" w:hAnsi="Times New Roman"/>
          <w:bCs/>
          <w:sz w:val="20"/>
          <w:szCs w:val="20"/>
        </w:rPr>
        <w:t>ki</w:t>
      </w:r>
      <w:r w:rsidR="00BD01CB" w:rsidRPr="00C51E3F">
        <w:rPr>
          <w:rFonts w:ascii="Times New Roman" w:hAnsi="Times New Roman"/>
          <w:bCs/>
          <w:sz w:val="20"/>
          <w:szCs w:val="20"/>
        </w:rPr>
        <w:t xml:space="preserve"> samorzą</w:t>
      </w:r>
      <w:r w:rsidR="00004D64" w:rsidRPr="00C51E3F">
        <w:rPr>
          <w:rFonts w:ascii="Times New Roman" w:hAnsi="Times New Roman"/>
          <w:bCs/>
          <w:sz w:val="20"/>
          <w:szCs w:val="20"/>
        </w:rPr>
        <w:t>du terytorialnego</w:t>
      </w:r>
      <w:r w:rsidR="001E7B5E">
        <w:rPr>
          <w:rFonts w:ascii="Times New Roman" w:hAnsi="Times New Roman"/>
          <w:bCs/>
          <w:sz w:val="20"/>
          <w:szCs w:val="20"/>
        </w:rPr>
        <w:t xml:space="preserve">, które </w:t>
      </w:r>
      <w:r w:rsidR="00BD01CB" w:rsidRPr="00C51E3F">
        <w:rPr>
          <w:rFonts w:ascii="Times New Roman" w:hAnsi="Times New Roman"/>
          <w:bCs/>
          <w:sz w:val="20"/>
          <w:szCs w:val="20"/>
        </w:rPr>
        <w:t>w ujęciu kasowy</w:t>
      </w:r>
      <w:r w:rsidR="006B7480" w:rsidRPr="00C51E3F">
        <w:rPr>
          <w:rFonts w:ascii="Times New Roman" w:hAnsi="Times New Roman"/>
          <w:bCs/>
          <w:sz w:val="20"/>
          <w:szCs w:val="20"/>
        </w:rPr>
        <w:t>m</w:t>
      </w:r>
      <w:r w:rsidR="00BD01CB" w:rsidRPr="00C51E3F">
        <w:rPr>
          <w:rFonts w:ascii="Times New Roman" w:hAnsi="Times New Roman"/>
          <w:bCs/>
          <w:sz w:val="20"/>
          <w:szCs w:val="20"/>
        </w:rPr>
        <w:t xml:space="preserve"> </w:t>
      </w:r>
      <w:r w:rsidR="00C51E3F" w:rsidRPr="00C51E3F">
        <w:rPr>
          <w:rFonts w:ascii="Times New Roman" w:hAnsi="Times New Roman"/>
          <w:bCs/>
          <w:sz w:val="20"/>
          <w:szCs w:val="20"/>
        </w:rPr>
        <w:t>wzrosły</w:t>
      </w:r>
      <w:r w:rsidR="006B7480" w:rsidRPr="00C51E3F">
        <w:rPr>
          <w:rFonts w:ascii="Times New Roman" w:hAnsi="Times New Roman"/>
          <w:bCs/>
          <w:sz w:val="20"/>
          <w:szCs w:val="20"/>
        </w:rPr>
        <w:t xml:space="preserve"> </w:t>
      </w:r>
      <w:r w:rsidR="001E7B5E">
        <w:rPr>
          <w:rFonts w:ascii="Times New Roman" w:hAnsi="Times New Roman"/>
          <w:bCs/>
          <w:sz w:val="20"/>
          <w:szCs w:val="20"/>
        </w:rPr>
        <w:t xml:space="preserve">nominalnie </w:t>
      </w:r>
      <w:r w:rsidR="00C51E3F" w:rsidRPr="00C51E3F">
        <w:rPr>
          <w:rFonts w:ascii="Times New Roman" w:hAnsi="Times New Roman"/>
          <w:bCs/>
          <w:sz w:val="20"/>
          <w:szCs w:val="20"/>
        </w:rPr>
        <w:t xml:space="preserve">o </w:t>
      </w:r>
      <w:r w:rsidR="001E7B5E">
        <w:rPr>
          <w:rFonts w:ascii="Times New Roman" w:hAnsi="Times New Roman"/>
          <w:bCs/>
          <w:sz w:val="20"/>
          <w:szCs w:val="20"/>
        </w:rPr>
        <w:t>ok. 12</w:t>
      </w:r>
      <w:r w:rsidR="00F76424" w:rsidRPr="00C51E3F">
        <w:rPr>
          <w:rFonts w:ascii="Times New Roman" w:hAnsi="Times New Roman"/>
          <w:bCs/>
          <w:sz w:val="20"/>
          <w:szCs w:val="20"/>
        </w:rPr>
        <w:t>% r/r</w:t>
      </w:r>
      <w:r w:rsidR="00004D64" w:rsidRPr="00C51E3F">
        <w:rPr>
          <w:rFonts w:ascii="Times New Roman" w:hAnsi="Times New Roman"/>
          <w:bCs/>
          <w:sz w:val="20"/>
          <w:szCs w:val="20"/>
        </w:rPr>
        <w:t>.</w:t>
      </w:r>
    </w:p>
    <w:p w:rsidR="00682D29" w:rsidRPr="00306773" w:rsidRDefault="00682D29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cyan"/>
        </w:rPr>
      </w:pPr>
    </w:p>
    <w:p w:rsidR="00424B41" w:rsidRPr="00162B16" w:rsidRDefault="00424B41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162B16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:rsidR="00101324" w:rsidRPr="002271C6" w:rsidRDefault="00101324" w:rsidP="000D4ED5">
      <w:pPr>
        <w:pStyle w:val="Nagwek1"/>
        <w:spacing w:before="120" w:line="288" w:lineRule="auto"/>
        <w:jc w:val="both"/>
        <w:rPr>
          <w:rFonts w:ascii="Arial" w:hAnsi="Arial" w:cs="Arial"/>
          <w:color w:val="ADAFB2"/>
          <w:sz w:val="28"/>
          <w:szCs w:val="28"/>
        </w:rPr>
      </w:pPr>
      <w:bookmarkStart w:id="5" w:name="_Toc105157405"/>
      <w:r w:rsidRPr="002271C6">
        <w:rPr>
          <w:rFonts w:ascii="Arial" w:hAnsi="Arial" w:cs="Arial"/>
          <w:color w:val="ADAFB2"/>
          <w:sz w:val="28"/>
          <w:szCs w:val="28"/>
        </w:rPr>
        <w:t xml:space="preserve">2. </w:t>
      </w:r>
      <w:r w:rsidR="002E28B5" w:rsidRPr="002271C6">
        <w:rPr>
          <w:rFonts w:ascii="Arial" w:hAnsi="Arial" w:cs="Arial"/>
          <w:color w:val="ADAFB2"/>
          <w:sz w:val="28"/>
          <w:szCs w:val="28"/>
        </w:rPr>
        <w:t>Wynik, d</w:t>
      </w:r>
      <w:r w:rsidRPr="002271C6">
        <w:rPr>
          <w:rFonts w:ascii="Arial" w:hAnsi="Arial" w:cs="Arial"/>
          <w:color w:val="ADAFB2"/>
          <w:sz w:val="28"/>
          <w:szCs w:val="28"/>
        </w:rPr>
        <w:t>ochody</w:t>
      </w:r>
      <w:r w:rsidR="002E28B5" w:rsidRPr="002271C6">
        <w:rPr>
          <w:rFonts w:ascii="Arial" w:hAnsi="Arial" w:cs="Arial"/>
          <w:color w:val="ADAFB2"/>
          <w:sz w:val="28"/>
          <w:szCs w:val="28"/>
        </w:rPr>
        <w:t xml:space="preserve"> oraz</w:t>
      </w:r>
      <w:r w:rsidRPr="002271C6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8534B5" w:rsidRPr="002271C6">
        <w:rPr>
          <w:rFonts w:ascii="Arial" w:hAnsi="Arial" w:cs="Arial"/>
          <w:color w:val="ADAFB2"/>
          <w:sz w:val="28"/>
          <w:szCs w:val="28"/>
        </w:rPr>
        <w:t>w 20</w:t>
      </w:r>
      <w:r w:rsidR="00E47687" w:rsidRPr="002271C6">
        <w:rPr>
          <w:rFonts w:ascii="Arial" w:hAnsi="Arial" w:cs="Arial"/>
          <w:color w:val="ADAFB2"/>
          <w:sz w:val="28"/>
          <w:szCs w:val="28"/>
        </w:rPr>
        <w:t>2</w:t>
      </w:r>
      <w:r w:rsidR="00306773">
        <w:rPr>
          <w:rFonts w:ascii="Arial" w:hAnsi="Arial" w:cs="Arial"/>
          <w:color w:val="ADAFB2"/>
          <w:sz w:val="28"/>
          <w:szCs w:val="28"/>
        </w:rPr>
        <w:t>1</w:t>
      </w:r>
      <w:r w:rsidRPr="002271C6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5"/>
      <w:r w:rsidRPr="002271C6">
        <w:rPr>
          <w:rFonts w:ascii="Arial" w:hAnsi="Arial" w:cs="Arial"/>
          <w:color w:val="ADAFB2"/>
          <w:sz w:val="28"/>
          <w:szCs w:val="28"/>
        </w:rPr>
        <w:t xml:space="preserve"> </w:t>
      </w:r>
    </w:p>
    <w:p w:rsidR="00D55ED6" w:rsidRPr="00C24978" w:rsidRDefault="00D55ED6" w:rsidP="000D4ED5">
      <w:pPr>
        <w:pStyle w:val="Nagwek2"/>
        <w:spacing w:before="120" w:line="288" w:lineRule="auto"/>
        <w:jc w:val="both"/>
        <w:rPr>
          <w:rFonts w:ascii="Arial" w:hAnsi="Arial" w:cs="Arial"/>
          <w:i w:val="0"/>
          <w:color w:val="E31837"/>
          <w:sz w:val="20"/>
          <w:szCs w:val="20"/>
        </w:rPr>
      </w:pPr>
      <w:bookmarkStart w:id="6" w:name="_Toc105157406"/>
      <w:r w:rsidRPr="00C24978">
        <w:rPr>
          <w:rFonts w:ascii="Arial" w:hAnsi="Arial" w:cs="Arial"/>
          <w:i w:val="0"/>
          <w:color w:val="E31837"/>
          <w:sz w:val="20"/>
          <w:szCs w:val="20"/>
        </w:rPr>
        <w:t>2.1. Wynik</w:t>
      </w:r>
      <w:bookmarkEnd w:id="6"/>
      <w:r w:rsidRPr="00C24978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B5257F" w:rsidRPr="00B5257F" w:rsidRDefault="00D55ED6" w:rsidP="00E832F5">
      <w:pPr>
        <w:spacing w:before="120" w:after="0" w:line="288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  <w:r w:rsidRPr="00B5257F">
        <w:rPr>
          <w:rFonts w:ascii="Times New Roman" w:eastAsia="Calibri" w:hAnsi="Times New Roman"/>
          <w:sz w:val="20"/>
          <w:szCs w:val="20"/>
        </w:rPr>
        <w:t>W</w:t>
      </w:r>
      <w:r w:rsidR="00B5257F" w:rsidRPr="00B5257F">
        <w:rPr>
          <w:rFonts w:ascii="Times New Roman" w:eastAsia="Calibri" w:hAnsi="Times New Roman"/>
          <w:sz w:val="20"/>
          <w:szCs w:val="20"/>
        </w:rPr>
        <w:t xml:space="preserve"> 2021</w:t>
      </w:r>
      <w:r w:rsidR="00424B41" w:rsidRPr="00B5257F">
        <w:rPr>
          <w:rFonts w:ascii="Times New Roman" w:eastAsia="Calibri" w:hAnsi="Times New Roman"/>
          <w:sz w:val="20"/>
          <w:szCs w:val="20"/>
        </w:rPr>
        <w:t> </w:t>
      </w:r>
      <w:r w:rsidRPr="00B5257F">
        <w:rPr>
          <w:rFonts w:ascii="Times New Roman" w:eastAsia="Calibri" w:hAnsi="Times New Roman"/>
          <w:sz w:val="20"/>
          <w:szCs w:val="20"/>
        </w:rPr>
        <w:t xml:space="preserve">r. </w:t>
      </w:r>
      <w:r w:rsidR="00B5257F" w:rsidRPr="00B5257F">
        <w:rPr>
          <w:rFonts w:ascii="Times New Roman" w:eastAsia="Calibri" w:hAnsi="Times New Roman"/>
          <w:sz w:val="20"/>
          <w:szCs w:val="20"/>
        </w:rPr>
        <w:t>deficyt sektora instytucji rządowych i</w:t>
      </w:r>
      <w:r w:rsidR="009B6D34">
        <w:rPr>
          <w:rFonts w:ascii="Times New Roman" w:eastAsia="Calibri" w:hAnsi="Times New Roman"/>
          <w:sz w:val="20"/>
          <w:szCs w:val="20"/>
        </w:rPr>
        <w:t> </w:t>
      </w:r>
      <w:r w:rsidR="00B5257F" w:rsidRPr="00B5257F">
        <w:rPr>
          <w:rFonts w:ascii="Times New Roman" w:eastAsia="Calibri" w:hAnsi="Times New Roman"/>
          <w:sz w:val="20"/>
          <w:szCs w:val="20"/>
        </w:rPr>
        <w:t>samorządowych według ESA2010 wyniósł 49,0</w:t>
      </w:r>
      <w:r w:rsidR="009B6D34">
        <w:rPr>
          <w:rFonts w:ascii="Times New Roman" w:eastAsia="Calibri" w:hAnsi="Times New Roman"/>
          <w:sz w:val="20"/>
          <w:szCs w:val="20"/>
        </w:rPr>
        <w:t> </w:t>
      </w:r>
      <w:r w:rsidR="00B5257F" w:rsidRPr="00B5257F">
        <w:rPr>
          <w:rFonts w:ascii="Times New Roman" w:eastAsia="Calibri" w:hAnsi="Times New Roman"/>
          <w:sz w:val="20"/>
          <w:szCs w:val="20"/>
        </w:rPr>
        <w:t xml:space="preserve">mld zł, tj. 1,9% PKB i w stosunku do 2020 r. spadł o ok. 112,7 mld zł tj. 5,0 pkt proc. r/r. </w:t>
      </w:r>
    </w:p>
    <w:p w:rsidR="00B5257F" w:rsidRPr="00B5257F" w:rsidRDefault="00B5257F" w:rsidP="00E832F5">
      <w:pPr>
        <w:spacing w:before="120" w:after="0" w:line="288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  <w:r w:rsidRPr="00B5257F">
        <w:rPr>
          <w:rFonts w:ascii="Times New Roman" w:eastAsia="Calibri" w:hAnsi="Times New Roman"/>
          <w:sz w:val="20"/>
          <w:szCs w:val="20"/>
        </w:rPr>
        <w:t>Wielkość deficytu sektora instytucji rządowych i</w:t>
      </w:r>
      <w:r w:rsidR="009B6D34">
        <w:rPr>
          <w:rFonts w:ascii="Times New Roman" w:eastAsia="Calibri" w:hAnsi="Times New Roman"/>
          <w:sz w:val="20"/>
          <w:szCs w:val="20"/>
        </w:rPr>
        <w:t> </w:t>
      </w:r>
      <w:r w:rsidRPr="00B5257F">
        <w:rPr>
          <w:rFonts w:ascii="Times New Roman" w:eastAsia="Calibri" w:hAnsi="Times New Roman"/>
          <w:sz w:val="20"/>
          <w:szCs w:val="20"/>
        </w:rPr>
        <w:t xml:space="preserve">samorządowych była zdeterminowana przez: </w:t>
      </w:r>
    </w:p>
    <w:p w:rsidR="00B5257F" w:rsidRPr="00B5257F" w:rsidRDefault="00B5257F" w:rsidP="00B5257F">
      <w:pPr>
        <w:numPr>
          <w:ilvl w:val="0"/>
          <w:numId w:val="11"/>
        </w:num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B5257F">
        <w:rPr>
          <w:rFonts w:ascii="Times New Roman" w:eastAsia="Calibri" w:hAnsi="Times New Roman"/>
          <w:sz w:val="20"/>
          <w:szCs w:val="20"/>
        </w:rPr>
        <w:t xml:space="preserve">deficyt podsektora instytucji rządowych na szczeblu centralnym, który wyniósł ok. 50,5 mld zł (1,9% PKB) i w stosunku do 2020 r. spadł </w:t>
      </w:r>
      <w:r w:rsidR="00550FC6">
        <w:rPr>
          <w:rFonts w:ascii="Times New Roman" w:eastAsia="Calibri" w:hAnsi="Times New Roman"/>
          <w:sz w:val="20"/>
          <w:szCs w:val="20"/>
        </w:rPr>
        <w:t xml:space="preserve">o </w:t>
      </w:r>
      <w:r w:rsidRPr="00B5257F">
        <w:rPr>
          <w:rFonts w:ascii="Times New Roman" w:eastAsia="Calibri" w:hAnsi="Times New Roman"/>
          <w:sz w:val="20"/>
          <w:szCs w:val="20"/>
        </w:rPr>
        <w:t xml:space="preserve">ok. 133,1 mld zł, tj. </w:t>
      </w:r>
      <w:r w:rsidR="00550FC6">
        <w:rPr>
          <w:rFonts w:ascii="Times New Roman" w:eastAsia="Calibri" w:hAnsi="Times New Roman"/>
          <w:sz w:val="20"/>
          <w:szCs w:val="20"/>
        </w:rPr>
        <w:t xml:space="preserve">o </w:t>
      </w:r>
      <w:r w:rsidRPr="00B5257F">
        <w:rPr>
          <w:rFonts w:ascii="Times New Roman" w:eastAsia="Calibri" w:hAnsi="Times New Roman"/>
          <w:sz w:val="20"/>
          <w:szCs w:val="20"/>
        </w:rPr>
        <w:t>5,9 pkt proc. r/r,</w:t>
      </w:r>
    </w:p>
    <w:p w:rsidR="00B5257F" w:rsidRPr="00B5257F" w:rsidRDefault="00B5257F" w:rsidP="00B5257F">
      <w:pPr>
        <w:numPr>
          <w:ilvl w:val="0"/>
          <w:numId w:val="11"/>
        </w:num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B5257F">
        <w:rPr>
          <w:rFonts w:ascii="Times New Roman" w:eastAsia="Calibri" w:hAnsi="Times New Roman"/>
          <w:sz w:val="20"/>
          <w:szCs w:val="20"/>
        </w:rPr>
        <w:t>nadwyżkę podsektora instytucji samorządowych na szczeblu lokalnym w wysokości ok. 15,9 mld zł (0,6% PKB) i w stosunku do 2020 r. wynik poprawił się o ok. 11,4 mld zł, tj. o 0,4 pkt proc. r/r,</w:t>
      </w:r>
    </w:p>
    <w:p w:rsidR="00B5257F" w:rsidRPr="00E832F5" w:rsidRDefault="00B5257F" w:rsidP="00E832F5">
      <w:pPr>
        <w:numPr>
          <w:ilvl w:val="0"/>
          <w:numId w:val="11"/>
        </w:num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B5257F">
        <w:rPr>
          <w:rFonts w:ascii="Times New Roman" w:eastAsia="Calibri" w:hAnsi="Times New Roman"/>
          <w:sz w:val="20"/>
          <w:szCs w:val="20"/>
        </w:rPr>
        <w:t xml:space="preserve">deficyt podsektora funduszy ubezpieczeń społecznych w wysokości ok. 14,4 mld zł (0,5% PKB) i w stosunku do 2020 r. nastąpiło pogorszenie wyniku o ok. 31,8 mld zł, </w:t>
      </w:r>
      <w:r w:rsidRPr="00E832F5">
        <w:rPr>
          <w:rFonts w:ascii="Times New Roman" w:eastAsia="Calibri" w:hAnsi="Times New Roman"/>
          <w:sz w:val="20"/>
          <w:szCs w:val="20"/>
        </w:rPr>
        <w:t>tj. o 1,2 pkt proc. r/r.</w:t>
      </w:r>
    </w:p>
    <w:tbl>
      <w:tblPr>
        <w:tblpPr w:leftFromText="141" w:rightFromText="141" w:vertAnchor="text" w:horzAnchor="margin" w:tblpY="132"/>
        <w:tblW w:w="4680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94645D" w:rsidRPr="00306773" w:rsidTr="0094645D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94645D" w:rsidRPr="00950297" w:rsidRDefault="0094645D" w:rsidP="00DE57C3">
            <w:pPr>
              <w:pStyle w:val="A1"/>
              <w:keepNext/>
              <w:spacing w:after="0" w:line="288" w:lineRule="auto"/>
              <w:ind w:firstLine="0"/>
              <w:rPr>
                <w:color w:val="E31837"/>
                <w:sz w:val="20"/>
                <w:szCs w:val="20"/>
              </w:rPr>
            </w:pPr>
            <w:r w:rsidRPr="009502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5. Wynik sektora instytucji rządowych i samorządowych ( w % PKB</w:t>
            </w:r>
          </w:p>
        </w:tc>
      </w:tr>
      <w:tr w:rsidR="0094645D" w:rsidRPr="00306773" w:rsidTr="00DE57C3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94645D" w:rsidRPr="00950297" w:rsidRDefault="00B943E8" w:rsidP="000D4ED5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699333A5">
                  <wp:extent cx="2853055" cy="2054225"/>
                  <wp:effectExtent l="0" t="0" r="4445" b="0"/>
                  <wp:docPr id="22" name="Obraz 22" descr="Wykres przedstawia wynik sektora instytucji rządowych i samorządowych w % PKB: wynik (p. oś); dochody i wydatki sektora (l. oś) w latach 2010-2021. Dane szczegółowe dostępne w Aneksie statystycznym, na końcu opracowania." title="Wykres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45D" w:rsidRPr="00306773" w:rsidTr="0094645D">
        <w:tc>
          <w:tcPr>
            <w:tcW w:w="4680" w:type="dxa"/>
          </w:tcPr>
          <w:p w:rsidR="00C13F17" w:rsidRPr="00950297" w:rsidRDefault="0094645D" w:rsidP="000D4ED5">
            <w:pPr>
              <w:keepNext/>
              <w:spacing w:before="120" w:after="60" w:line="288" w:lineRule="auto"/>
              <w:jc w:val="both"/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</w:pPr>
            <w:r w:rsidRPr="00950297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Dane Eurostat, GUS, obliczenia własne</w:t>
            </w:r>
          </w:p>
        </w:tc>
      </w:tr>
    </w:tbl>
    <w:p w:rsidR="000050E5" w:rsidRPr="00306773" w:rsidRDefault="00CF19C9" w:rsidP="00623F60">
      <w:pPr>
        <w:widowControl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  <w:highlight w:val="cyan"/>
        </w:rPr>
      </w:pPr>
      <w:r w:rsidRPr="006B10E9">
        <w:rPr>
          <w:rFonts w:ascii="Times New Roman" w:eastAsia="Calibri" w:hAnsi="Times New Roman"/>
          <w:sz w:val="20"/>
          <w:szCs w:val="20"/>
        </w:rPr>
        <w:t xml:space="preserve">Sytuacja sektora instytucji </w:t>
      </w:r>
      <w:r w:rsidR="00B5257F" w:rsidRPr="006B10E9">
        <w:rPr>
          <w:rFonts w:ascii="Times New Roman" w:eastAsia="Calibri" w:hAnsi="Times New Roman"/>
          <w:sz w:val="20"/>
          <w:szCs w:val="20"/>
        </w:rPr>
        <w:t>rządowych i samorządowych w 2021</w:t>
      </w:r>
      <w:r w:rsidRPr="006B10E9">
        <w:rPr>
          <w:rFonts w:ascii="Times New Roman" w:eastAsia="Calibri" w:hAnsi="Times New Roman"/>
          <w:sz w:val="20"/>
          <w:szCs w:val="20"/>
        </w:rPr>
        <w:t xml:space="preserve"> r. była uwarunkowana sytuacją makroekonomiczną kraju i działaniami nakierowanymi na walkę z pandemią COVID-19. </w:t>
      </w:r>
      <w:r w:rsidR="00B5257F" w:rsidRPr="006B10E9">
        <w:rPr>
          <w:rFonts w:ascii="Times New Roman" w:eastAsia="Calibri" w:hAnsi="Times New Roman"/>
          <w:sz w:val="20"/>
          <w:szCs w:val="20"/>
        </w:rPr>
        <w:t>Analizując</w:t>
      </w:r>
      <w:r w:rsidR="00B5257F" w:rsidRPr="00B5257F">
        <w:rPr>
          <w:rFonts w:ascii="Times New Roman" w:eastAsia="Calibri" w:hAnsi="Times New Roman"/>
          <w:sz w:val="20"/>
          <w:szCs w:val="20"/>
        </w:rPr>
        <w:t xml:space="preserve"> wynik sektora w układzie transakcyjnym niższy deficyt sektora był skutkiem wzrostu dochodów aż o ok. 14,9% r/r, tj. o</w:t>
      </w:r>
      <w:r w:rsidR="009B6D34">
        <w:rPr>
          <w:rFonts w:ascii="Times New Roman" w:eastAsia="Calibri" w:hAnsi="Times New Roman"/>
          <w:sz w:val="20"/>
          <w:szCs w:val="20"/>
        </w:rPr>
        <w:t> </w:t>
      </w:r>
      <w:r w:rsidR="00B5257F" w:rsidRPr="00B5257F">
        <w:rPr>
          <w:rFonts w:ascii="Times New Roman" w:eastAsia="Calibri" w:hAnsi="Times New Roman"/>
          <w:sz w:val="20"/>
          <w:szCs w:val="20"/>
        </w:rPr>
        <w:t xml:space="preserve">ok. 1,0 pkt. proc w relacji do PKB przy wzroście wydatków tylko o ok. 2,8% r/r, co oznacza spadek o ok. 4,0 pkt. proc. PKB. </w:t>
      </w:r>
    </w:p>
    <w:p w:rsidR="00F77622" w:rsidRPr="006B10E9" w:rsidRDefault="00F77622" w:rsidP="000D4ED5">
      <w:pPr>
        <w:pStyle w:val="Nagwek2"/>
        <w:spacing w:before="120" w:line="288" w:lineRule="auto"/>
        <w:jc w:val="both"/>
        <w:rPr>
          <w:rFonts w:ascii="Arial" w:hAnsi="Arial" w:cs="Arial"/>
          <w:i w:val="0"/>
          <w:color w:val="E31837"/>
          <w:sz w:val="20"/>
          <w:szCs w:val="20"/>
        </w:rPr>
      </w:pPr>
      <w:bookmarkStart w:id="7" w:name="_Toc105157407"/>
      <w:r w:rsidRPr="006B10E9">
        <w:rPr>
          <w:rFonts w:ascii="Arial" w:hAnsi="Arial" w:cs="Arial"/>
          <w:i w:val="0"/>
          <w:color w:val="E31837"/>
          <w:sz w:val="20"/>
          <w:szCs w:val="20"/>
        </w:rPr>
        <w:t>2.</w:t>
      </w:r>
      <w:r w:rsidR="00D55ED6" w:rsidRPr="006B10E9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6B10E9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7"/>
    </w:p>
    <w:p w:rsidR="00E832F5" w:rsidRDefault="006B10E9" w:rsidP="0055660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6B10E9">
        <w:rPr>
          <w:rFonts w:ascii="Times New Roman" w:eastAsia="Calibri" w:hAnsi="Times New Roman"/>
          <w:sz w:val="20"/>
          <w:szCs w:val="20"/>
        </w:rPr>
        <w:t>Dochody sektora instytucji rządowych i</w:t>
      </w:r>
      <w:r w:rsidR="009B6D34">
        <w:rPr>
          <w:rFonts w:ascii="Times New Roman" w:eastAsia="Calibri" w:hAnsi="Times New Roman"/>
          <w:sz w:val="20"/>
          <w:szCs w:val="20"/>
        </w:rPr>
        <w:t> </w:t>
      </w:r>
      <w:r w:rsidRPr="006B10E9">
        <w:rPr>
          <w:rFonts w:ascii="Times New Roman" w:eastAsia="Calibri" w:hAnsi="Times New Roman"/>
          <w:sz w:val="20"/>
          <w:szCs w:val="20"/>
        </w:rPr>
        <w:t>samorządowych w 2021 roku ukształtowały się na poziomie 42,3% PKB (wzrost o 0,8 pkt proc. w</w:t>
      </w:r>
      <w:r w:rsidR="009B6D34">
        <w:rPr>
          <w:rFonts w:ascii="Times New Roman" w:eastAsia="Calibri" w:hAnsi="Times New Roman"/>
          <w:sz w:val="20"/>
          <w:szCs w:val="20"/>
        </w:rPr>
        <w:t> </w:t>
      </w:r>
      <w:r w:rsidRPr="006B10E9">
        <w:rPr>
          <w:rFonts w:ascii="Times New Roman" w:eastAsia="Calibri" w:hAnsi="Times New Roman"/>
          <w:sz w:val="20"/>
          <w:szCs w:val="20"/>
        </w:rPr>
        <w:t>porównaniu z 2020 rokiem), a ich wzrost nominalny wyniósł 14,9% w porównaniu do 2,7% w 2020 roku.</w:t>
      </w:r>
    </w:p>
    <w:p w:rsidR="006B10E9" w:rsidRDefault="006B10E9" w:rsidP="0055660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6B10E9">
        <w:rPr>
          <w:rFonts w:ascii="Times New Roman" w:eastAsia="Calibri" w:hAnsi="Times New Roman"/>
          <w:sz w:val="20"/>
          <w:szCs w:val="20"/>
        </w:rPr>
        <w:t>W 2021 roku dochody podatkowe zgodnie z</w:t>
      </w:r>
      <w:r w:rsidR="009B6D34">
        <w:rPr>
          <w:rFonts w:ascii="Times New Roman" w:eastAsia="Calibri" w:hAnsi="Times New Roman"/>
          <w:sz w:val="20"/>
          <w:szCs w:val="20"/>
        </w:rPr>
        <w:t> </w:t>
      </w:r>
      <w:r w:rsidRPr="006B10E9">
        <w:rPr>
          <w:rFonts w:ascii="Times New Roman" w:eastAsia="Calibri" w:hAnsi="Times New Roman"/>
          <w:sz w:val="20"/>
          <w:szCs w:val="20"/>
        </w:rPr>
        <w:t>metodologią ESA wyniosły 23,6% PKB, co oznacza wzrost o ok. 1,6 pkt. proc. w porównaniu z 2020 rokiem. Dochody z podatków związanych z produkcją i</w:t>
      </w:r>
      <w:r w:rsidR="009B6D34">
        <w:rPr>
          <w:rFonts w:ascii="Times New Roman" w:eastAsia="Calibri" w:hAnsi="Times New Roman"/>
          <w:sz w:val="20"/>
          <w:szCs w:val="20"/>
        </w:rPr>
        <w:t> </w:t>
      </w:r>
      <w:r w:rsidRPr="006B10E9">
        <w:rPr>
          <w:rFonts w:ascii="Times New Roman" w:eastAsia="Calibri" w:hAnsi="Times New Roman"/>
          <w:sz w:val="20"/>
          <w:szCs w:val="20"/>
        </w:rPr>
        <w:t>importem wzrosły o 1,2 pkt. proc., a wpływy z</w:t>
      </w:r>
      <w:r w:rsidR="009B6D34">
        <w:rPr>
          <w:rFonts w:ascii="Times New Roman" w:eastAsia="Calibri" w:hAnsi="Times New Roman"/>
          <w:sz w:val="20"/>
          <w:szCs w:val="20"/>
        </w:rPr>
        <w:t> </w:t>
      </w:r>
      <w:r w:rsidRPr="006B10E9">
        <w:rPr>
          <w:rFonts w:ascii="Times New Roman" w:eastAsia="Calibri" w:hAnsi="Times New Roman"/>
          <w:sz w:val="20"/>
          <w:szCs w:val="20"/>
        </w:rPr>
        <w:t>podatków od dochodu o 0,4 pkt. proc.</w:t>
      </w:r>
    </w:p>
    <w:p w:rsidR="00556604" w:rsidRPr="00306773" w:rsidRDefault="00306773" w:rsidP="0055660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06773">
        <w:rPr>
          <w:rFonts w:ascii="Times New Roman" w:hAnsi="Times New Roman"/>
          <w:bCs/>
          <w:sz w:val="20"/>
          <w:szCs w:val="20"/>
        </w:rPr>
        <w:t>Dochody sektora instytucji rządowych i</w:t>
      </w:r>
      <w:r w:rsidR="009B6D34">
        <w:rPr>
          <w:rFonts w:ascii="Times New Roman" w:hAnsi="Times New Roman"/>
          <w:bCs/>
          <w:sz w:val="20"/>
          <w:szCs w:val="20"/>
        </w:rPr>
        <w:t> </w:t>
      </w:r>
      <w:r w:rsidRPr="00306773">
        <w:rPr>
          <w:rFonts w:ascii="Times New Roman" w:hAnsi="Times New Roman"/>
          <w:bCs/>
          <w:sz w:val="20"/>
          <w:szCs w:val="20"/>
        </w:rPr>
        <w:t xml:space="preserve">samorządowych z PIT, wg zasad ESA2010, wyniosły w 2021 r. 140,5 mld zł i były wyższe o 16,3% r/r. </w:t>
      </w:r>
      <w:r w:rsidR="00550FC6">
        <w:rPr>
          <w:rFonts w:ascii="Times New Roman" w:hAnsi="Times New Roman"/>
          <w:bCs/>
          <w:sz w:val="20"/>
          <w:szCs w:val="20"/>
        </w:rPr>
        <w:t>Wyższe</w:t>
      </w:r>
      <w:r w:rsidRPr="00306773">
        <w:rPr>
          <w:rFonts w:ascii="Times New Roman" w:hAnsi="Times New Roman"/>
          <w:bCs/>
          <w:sz w:val="20"/>
          <w:szCs w:val="20"/>
        </w:rPr>
        <w:t xml:space="preserve"> wykonanie dochodów podatkowych było skutkiem przede wszystkim poprawy środowiska makroekonomicznego, na którą złożyły się m.in. wysokie nominalne tempo wzrostu przeciętnego wynagrodzenie w gospodarce narodowej (8,4%) oraz wysoka dynamika nominalnego PKB (12,1%). Szacuje się, że nominalne tempo wzrostu przeciętnego funduszu wynagrodzeń w gospodarce narodowej oraz emerytur i</w:t>
      </w:r>
      <w:r w:rsidR="009B6D34">
        <w:rPr>
          <w:rFonts w:ascii="Times New Roman" w:hAnsi="Times New Roman"/>
          <w:bCs/>
          <w:sz w:val="20"/>
          <w:szCs w:val="20"/>
        </w:rPr>
        <w:t> </w:t>
      </w:r>
      <w:r w:rsidRPr="00306773">
        <w:rPr>
          <w:rFonts w:ascii="Times New Roman" w:hAnsi="Times New Roman"/>
          <w:bCs/>
          <w:sz w:val="20"/>
          <w:szCs w:val="20"/>
        </w:rPr>
        <w:t>rent w 2021 r. wyniosło 8,0% r/r.</w:t>
      </w:r>
    </w:p>
    <w:p w:rsidR="00556604" w:rsidRPr="00306773" w:rsidRDefault="00306773" w:rsidP="0055660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06773">
        <w:rPr>
          <w:rFonts w:ascii="Times New Roman" w:hAnsi="Times New Roman"/>
          <w:bCs/>
          <w:sz w:val="20"/>
          <w:szCs w:val="20"/>
        </w:rPr>
        <w:t>W 2021 r. dochody ze skali podatkowej wzrosły o</w:t>
      </w:r>
      <w:r w:rsidR="009B6D34">
        <w:rPr>
          <w:rFonts w:ascii="Times New Roman" w:hAnsi="Times New Roman"/>
          <w:bCs/>
          <w:sz w:val="20"/>
          <w:szCs w:val="20"/>
        </w:rPr>
        <w:t> </w:t>
      </w:r>
      <w:r w:rsidRPr="00306773">
        <w:rPr>
          <w:rFonts w:ascii="Times New Roman" w:hAnsi="Times New Roman"/>
          <w:bCs/>
          <w:sz w:val="20"/>
          <w:szCs w:val="20"/>
        </w:rPr>
        <w:t>16,0% r/r. Wpływy z podatku liniowego wzrosły o</w:t>
      </w:r>
      <w:r w:rsidR="009B6D34">
        <w:rPr>
          <w:rFonts w:ascii="Times New Roman" w:hAnsi="Times New Roman"/>
          <w:bCs/>
          <w:sz w:val="20"/>
          <w:szCs w:val="20"/>
        </w:rPr>
        <w:t> </w:t>
      </w:r>
      <w:r w:rsidRPr="00306773">
        <w:rPr>
          <w:rFonts w:ascii="Times New Roman" w:hAnsi="Times New Roman"/>
          <w:bCs/>
          <w:sz w:val="20"/>
          <w:szCs w:val="20"/>
        </w:rPr>
        <w:t>7,6% r/r, a z ryczałtu od przychodów ewidencjonowanych o 17,2% r/r. Wykonanie podatku z</w:t>
      </w:r>
      <w:r w:rsidR="009B6D34">
        <w:rPr>
          <w:rFonts w:ascii="Times New Roman" w:hAnsi="Times New Roman"/>
          <w:bCs/>
          <w:sz w:val="20"/>
          <w:szCs w:val="20"/>
        </w:rPr>
        <w:t> </w:t>
      </w:r>
      <w:r w:rsidRPr="00306773">
        <w:rPr>
          <w:rFonts w:ascii="Times New Roman" w:hAnsi="Times New Roman"/>
          <w:bCs/>
          <w:sz w:val="20"/>
          <w:szCs w:val="20"/>
        </w:rPr>
        <w:t>odpłatnego zbycia papierów wartościowych było znacznie wyższe niż ubiegłoroczne (o 111,8%). Nastąpiło to na skutek dużego wzrostu liczby podatników wykazujących d</w:t>
      </w:r>
      <w:r>
        <w:rPr>
          <w:rFonts w:ascii="Times New Roman" w:hAnsi="Times New Roman"/>
          <w:bCs/>
          <w:sz w:val="20"/>
          <w:szCs w:val="20"/>
        </w:rPr>
        <w:t>ochód z tego tytułu za 2020 rok</w:t>
      </w:r>
      <w:r w:rsidR="00556604" w:rsidRPr="00306773">
        <w:rPr>
          <w:rFonts w:ascii="Times New Roman" w:hAnsi="Times New Roman"/>
          <w:bCs/>
          <w:sz w:val="20"/>
          <w:szCs w:val="20"/>
        </w:rPr>
        <w:t>.</w:t>
      </w:r>
    </w:p>
    <w:p w:rsidR="002F7D61" w:rsidRPr="002F7D61" w:rsidRDefault="002F7D61" w:rsidP="002F7D61">
      <w:pPr>
        <w:widowControl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2F7D61">
        <w:rPr>
          <w:rFonts w:ascii="Times New Roman" w:hAnsi="Times New Roman"/>
          <w:bCs/>
          <w:sz w:val="20"/>
          <w:szCs w:val="20"/>
        </w:rPr>
        <w:t>Dochody z tytułu VAT w 2021 r., wg zasad ESA2010, wyniosły 225,1 mld zł były o 21,1% wyższe niż w</w:t>
      </w:r>
      <w:r w:rsidR="009B6D34">
        <w:rPr>
          <w:rFonts w:ascii="Times New Roman" w:hAnsi="Times New Roman"/>
          <w:bCs/>
          <w:sz w:val="20"/>
          <w:szCs w:val="20"/>
        </w:rPr>
        <w:t> </w:t>
      </w:r>
      <w:r w:rsidRPr="002F7D61">
        <w:rPr>
          <w:rFonts w:ascii="Times New Roman" w:hAnsi="Times New Roman"/>
          <w:bCs/>
          <w:sz w:val="20"/>
          <w:szCs w:val="20"/>
        </w:rPr>
        <w:t>2020</w:t>
      </w:r>
      <w:r w:rsidR="009B6D34">
        <w:rPr>
          <w:rFonts w:ascii="Times New Roman" w:hAnsi="Times New Roman"/>
          <w:bCs/>
          <w:sz w:val="20"/>
          <w:szCs w:val="20"/>
        </w:rPr>
        <w:t> </w:t>
      </w:r>
      <w:r w:rsidRPr="002F7D61">
        <w:rPr>
          <w:rFonts w:ascii="Times New Roman" w:hAnsi="Times New Roman"/>
          <w:bCs/>
          <w:sz w:val="20"/>
          <w:szCs w:val="20"/>
        </w:rPr>
        <w:t xml:space="preserve">r., w porównaniu do odnotowanego nominalnego wzrostu spożycia </w:t>
      </w:r>
      <w:r w:rsidR="00DA792E">
        <w:rPr>
          <w:rFonts w:ascii="Times New Roman" w:hAnsi="Times New Roman"/>
          <w:bCs/>
          <w:sz w:val="20"/>
          <w:szCs w:val="20"/>
        </w:rPr>
        <w:t>ogółem</w:t>
      </w:r>
      <w:r w:rsidR="00550FC6">
        <w:rPr>
          <w:rFonts w:ascii="Times New Roman" w:hAnsi="Times New Roman"/>
          <w:bCs/>
          <w:sz w:val="20"/>
          <w:szCs w:val="20"/>
        </w:rPr>
        <w:t xml:space="preserve"> </w:t>
      </w:r>
      <w:r w:rsidRPr="002F7D61">
        <w:rPr>
          <w:rFonts w:ascii="Times New Roman" w:hAnsi="Times New Roman"/>
          <w:bCs/>
          <w:sz w:val="20"/>
          <w:szCs w:val="20"/>
        </w:rPr>
        <w:t>(największej części bazy VAT) na poziomie 11,2% r/r. Według wstępnych szacunków Ministerstwa Finansów, w 2021 r. luka VAT uległa dalszemu ograniczeniu (o 6,1 pkt. proc.) i</w:t>
      </w:r>
      <w:r w:rsidR="009B6D34">
        <w:rPr>
          <w:rFonts w:ascii="Times New Roman" w:hAnsi="Times New Roman"/>
          <w:bCs/>
          <w:sz w:val="20"/>
          <w:szCs w:val="20"/>
        </w:rPr>
        <w:t> </w:t>
      </w:r>
      <w:r w:rsidRPr="002F7D61">
        <w:rPr>
          <w:rFonts w:ascii="Times New Roman" w:hAnsi="Times New Roman"/>
          <w:bCs/>
          <w:sz w:val="20"/>
          <w:szCs w:val="20"/>
        </w:rPr>
        <w:t xml:space="preserve">wynosiła ok. 4,3% potencjalnych wpływów </w:t>
      </w:r>
    </w:p>
    <w:p w:rsidR="002F7D61" w:rsidRDefault="002F7D61" w:rsidP="002F7D61">
      <w:pPr>
        <w:widowControl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2F7D61">
        <w:rPr>
          <w:rFonts w:ascii="Times New Roman" w:hAnsi="Times New Roman"/>
          <w:bCs/>
          <w:sz w:val="20"/>
          <w:szCs w:val="20"/>
        </w:rPr>
        <w:t>Dochody sektora instytucji rządowych i</w:t>
      </w:r>
      <w:r w:rsidR="009B6D34">
        <w:rPr>
          <w:rFonts w:ascii="Times New Roman" w:hAnsi="Times New Roman"/>
          <w:bCs/>
          <w:sz w:val="20"/>
          <w:szCs w:val="20"/>
        </w:rPr>
        <w:t> </w:t>
      </w:r>
      <w:r w:rsidRPr="002F7D61">
        <w:rPr>
          <w:rFonts w:ascii="Times New Roman" w:hAnsi="Times New Roman"/>
          <w:bCs/>
          <w:sz w:val="20"/>
          <w:szCs w:val="20"/>
        </w:rPr>
        <w:t>samorządowych z CIT, wg zasad ESA2010, wyniosły w 2021 r. 68,8 mld zł i były wyższe o 29,7% r/r. Według GUS wynik finansowy brutto przedsiębiorstw niefinansowych zwiększył się o 85,9%, a zysk brutto tych podmiotów wzrósł o 56,4%. Natomiast zgodnie z danymi gromadzonymi przez KNF wynik finansowy brutto banków w 2020 2021 r. wzrósł o 293,7%. Należy mieć na uwadze, że tak wysoki wzrost wynika z efektu bazy z uwagi bardzo niskie wyniki w IV kw. 2020 r. m.in. z powodu tworzenia rezerw zawiązanych na ryzyko związane ze skutkami pandemii Covid-19 oraz na walutowe kredyty hipoteczne.</w:t>
      </w:r>
    </w:p>
    <w:tbl>
      <w:tblPr>
        <w:tblpPr w:leftFromText="141" w:rightFromText="141" w:vertAnchor="text" w:horzAnchor="margin" w:tblpY="300"/>
        <w:tblW w:w="4680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950297" w:rsidRPr="00306773" w:rsidTr="0095029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950297" w:rsidRPr="002F7D61" w:rsidRDefault="00950297" w:rsidP="00950297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2F7D6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6. Dynamika wpływów z podatku VAT (r/r).</w:t>
            </w:r>
          </w:p>
        </w:tc>
      </w:tr>
      <w:tr w:rsidR="00950297" w:rsidRPr="00306773" w:rsidTr="00950297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950297" w:rsidRPr="002F7D61" w:rsidRDefault="00B943E8" w:rsidP="00950297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2C1D7D62">
                  <wp:extent cx="2853055" cy="2054225"/>
                  <wp:effectExtent l="0" t="0" r="4445" b="0"/>
                  <wp:docPr id="23" name="Obraz 23" descr="Wykres prezentuje dynamikę memoriałowych wpływów z podatku VAT r/r  w latach 2008- 2021. Dane szczegółowe dostępne w Aneksie statystycznym, na końcu opracowania." title="Wykres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297" w:rsidRPr="00306773" w:rsidTr="00950297">
        <w:tc>
          <w:tcPr>
            <w:tcW w:w="4680" w:type="dxa"/>
          </w:tcPr>
          <w:p w:rsidR="00950297" w:rsidRPr="002F7D61" w:rsidRDefault="00950297" w:rsidP="00950297">
            <w:pPr>
              <w:pStyle w:val="A1"/>
              <w:keepNext/>
              <w:spacing w:after="0" w:line="288" w:lineRule="auto"/>
              <w:ind w:firstLine="0"/>
              <w:jc w:val="left"/>
              <w:rPr>
                <w:i/>
                <w:color w:val="E31837"/>
                <w:sz w:val="16"/>
                <w:szCs w:val="16"/>
              </w:rPr>
            </w:pPr>
            <w:r w:rsidRPr="002F7D6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Źródło: MF</w:t>
            </w:r>
          </w:p>
        </w:tc>
      </w:tr>
    </w:tbl>
    <w:p w:rsidR="002F7D61" w:rsidRPr="002F7D61" w:rsidRDefault="002F7D61" w:rsidP="002F7D61">
      <w:pPr>
        <w:widowControl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2F7D61">
        <w:rPr>
          <w:rFonts w:ascii="Times New Roman" w:hAnsi="Times New Roman"/>
          <w:bCs/>
          <w:sz w:val="20"/>
          <w:szCs w:val="20"/>
        </w:rPr>
        <w:t>Na wykonanie dochodów budżetowych w 2021 r. z tytułu podatku dochodowego od osób prawnych miała wpływ poprawa sytuacji społeczno-gospodarczej kraju, w tym w wyniku stopniowego znoszenia ograniczeń wprowadzanych w związku z pandemią. Dodatkowymi czynnikami były zmiany legislacyjne, m.in.: przepisy regulujące rozbieżności w kwalifikacji struktur hybrydowych oraz podwyższenie z 1,2 mln euro do 2 mln euro limitu bieżących przychodów uprawniających do skorzystania z 9% stawki CIT</w:t>
      </w:r>
    </w:p>
    <w:p w:rsidR="00556604" w:rsidRPr="00306773" w:rsidRDefault="002F7D61" w:rsidP="002F7D61">
      <w:pPr>
        <w:widowControl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  <w:highlight w:val="cyan"/>
        </w:rPr>
      </w:pPr>
      <w:r w:rsidRPr="002F7D61">
        <w:rPr>
          <w:rFonts w:ascii="Times New Roman" w:hAnsi="Times New Roman"/>
          <w:bCs/>
          <w:sz w:val="20"/>
          <w:szCs w:val="20"/>
        </w:rPr>
        <w:t>Dochody z akcyzy, wg zasad ESA2010, wyniosły w 2021 r. 77,0 mld zł i były wyższe o 8,2% w stosunku do 2020 r. Na dochody z akcyzy w 2021 r. pozytywny wpływ miała przede wszystkim poprawa otoczenia gospodarczego w związku ze znoszeniem ograniczeń związanych z  pandemią, jak również obniżki stawek akcyzy na paliwa silnikowe. Wysoki popyt na paliwa w 2021 r. oraz relatywnie niskie ceny w trzech pierwszych kwartałach roku przełożyły się na wzrost wpływów z tego tytułu o 8,2%. Wpływy od wyrobów tytoniowych wzrosły o 8,8%, od alkoholu etylowego wzrosły o 4,3%, od samochodów osobowych wzrosły o 14,9% r/r. Spadły natomiast wpływy od piwa o 4,9% i gazu LPG o 1,1%.</w:t>
      </w:r>
    </w:p>
    <w:p w:rsidR="006B10E9" w:rsidRPr="00950297" w:rsidRDefault="006B10E9" w:rsidP="00950297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950297">
        <w:rPr>
          <w:rFonts w:ascii="Times New Roman" w:eastAsia="Calibri" w:hAnsi="Times New Roman"/>
          <w:sz w:val="20"/>
          <w:szCs w:val="20"/>
        </w:rPr>
        <w:t>Dochody z tytułu składek na ubezpieczenie społeczne były wyższe o 8,1% r/r (spadek relacji o 0,6 pkt. proc. do 14,0% PKB).</w:t>
      </w:r>
    </w:p>
    <w:p w:rsidR="00CF19C9" w:rsidRPr="00E832F5" w:rsidRDefault="00D55ED6" w:rsidP="00347DF8">
      <w:pPr>
        <w:pStyle w:val="Nagwek2"/>
        <w:spacing w:before="120" w:line="288" w:lineRule="auto"/>
        <w:jc w:val="both"/>
        <w:rPr>
          <w:rFonts w:ascii="Arial" w:hAnsi="Arial" w:cs="Arial"/>
          <w:i w:val="0"/>
          <w:color w:val="E31837"/>
          <w:sz w:val="20"/>
          <w:szCs w:val="20"/>
        </w:rPr>
      </w:pPr>
      <w:bookmarkStart w:id="8" w:name="_Toc105157408"/>
      <w:r w:rsidRPr="00E832F5">
        <w:rPr>
          <w:rFonts w:ascii="Arial" w:hAnsi="Arial" w:cs="Arial"/>
          <w:i w:val="0"/>
          <w:color w:val="E31837"/>
          <w:sz w:val="20"/>
          <w:szCs w:val="20"/>
        </w:rPr>
        <w:t>2.3</w:t>
      </w:r>
      <w:r w:rsidR="000974B5" w:rsidRPr="00E832F5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8"/>
    </w:p>
    <w:p w:rsidR="00E832F5" w:rsidRDefault="00CF19C9" w:rsidP="00E832F5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E832F5">
        <w:rPr>
          <w:rFonts w:ascii="Times New Roman" w:eastAsia="Calibri" w:hAnsi="Times New Roman"/>
          <w:sz w:val="20"/>
          <w:szCs w:val="20"/>
        </w:rPr>
        <w:t>Wydatki sektora instytucji rządowych i samorządowych</w:t>
      </w:r>
      <w:r w:rsidR="00E832F5" w:rsidRPr="00E832F5">
        <w:rPr>
          <w:rFonts w:ascii="Times New Roman" w:eastAsia="Calibri" w:hAnsi="Times New Roman"/>
          <w:sz w:val="20"/>
          <w:szCs w:val="20"/>
        </w:rPr>
        <w:t xml:space="preserve"> w 2021 r. wyniosły 44,2 % PKB</w:t>
      </w:r>
      <w:r w:rsidR="006B10E9" w:rsidRPr="00E832F5">
        <w:rPr>
          <w:rFonts w:ascii="Times New Roman" w:eastAsia="Calibri" w:hAnsi="Times New Roman"/>
          <w:sz w:val="20"/>
          <w:szCs w:val="20"/>
        </w:rPr>
        <w:t>, co oznacza spadek o</w:t>
      </w:r>
      <w:r w:rsidR="00BB56AE">
        <w:rPr>
          <w:rFonts w:ascii="Times New Roman" w:eastAsia="Calibri" w:hAnsi="Times New Roman"/>
          <w:sz w:val="20"/>
          <w:szCs w:val="20"/>
        </w:rPr>
        <w:t> </w:t>
      </w:r>
      <w:r w:rsidR="006B10E9" w:rsidRPr="00E832F5">
        <w:rPr>
          <w:rFonts w:ascii="Times New Roman" w:eastAsia="Calibri" w:hAnsi="Times New Roman"/>
          <w:sz w:val="20"/>
          <w:szCs w:val="20"/>
        </w:rPr>
        <w:t>ok. 4,0 pkt. proc. PKB</w:t>
      </w:r>
      <w:r w:rsidR="00E832F5">
        <w:rPr>
          <w:rFonts w:ascii="Times New Roman" w:eastAsia="Calibri" w:hAnsi="Times New Roman"/>
          <w:sz w:val="20"/>
          <w:szCs w:val="20"/>
        </w:rPr>
        <w:t xml:space="preserve">. </w:t>
      </w:r>
    </w:p>
    <w:p w:rsidR="00E832F5" w:rsidRPr="00E832F5" w:rsidRDefault="00E832F5" w:rsidP="00E832F5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E832F5">
        <w:rPr>
          <w:rFonts w:ascii="Times New Roman" w:eastAsia="Calibri" w:hAnsi="Times New Roman"/>
          <w:sz w:val="20"/>
          <w:szCs w:val="20"/>
        </w:rPr>
        <w:t>Głównym czynnikiem determinującym ograniczenie wydatków sektora w 2021 roku były niższe wydatki nakierowane na wsparcie podmiotów dotkniętych skutkami stanu epidemii COVID-19. Znalazły one odzwierciedlenie przede wszystkim w kategorii „dotacje dla przedsiębiorców”, które w relacji do PKB spadły o</w:t>
      </w:r>
      <w:r w:rsidR="00BB56AE">
        <w:rPr>
          <w:rFonts w:ascii="Times New Roman" w:eastAsia="Calibri" w:hAnsi="Times New Roman"/>
          <w:sz w:val="20"/>
          <w:szCs w:val="20"/>
        </w:rPr>
        <w:t> </w:t>
      </w:r>
      <w:r w:rsidRPr="00E832F5">
        <w:rPr>
          <w:rFonts w:ascii="Times New Roman" w:eastAsia="Calibri" w:hAnsi="Times New Roman"/>
          <w:sz w:val="20"/>
          <w:szCs w:val="20"/>
        </w:rPr>
        <w:t>2,4 pkt proc. do poziomu 1,2%. Należy podkreślić, że wydatki sektora instytucji rządowych i samorządowych nakierowane na powstrzymanie skutków stanu epidemii COVID-19 i walkę z tymi skutkami oraz na wsparcie dotkniętych nimi podmiotów wyniosły 71 728 mln zł, tj. 2,7 % PKB wobec 4,5% PKB w 2020 r.</w:t>
      </w:r>
    </w:p>
    <w:p w:rsidR="00E832F5" w:rsidRPr="00950297" w:rsidRDefault="00E832F5" w:rsidP="00950297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E832F5">
        <w:rPr>
          <w:rFonts w:ascii="Times New Roman" w:eastAsia="Calibri" w:hAnsi="Times New Roman"/>
          <w:sz w:val="20"/>
          <w:szCs w:val="20"/>
        </w:rPr>
        <w:t>Transfery społeczne łącznie ze świadczeniami z</w:t>
      </w:r>
      <w:r w:rsidR="00BB56AE">
        <w:rPr>
          <w:rFonts w:ascii="Times New Roman" w:eastAsia="Calibri" w:hAnsi="Times New Roman"/>
          <w:sz w:val="20"/>
          <w:szCs w:val="20"/>
        </w:rPr>
        <w:t> </w:t>
      </w:r>
      <w:r w:rsidRPr="00E832F5">
        <w:rPr>
          <w:rFonts w:ascii="Times New Roman" w:eastAsia="Calibri" w:hAnsi="Times New Roman"/>
          <w:sz w:val="20"/>
          <w:szCs w:val="20"/>
        </w:rPr>
        <w:t>ubezpieczeń społecznych wzrosły w 2021 r. nominalnie o 8,0% r/r i wyniosły 17,9% PKB, co oznacza spadek o 0,8 pkt. proc. w relacji do PKB.</w:t>
      </w:r>
    </w:p>
    <w:p w:rsidR="00E832F5" w:rsidRPr="00950297" w:rsidRDefault="00E832F5" w:rsidP="00950297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E832F5">
        <w:rPr>
          <w:rFonts w:ascii="Times New Roman" w:eastAsia="Calibri" w:hAnsi="Times New Roman"/>
          <w:sz w:val="20"/>
          <w:szCs w:val="20"/>
        </w:rPr>
        <w:t>W 2021 roku nastąpił nominalny wzrost spożycia publicznego o 9,7% r/r, co przełożyło się na spadek o</w:t>
      </w:r>
      <w:r w:rsidR="00BB56AE">
        <w:rPr>
          <w:rFonts w:ascii="Times New Roman" w:eastAsia="Calibri" w:hAnsi="Times New Roman"/>
          <w:sz w:val="20"/>
          <w:szCs w:val="20"/>
        </w:rPr>
        <w:t> </w:t>
      </w:r>
      <w:r w:rsidRPr="00E832F5">
        <w:rPr>
          <w:rFonts w:ascii="Times New Roman" w:eastAsia="Calibri" w:hAnsi="Times New Roman"/>
          <w:sz w:val="20"/>
          <w:szCs w:val="20"/>
        </w:rPr>
        <w:t>0,5 pkt. proc. w relacji do PKB, tj. do 18,7%. Na spadek spożycia publicznego w relacji do PKB wpłynął przede wszystkim istotny spadek kosztów pracy o</w:t>
      </w:r>
      <w:r w:rsidR="00BB56AE">
        <w:rPr>
          <w:rFonts w:ascii="Times New Roman" w:eastAsia="Calibri" w:hAnsi="Times New Roman"/>
          <w:sz w:val="20"/>
          <w:szCs w:val="20"/>
        </w:rPr>
        <w:t> </w:t>
      </w:r>
      <w:r w:rsidRPr="00E832F5">
        <w:rPr>
          <w:rFonts w:ascii="Times New Roman" w:eastAsia="Calibri" w:hAnsi="Times New Roman"/>
          <w:sz w:val="20"/>
          <w:szCs w:val="20"/>
        </w:rPr>
        <w:t>0,4</w:t>
      </w:r>
      <w:r w:rsidR="00BB56AE">
        <w:rPr>
          <w:rFonts w:ascii="Times New Roman" w:eastAsia="Calibri" w:hAnsi="Times New Roman"/>
          <w:sz w:val="20"/>
          <w:szCs w:val="20"/>
        </w:rPr>
        <w:t> </w:t>
      </w:r>
      <w:r w:rsidRPr="00E832F5">
        <w:rPr>
          <w:rFonts w:ascii="Times New Roman" w:eastAsia="Calibri" w:hAnsi="Times New Roman"/>
          <w:sz w:val="20"/>
          <w:szCs w:val="20"/>
        </w:rPr>
        <w:t>pkt.</w:t>
      </w:r>
      <w:r w:rsidR="00BB56AE">
        <w:rPr>
          <w:rFonts w:ascii="Times New Roman" w:eastAsia="Calibri" w:hAnsi="Times New Roman"/>
          <w:sz w:val="20"/>
          <w:szCs w:val="20"/>
        </w:rPr>
        <w:t> </w:t>
      </w:r>
      <w:r w:rsidRPr="00E832F5">
        <w:rPr>
          <w:rFonts w:ascii="Times New Roman" w:eastAsia="Calibri" w:hAnsi="Times New Roman"/>
          <w:sz w:val="20"/>
          <w:szCs w:val="20"/>
        </w:rPr>
        <w:t>proc. do 10,5%, przy czym nominalny wzrost wydatków na koszty pracy wyniósł 8,7% r/r (realny wzrost o 3,5% r/r).</w:t>
      </w:r>
    </w:p>
    <w:p w:rsidR="00556ADB" w:rsidRDefault="00E832F5" w:rsidP="00556AD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E832F5">
        <w:rPr>
          <w:rFonts w:ascii="Times New Roman" w:eastAsia="Calibri" w:hAnsi="Times New Roman"/>
          <w:sz w:val="20"/>
          <w:szCs w:val="20"/>
        </w:rPr>
        <w:t xml:space="preserve">W relacji do PKB inwestycje </w:t>
      </w:r>
      <w:r w:rsidR="00550FC6">
        <w:rPr>
          <w:rFonts w:ascii="Times New Roman" w:eastAsia="Calibri" w:hAnsi="Times New Roman"/>
          <w:sz w:val="20"/>
          <w:szCs w:val="20"/>
        </w:rPr>
        <w:t xml:space="preserve">sektora instytucji rządowych i samorządowych </w:t>
      </w:r>
      <w:r w:rsidRPr="00E832F5">
        <w:rPr>
          <w:rFonts w:ascii="Times New Roman" w:eastAsia="Calibri" w:hAnsi="Times New Roman"/>
          <w:sz w:val="20"/>
          <w:szCs w:val="20"/>
        </w:rPr>
        <w:t>osiągnęły 4,1% PKB (wzrost nominalny o 3,2%), na który wpływ miał nominalny wzrost inwestycji o ok. 7% odnotowany w</w:t>
      </w:r>
      <w:r w:rsidR="00BB56AE">
        <w:rPr>
          <w:rFonts w:ascii="Times New Roman" w:eastAsia="Calibri" w:hAnsi="Times New Roman"/>
          <w:sz w:val="20"/>
          <w:szCs w:val="20"/>
        </w:rPr>
        <w:t> </w:t>
      </w:r>
      <w:r w:rsidRPr="00E832F5">
        <w:rPr>
          <w:rFonts w:ascii="Times New Roman" w:eastAsia="Calibri" w:hAnsi="Times New Roman"/>
          <w:sz w:val="20"/>
          <w:szCs w:val="20"/>
        </w:rPr>
        <w:t xml:space="preserve">podsektorze rządowym, gdzie kontynuowana była realizacja wieloletnich programów w obszarze budowy dróg i modernizacji infrastruktury kolejowej. </w:t>
      </w:r>
    </w:p>
    <w:p w:rsidR="00950297" w:rsidRPr="00A5676D" w:rsidRDefault="000E4111" w:rsidP="00D52F7B">
      <w:pPr>
        <w:pStyle w:val="Nagwek1"/>
        <w:spacing w:before="120" w:line="288" w:lineRule="auto"/>
        <w:jc w:val="both"/>
      </w:pPr>
      <w:r w:rsidRPr="00950297">
        <w:rPr>
          <w:rFonts w:ascii="Times New Roman" w:eastAsia="Calibri" w:hAnsi="Times New Roman"/>
          <w:sz w:val="20"/>
          <w:szCs w:val="20"/>
        </w:rPr>
        <w:br w:type="page"/>
      </w:r>
      <w:bookmarkStart w:id="9" w:name="_Toc378241155"/>
      <w:bookmarkStart w:id="10" w:name="_Toc472594681"/>
      <w:bookmarkStart w:id="11" w:name="_Toc536019015"/>
      <w:bookmarkStart w:id="12" w:name="_Toc54778910"/>
      <w:bookmarkStart w:id="13" w:name="_Toc105157409"/>
      <w:r w:rsidR="00950297" w:rsidRPr="00D52F7B">
        <w:rPr>
          <w:rFonts w:ascii="Arial" w:hAnsi="Arial" w:cs="Arial"/>
          <w:color w:val="ADAFB2"/>
          <w:sz w:val="28"/>
          <w:szCs w:val="28"/>
        </w:rPr>
        <w:t xml:space="preserve">3. </w:t>
      </w:r>
      <w:bookmarkEnd w:id="9"/>
      <w:r w:rsidR="00950297" w:rsidRPr="00D52F7B">
        <w:rPr>
          <w:rFonts w:ascii="Arial" w:hAnsi="Arial" w:cs="Arial"/>
          <w:color w:val="ADAFB2"/>
          <w:sz w:val="28"/>
          <w:szCs w:val="28"/>
        </w:rPr>
        <w:t>Dług publiczny oraz potrzeby pożyczkowe</w:t>
      </w:r>
      <w:bookmarkEnd w:id="10"/>
      <w:bookmarkEnd w:id="11"/>
      <w:bookmarkEnd w:id="12"/>
      <w:bookmarkEnd w:id="13"/>
    </w:p>
    <w:p w:rsidR="00D55FD4" w:rsidRPr="00630C28" w:rsidRDefault="00D55FD4" w:rsidP="00D55FD4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4" w:name="_Toc472594682"/>
      <w:bookmarkStart w:id="15" w:name="_Toc105157410"/>
      <w:r w:rsidRPr="00630C28">
        <w:rPr>
          <w:rFonts w:ascii="Arial" w:hAnsi="Arial" w:cs="Arial"/>
          <w:i w:val="0"/>
          <w:color w:val="E31837"/>
          <w:sz w:val="20"/>
          <w:szCs w:val="20"/>
        </w:rPr>
        <w:t>3.1. Dług sektora instytucji rządowych i samorządowych (wg definicji UE)</w:t>
      </w:r>
      <w:bookmarkEnd w:id="14"/>
      <w:bookmarkEnd w:id="15"/>
    </w:p>
    <w:p w:rsidR="002F7D61" w:rsidRPr="00FC3C00" w:rsidRDefault="002F7D61" w:rsidP="00AC757F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FC3C00">
        <w:rPr>
          <w:rFonts w:ascii="Times New Roman" w:hAnsi="Times New Roman" w:cs="Arial"/>
          <w:sz w:val="20"/>
          <w:szCs w:val="20"/>
        </w:rPr>
        <w:t xml:space="preserve">Na koniec </w:t>
      </w:r>
      <w:r>
        <w:rPr>
          <w:rFonts w:ascii="Times New Roman" w:hAnsi="Times New Roman" w:cs="Arial"/>
          <w:sz w:val="20"/>
          <w:szCs w:val="20"/>
        </w:rPr>
        <w:t>IV kwartału 2021</w:t>
      </w:r>
      <w:r w:rsidRPr="00FC3C00">
        <w:rPr>
          <w:rFonts w:ascii="Times New Roman" w:hAnsi="Times New Roman" w:cs="Arial"/>
          <w:sz w:val="20"/>
          <w:szCs w:val="20"/>
        </w:rPr>
        <w:t xml:space="preserve"> r. dług sektora instytucji rządowych i samorządowych (dług EDP) stanowiący jeden z elementów kryterium fisk</w:t>
      </w:r>
      <w:r>
        <w:rPr>
          <w:rFonts w:ascii="Times New Roman" w:hAnsi="Times New Roman" w:cs="Arial"/>
          <w:sz w:val="20"/>
          <w:szCs w:val="20"/>
        </w:rPr>
        <w:t xml:space="preserve">alnego z </w:t>
      </w:r>
      <w:proofErr w:type="spellStart"/>
      <w:r>
        <w:rPr>
          <w:rFonts w:ascii="Times New Roman" w:hAnsi="Times New Roman" w:cs="Arial"/>
          <w:sz w:val="20"/>
          <w:szCs w:val="20"/>
        </w:rPr>
        <w:t>Maastricht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wyniósł 1.410,5</w:t>
      </w:r>
      <w:r w:rsidRPr="00FC3C00">
        <w:rPr>
          <w:rFonts w:ascii="Times New Roman" w:hAnsi="Times New Roman" w:cs="Arial"/>
          <w:sz w:val="20"/>
          <w:szCs w:val="20"/>
        </w:rPr>
        <w:t xml:space="preserve"> mld zł, co oznaczało:</w:t>
      </w:r>
    </w:p>
    <w:p w:rsidR="002F7D61" w:rsidRPr="009341A2" w:rsidRDefault="002F7D61" w:rsidP="00AC75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spadek o 8,3 mld zł (-0,6</w:t>
      </w:r>
      <w:r w:rsidRPr="009341A2">
        <w:rPr>
          <w:rFonts w:ascii="Times New Roman" w:hAnsi="Times New Roman"/>
          <w:sz w:val="20"/>
          <w:szCs w:val="20"/>
        </w:rPr>
        <w:t>%) w porównaniu z poprzednim kwartałem,</w:t>
      </w:r>
    </w:p>
    <w:p w:rsidR="002F7D61" w:rsidRPr="002F7D61" w:rsidRDefault="002F7D61" w:rsidP="002F7D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F7D61">
        <w:rPr>
          <w:rFonts w:ascii="Times New Roman" w:hAnsi="Times New Roman"/>
          <w:sz w:val="20"/>
          <w:szCs w:val="20"/>
        </w:rPr>
        <w:t>wzrost o 73,9 mld zł (+5,5%) w porównaniu z końcem 2020 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C129F" w:rsidRPr="002F7D61" w:rsidTr="004337A0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DC129F" w:rsidRPr="002F7D61" w:rsidRDefault="00DC129F" w:rsidP="00C52C15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2F7D6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 w:rsidR="00612206" w:rsidRPr="002F7D6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7</w:t>
            </w:r>
            <w:r w:rsidRPr="002F7D6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Dług</w:t>
            </w:r>
            <w:r w:rsidR="00B943E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EDP</w:t>
            </w:r>
            <w:r w:rsidRPr="002F7D6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</w:t>
            </w:r>
          </w:p>
        </w:tc>
      </w:tr>
      <w:tr w:rsidR="00DC129F" w:rsidRPr="002F7D61" w:rsidTr="000050DE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:rsidR="00DC129F" w:rsidRPr="002F7D61" w:rsidRDefault="00B943E8" w:rsidP="004337A0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72BA03D2">
                  <wp:extent cx="2853055" cy="2054225"/>
                  <wp:effectExtent l="0" t="0" r="4445" b="0"/>
                  <wp:docPr id="24" name="Obraz 24" descr="Wykres prezentuje poziom długu sektora instytucji rządowych i samorządowych EDP w mld zł i w relacji do PKB w latach 2010- 2021. Dane szczegółowe dostępne w Aneksie statystycznym, na końcu opracowania." title="Wykres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9F" w:rsidRPr="002F7D61" w:rsidTr="004337A0">
        <w:tc>
          <w:tcPr>
            <w:tcW w:w="4680" w:type="dxa"/>
          </w:tcPr>
          <w:p w:rsidR="00DC129F" w:rsidRPr="002F7D61" w:rsidRDefault="00DC129F" w:rsidP="004337A0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2F7D6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2F7D61" w:rsidRPr="002F7D61" w:rsidRDefault="002F7D61" w:rsidP="002F7D6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F7D61">
        <w:rPr>
          <w:rFonts w:ascii="Times New Roman" w:hAnsi="Times New Roman"/>
          <w:sz w:val="20"/>
          <w:szCs w:val="20"/>
        </w:rPr>
        <w:t>Na dług EDP złożyło się zadłużenie podsektorów:</w:t>
      </w:r>
    </w:p>
    <w:p w:rsidR="002F7D61" w:rsidRPr="0061515D" w:rsidRDefault="002F7D61" w:rsidP="002F7D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F7D61">
        <w:rPr>
          <w:rFonts w:ascii="Times New Roman" w:hAnsi="Times New Roman"/>
          <w:sz w:val="20"/>
          <w:szCs w:val="20"/>
        </w:rPr>
        <w:t>rządowego 1.311,2 mld zł  (spadek o 12,4 mld zł w IV kwartale</w:t>
      </w:r>
      <w:r>
        <w:rPr>
          <w:rFonts w:ascii="Times New Roman" w:hAnsi="Times New Roman"/>
          <w:sz w:val="20"/>
          <w:szCs w:val="20"/>
        </w:rPr>
        <w:t xml:space="preserve"> 2021</w:t>
      </w:r>
      <w:r w:rsidRPr="0061515D">
        <w:rPr>
          <w:rFonts w:ascii="Times New Roman" w:hAnsi="Times New Roman"/>
          <w:sz w:val="20"/>
          <w:szCs w:val="20"/>
        </w:rPr>
        <w:t xml:space="preserve"> r.),</w:t>
      </w:r>
    </w:p>
    <w:p w:rsidR="002F7D61" w:rsidRPr="0061515D" w:rsidRDefault="002F7D61" w:rsidP="002F7D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samorządowego </w:t>
      </w:r>
      <w:r>
        <w:rPr>
          <w:rFonts w:ascii="Times New Roman" w:hAnsi="Times New Roman"/>
          <w:sz w:val="20"/>
          <w:szCs w:val="20"/>
        </w:rPr>
        <w:t>99,3</w:t>
      </w:r>
      <w:r w:rsidRPr="0061515D">
        <w:rPr>
          <w:rFonts w:ascii="Times New Roman" w:hAnsi="Times New Roman"/>
          <w:sz w:val="20"/>
          <w:szCs w:val="20"/>
        </w:rPr>
        <w:t> mld zł, (</w:t>
      </w:r>
      <w:r>
        <w:rPr>
          <w:rFonts w:ascii="Times New Roman" w:hAnsi="Times New Roman"/>
          <w:sz w:val="20"/>
          <w:szCs w:val="20"/>
        </w:rPr>
        <w:t>wzrost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4,1</w:t>
      </w:r>
      <w:r w:rsidRPr="0061515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V kwartale 2021</w:t>
      </w:r>
      <w:r w:rsidRPr="0061515D">
        <w:rPr>
          <w:rFonts w:ascii="Times New Roman" w:hAnsi="Times New Roman"/>
          <w:sz w:val="20"/>
          <w:szCs w:val="20"/>
        </w:rPr>
        <w:t xml:space="preserve"> r.),</w:t>
      </w:r>
    </w:p>
    <w:p w:rsidR="002F7D61" w:rsidRPr="0061515D" w:rsidRDefault="002F7D61" w:rsidP="002F7D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:rsidR="002F7D61" w:rsidRPr="00630C28" w:rsidRDefault="002F7D61" w:rsidP="002F7D6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Zmiana długu EDP w z całym 2021</w:t>
      </w:r>
      <w:r w:rsidRPr="009B33BB">
        <w:rPr>
          <w:rFonts w:ascii="Times New Roman" w:hAnsi="Times New Roman"/>
          <w:sz w:val="20"/>
          <w:szCs w:val="20"/>
        </w:rPr>
        <w:t xml:space="preserve"> r., poza zmianami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0C28">
        <w:rPr>
          <w:rFonts w:ascii="Times New Roman" w:hAnsi="Times New Roman"/>
          <w:sz w:val="20"/>
          <w:szCs w:val="20"/>
        </w:rPr>
        <w:t>długu SP i JST, wynikała głównie ze:</w:t>
      </w:r>
    </w:p>
    <w:p w:rsidR="002F7D61" w:rsidRPr="0078154E" w:rsidRDefault="002F7D61" w:rsidP="002F7D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8154E">
        <w:rPr>
          <w:rFonts w:ascii="Times New Roman" w:hAnsi="Times New Roman"/>
          <w:sz w:val="20"/>
          <w:szCs w:val="20"/>
        </w:rPr>
        <w:t>wzrost</w:t>
      </w:r>
      <w:r>
        <w:rPr>
          <w:rFonts w:ascii="Times New Roman" w:hAnsi="Times New Roman"/>
          <w:sz w:val="20"/>
          <w:szCs w:val="20"/>
        </w:rPr>
        <w:t>u</w:t>
      </w:r>
      <w:r w:rsidRPr="0078154E">
        <w:rPr>
          <w:rFonts w:ascii="Times New Roman" w:hAnsi="Times New Roman"/>
          <w:sz w:val="20"/>
          <w:szCs w:val="20"/>
        </w:rPr>
        <w:t xml:space="preserve"> skonsolidowanego zadłużenia F</w:t>
      </w:r>
      <w:r>
        <w:rPr>
          <w:rFonts w:ascii="Times New Roman" w:hAnsi="Times New Roman"/>
          <w:sz w:val="20"/>
          <w:szCs w:val="20"/>
        </w:rPr>
        <w:t xml:space="preserve">unduszu </w:t>
      </w:r>
      <w:r w:rsidRPr="0078154E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rzeciwdziałania </w:t>
      </w:r>
      <w:r w:rsidRPr="0078154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ovid-19</w:t>
      </w:r>
      <w:r w:rsidRPr="0078154E">
        <w:rPr>
          <w:rFonts w:ascii="Times New Roman" w:hAnsi="Times New Roman"/>
          <w:sz w:val="20"/>
          <w:szCs w:val="20"/>
        </w:rPr>
        <w:t xml:space="preserve"> o 39</w:t>
      </w:r>
      <w:r>
        <w:rPr>
          <w:rFonts w:ascii="Times New Roman" w:hAnsi="Times New Roman"/>
          <w:sz w:val="20"/>
          <w:szCs w:val="20"/>
        </w:rPr>
        <w:t>,4</w:t>
      </w:r>
      <w:r w:rsidRPr="0078154E">
        <w:rPr>
          <w:rFonts w:ascii="Times New Roman" w:hAnsi="Times New Roman"/>
          <w:sz w:val="20"/>
          <w:szCs w:val="20"/>
        </w:rPr>
        <w:t xml:space="preserve"> ml</w:t>
      </w:r>
      <w:r>
        <w:rPr>
          <w:rFonts w:ascii="Times New Roman" w:hAnsi="Times New Roman"/>
          <w:sz w:val="20"/>
          <w:szCs w:val="20"/>
        </w:rPr>
        <w:t>d</w:t>
      </w:r>
      <w:r w:rsidRPr="0078154E">
        <w:rPr>
          <w:rFonts w:ascii="Times New Roman" w:hAnsi="Times New Roman"/>
          <w:sz w:val="20"/>
          <w:szCs w:val="20"/>
        </w:rPr>
        <w:t xml:space="preserve"> zł,</w:t>
      </w:r>
    </w:p>
    <w:p w:rsidR="002F7D61" w:rsidRPr="0078154E" w:rsidRDefault="002F7D61" w:rsidP="002F7D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8154E">
        <w:rPr>
          <w:rFonts w:ascii="Times New Roman" w:hAnsi="Times New Roman"/>
          <w:sz w:val="20"/>
          <w:szCs w:val="20"/>
        </w:rPr>
        <w:t>wzrost</w:t>
      </w:r>
      <w:r>
        <w:rPr>
          <w:rFonts w:ascii="Times New Roman" w:hAnsi="Times New Roman"/>
          <w:sz w:val="20"/>
          <w:szCs w:val="20"/>
        </w:rPr>
        <w:t>u</w:t>
      </w:r>
      <w:r w:rsidRPr="0078154E">
        <w:rPr>
          <w:rFonts w:ascii="Times New Roman" w:hAnsi="Times New Roman"/>
          <w:sz w:val="20"/>
          <w:szCs w:val="20"/>
        </w:rPr>
        <w:t xml:space="preserve"> zadłużenia </w:t>
      </w:r>
      <w:r>
        <w:rPr>
          <w:rFonts w:ascii="Times New Roman" w:hAnsi="Times New Roman"/>
          <w:sz w:val="20"/>
          <w:szCs w:val="20"/>
        </w:rPr>
        <w:t>Polskiego Funduszu Rozwoju</w:t>
      </w:r>
      <w:r w:rsidRPr="0078154E">
        <w:rPr>
          <w:rFonts w:ascii="Times New Roman" w:hAnsi="Times New Roman"/>
          <w:sz w:val="20"/>
          <w:szCs w:val="20"/>
        </w:rPr>
        <w:t xml:space="preserve"> związanego z finansowaniem Tarczy Finansowej w wysokości 8</w:t>
      </w:r>
      <w:r>
        <w:rPr>
          <w:rFonts w:ascii="Times New Roman" w:hAnsi="Times New Roman"/>
          <w:sz w:val="20"/>
          <w:szCs w:val="20"/>
        </w:rPr>
        <w:t>,5</w:t>
      </w:r>
      <w:r w:rsidRPr="0078154E">
        <w:rPr>
          <w:rFonts w:ascii="Times New Roman" w:hAnsi="Times New Roman"/>
          <w:sz w:val="20"/>
          <w:szCs w:val="20"/>
        </w:rPr>
        <w:t xml:space="preserve"> ml</w:t>
      </w:r>
      <w:r>
        <w:rPr>
          <w:rFonts w:ascii="Times New Roman" w:hAnsi="Times New Roman"/>
          <w:sz w:val="20"/>
          <w:szCs w:val="20"/>
        </w:rPr>
        <w:t>d</w:t>
      </w:r>
      <w:r w:rsidRPr="0078154E">
        <w:rPr>
          <w:rFonts w:ascii="Times New Roman" w:hAnsi="Times New Roman"/>
          <w:sz w:val="20"/>
          <w:szCs w:val="20"/>
        </w:rPr>
        <w:t xml:space="preserve"> zł,</w:t>
      </w:r>
    </w:p>
    <w:p w:rsidR="002F7D61" w:rsidRPr="0078154E" w:rsidRDefault="002F7D61" w:rsidP="002F7D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8154E">
        <w:rPr>
          <w:rFonts w:ascii="Times New Roman" w:hAnsi="Times New Roman"/>
          <w:sz w:val="20"/>
          <w:szCs w:val="20"/>
        </w:rPr>
        <w:t>spadek wpływu zaliczenia przedsiębiorstw do sektora instytucji rządowych i samorządowych o 5</w:t>
      </w:r>
      <w:r>
        <w:rPr>
          <w:rFonts w:ascii="Times New Roman" w:hAnsi="Times New Roman"/>
          <w:sz w:val="20"/>
          <w:szCs w:val="20"/>
        </w:rPr>
        <w:t>,7</w:t>
      </w:r>
      <w:r w:rsidRPr="0078154E">
        <w:rPr>
          <w:rFonts w:ascii="Times New Roman" w:hAnsi="Times New Roman"/>
          <w:sz w:val="20"/>
          <w:szCs w:val="20"/>
        </w:rPr>
        <w:t xml:space="preserve"> ml</w:t>
      </w:r>
      <w:r>
        <w:rPr>
          <w:rFonts w:ascii="Times New Roman" w:hAnsi="Times New Roman"/>
          <w:sz w:val="20"/>
          <w:szCs w:val="20"/>
        </w:rPr>
        <w:t>d</w:t>
      </w:r>
      <w:r w:rsidRPr="0078154E">
        <w:rPr>
          <w:rFonts w:ascii="Times New Roman" w:hAnsi="Times New Roman"/>
          <w:sz w:val="20"/>
          <w:szCs w:val="20"/>
        </w:rPr>
        <w:t xml:space="preserve"> zł, w tym wzrost zadłużenia</w:t>
      </w:r>
      <w:r>
        <w:rPr>
          <w:rFonts w:ascii="Times New Roman" w:hAnsi="Times New Roman"/>
          <w:sz w:val="20"/>
          <w:szCs w:val="20"/>
        </w:rPr>
        <w:t xml:space="preserve"> o </w:t>
      </w:r>
      <w:r w:rsidRPr="0078154E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,</w:t>
      </w:r>
      <w:r w:rsidRPr="0078154E">
        <w:rPr>
          <w:rFonts w:ascii="Times New Roman" w:hAnsi="Times New Roman"/>
          <w:sz w:val="20"/>
          <w:szCs w:val="20"/>
        </w:rPr>
        <w:t>7 ml</w:t>
      </w:r>
      <w:r>
        <w:rPr>
          <w:rFonts w:ascii="Times New Roman" w:hAnsi="Times New Roman"/>
          <w:sz w:val="20"/>
          <w:szCs w:val="20"/>
        </w:rPr>
        <w:t>d</w:t>
      </w:r>
      <w:r w:rsidRPr="0078154E">
        <w:rPr>
          <w:rFonts w:ascii="Times New Roman" w:hAnsi="Times New Roman"/>
          <w:sz w:val="20"/>
          <w:szCs w:val="20"/>
        </w:rPr>
        <w:t xml:space="preserve"> zł i wzrost posiadanych przez te jednostki skarbowych papierów wartościowych o 7</w:t>
      </w:r>
      <w:r>
        <w:rPr>
          <w:rFonts w:ascii="Times New Roman" w:hAnsi="Times New Roman"/>
          <w:sz w:val="20"/>
          <w:szCs w:val="20"/>
        </w:rPr>
        <w:t>,</w:t>
      </w:r>
      <w:r w:rsidRPr="0078154E">
        <w:rPr>
          <w:rFonts w:ascii="Times New Roman" w:hAnsi="Times New Roman"/>
          <w:sz w:val="20"/>
          <w:szCs w:val="20"/>
        </w:rPr>
        <w:t>4 ml</w:t>
      </w:r>
      <w:r>
        <w:rPr>
          <w:rFonts w:ascii="Times New Roman" w:hAnsi="Times New Roman"/>
          <w:sz w:val="20"/>
          <w:szCs w:val="20"/>
        </w:rPr>
        <w:t>d zł.</w:t>
      </w:r>
    </w:p>
    <w:p w:rsidR="002F7D61" w:rsidRPr="00630C28" w:rsidRDefault="002F7D61" w:rsidP="002F7D6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 xml:space="preserve">Największy udział w </w:t>
      </w:r>
      <w:r w:rsidRPr="00630C28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630C28">
        <w:rPr>
          <w:rFonts w:ascii="Times New Roman" w:hAnsi="Times New Roman"/>
          <w:sz w:val="20"/>
          <w:szCs w:val="20"/>
        </w:rPr>
        <w:t>dług Skarbu Państwa (SP).</w:t>
      </w:r>
    </w:p>
    <w:p w:rsidR="002F7D61" w:rsidRPr="00E96223" w:rsidRDefault="002F7D61" w:rsidP="002F7D6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 xml:space="preserve">Na </w:t>
      </w:r>
      <w:r w:rsidRPr="00E96223">
        <w:rPr>
          <w:rFonts w:ascii="Times New Roman" w:hAnsi="Times New Roman"/>
          <w:sz w:val="20"/>
          <w:szCs w:val="20"/>
        </w:rPr>
        <w:t>koniec IV kw. 2021 r. dług SP wyniósł 1.138,0 mld zł, co oznaczało spadek o 6,7 mld zł (0,6%) względem poprzedniego kwartału i wzrost o 40,6 mld zł (3,7%) wobec końca 2020 roku.</w:t>
      </w:r>
    </w:p>
    <w:p w:rsidR="002F7D61" w:rsidRPr="00E96223" w:rsidRDefault="002F7D61" w:rsidP="002F7D6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>Spadek długu SP w IV kw. 2021 r. był przede wszystkim wypadkową:</w:t>
      </w:r>
    </w:p>
    <w:p w:rsidR="002F7D61" w:rsidRPr="00E96223" w:rsidRDefault="002F7D61" w:rsidP="002F7D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>potrzeb pożyczkowych netto budżetu państwa (67,0 mld zł),</w:t>
      </w:r>
    </w:p>
    <w:p w:rsidR="002F7D61" w:rsidRPr="00E96223" w:rsidRDefault="002F7D61" w:rsidP="002F7D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>zmniejszenia stanu środków na rachunkach budżetowych (85,6 mld zł),</w:t>
      </w:r>
    </w:p>
    <w:p w:rsidR="002F7D61" w:rsidRPr="00E96223" w:rsidRDefault="002F7D61" w:rsidP="002F7D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>różnic kursowych (-1,1 mld zł).</w:t>
      </w:r>
    </w:p>
    <w:p w:rsidR="002F7D61" w:rsidRPr="00E96223" w:rsidRDefault="002F7D61" w:rsidP="002F7D6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>Zmiana długu SP w całym 2021 r. była przede wszystkim wypadkową:</w:t>
      </w:r>
    </w:p>
    <w:p w:rsidR="002F7D61" w:rsidRPr="00E96223" w:rsidRDefault="002F7D61" w:rsidP="002F7D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69" w:hanging="369"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>ujemnych potrzeb pożyczkowych netto budżetu państwa (-8,0 mld zł),</w:t>
      </w:r>
    </w:p>
    <w:p w:rsidR="002F7D61" w:rsidRDefault="002F7D61" w:rsidP="002F7D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 xml:space="preserve">zwiększenia stanu środków na rachunkach budżetowych (+21,0 mld zł), </w:t>
      </w:r>
    </w:p>
    <w:p w:rsidR="002F7D61" w:rsidRPr="00E96223" w:rsidRDefault="002F7D61" w:rsidP="002F7D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>różnic kursowych (+2,2 mld zł),</w:t>
      </w:r>
    </w:p>
    <w:p w:rsidR="002F7D61" w:rsidRPr="00E96223" w:rsidRDefault="002F7D61" w:rsidP="002F7D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69" w:hanging="369"/>
        <w:contextualSpacing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>obligacji przekazanych na podstawie innych ustaw niż ustawa budżetowa (+16,3 mld zł)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E96223">
        <w:rPr>
          <w:rFonts w:ascii="Times New Roman" w:hAnsi="Times New Roman"/>
          <w:sz w:val="20"/>
          <w:szCs w:val="20"/>
        </w:rPr>
        <w:t>,</w:t>
      </w:r>
    </w:p>
    <w:p w:rsidR="002F7D61" w:rsidRPr="00EC56B3" w:rsidRDefault="002F7D61" w:rsidP="002F7D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69" w:hanging="369"/>
        <w:contextualSpacing/>
        <w:jc w:val="both"/>
        <w:rPr>
          <w:rFonts w:ascii="Times New Roman" w:hAnsi="Times New Roman"/>
          <w:sz w:val="20"/>
          <w:szCs w:val="20"/>
        </w:rPr>
      </w:pPr>
      <w:r w:rsidRPr="00EC56B3">
        <w:rPr>
          <w:rFonts w:ascii="Times New Roman" w:hAnsi="Times New Roman"/>
          <w:sz w:val="20"/>
          <w:szCs w:val="20"/>
        </w:rPr>
        <w:t xml:space="preserve">umorzenia pożyczki Funduszu Solidarnościowego (-8,7 mld zł) przez Fundusz Rezerwy Demograficznej (w ramach sektora finansów publicznych, bez wpływu na dług </w:t>
      </w:r>
      <w:r>
        <w:rPr>
          <w:rFonts w:ascii="Times New Roman" w:hAnsi="Times New Roman"/>
          <w:sz w:val="20"/>
          <w:szCs w:val="20"/>
        </w:rPr>
        <w:t>EDP</w:t>
      </w:r>
      <w:r w:rsidRPr="00EC56B3">
        <w:rPr>
          <w:rFonts w:ascii="Times New Roman" w:hAnsi="Times New Roman"/>
          <w:sz w:val="20"/>
          <w:szCs w:val="20"/>
        </w:rPr>
        <w:t>).</w:t>
      </w:r>
    </w:p>
    <w:p w:rsidR="002F7D61" w:rsidRPr="00E96223" w:rsidRDefault="002F7D61" w:rsidP="002F7D61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>Na koniec IV kw. 2021 r. udział długu w walutach obcych w całym długu SP wyniósł 23,3% wobec 24,4% na koniec III kw. 2020 r. oraz 24,2% na koniec 2020 r.</w:t>
      </w:r>
    </w:p>
    <w:p w:rsidR="00630C28" w:rsidRPr="00630C28" w:rsidRDefault="002F7D61" w:rsidP="002F7D61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6223">
        <w:rPr>
          <w:rFonts w:ascii="Times New Roman" w:hAnsi="Times New Roman"/>
          <w:sz w:val="20"/>
          <w:szCs w:val="20"/>
        </w:rPr>
        <w:t>Udział długu wobec nierezydentów w długu ogółem na koniec IV kw. 2021 r. wyniósł 32,1% wobec 33,5% na koniec III kw., oraz 34,0% na koniec 2020 r.</w:t>
      </w:r>
    </w:p>
    <w:p w:rsidR="002209A3" w:rsidRPr="00630C28" w:rsidRDefault="002209A3" w:rsidP="002209A3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D55FD4" w:rsidRPr="00630C28" w:rsidRDefault="00D55FD4" w:rsidP="00D55FD4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6" w:name="_Toc105157411"/>
      <w:r w:rsidRPr="00630C28">
        <w:rPr>
          <w:rFonts w:ascii="Arial" w:hAnsi="Arial" w:cs="Arial"/>
          <w:i w:val="0"/>
          <w:color w:val="E31837"/>
          <w:sz w:val="20"/>
          <w:szCs w:val="20"/>
        </w:rPr>
        <w:t xml:space="preserve">3.2. Potrzeby pożyczkowe budżetu państwa </w:t>
      </w:r>
      <w:r w:rsidRPr="00630C28">
        <w:rPr>
          <w:rFonts w:ascii="Arial" w:hAnsi="Arial" w:cs="Arial"/>
          <w:i w:val="0"/>
          <w:color w:val="E31837"/>
          <w:sz w:val="20"/>
          <w:szCs w:val="20"/>
        </w:rPr>
        <w:br/>
        <w:t>i ic</w:t>
      </w:r>
      <w:r w:rsidR="00630C28" w:rsidRPr="00630C28">
        <w:rPr>
          <w:rFonts w:ascii="Arial" w:hAnsi="Arial" w:cs="Arial"/>
          <w:i w:val="0"/>
          <w:color w:val="E31837"/>
          <w:sz w:val="20"/>
          <w:szCs w:val="20"/>
        </w:rPr>
        <w:t>h</w:t>
      </w:r>
      <w:r w:rsidR="00EB2A9D">
        <w:rPr>
          <w:rFonts w:ascii="Arial" w:hAnsi="Arial" w:cs="Arial"/>
          <w:i w:val="0"/>
          <w:color w:val="E31837"/>
          <w:sz w:val="20"/>
          <w:szCs w:val="20"/>
        </w:rPr>
        <w:t xml:space="preserve"> finansowanie w IV kwartale 2021</w:t>
      </w:r>
      <w:r w:rsidRPr="00630C28">
        <w:rPr>
          <w:rFonts w:ascii="Arial" w:hAnsi="Arial" w:cs="Arial"/>
          <w:i w:val="0"/>
          <w:color w:val="E31837"/>
          <w:sz w:val="20"/>
          <w:szCs w:val="20"/>
        </w:rPr>
        <w:t xml:space="preserve"> r.</w:t>
      </w:r>
      <w:bookmarkEnd w:id="16"/>
      <w:r w:rsidR="002209A3" w:rsidRPr="00630C28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EB2A9D" w:rsidRPr="00FA5DF1" w:rsidRDefault="00EB2A9D" w:rsidP="008F76B0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Potrzeby pożyczkowe netto budżetu państwa ukształtowały się na poziomie 67,0 mld zł, w tym:</w:t>
      </w:r>
    </w:p>
    <w:p w:rsidR="00EB2A9D" w:rsidRPr="00FA5DF1" w:rsidRDefault="00EB2A9D" w:rsidP="008F76B0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deficyt budżetu państwa: 74,0 mld zł,</w:t>
      </w:r>
    </w:p>
    <w:p w:rsidR="00EB2A9D" w:rsidRPr="00FA5DF1" w:rsidRDefault="00EB2A9D" w:rsidP="008F76B0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płatności związane z udziałami Skarbu Państwa w międzynarodowych instytucjach finansowych: 0,8 mld zł,</w:t>
      </w:r>
    </w:p>
    <w:p w:rsidR="00EB2A9D" w:rsidRPr="00FA5DF1" w:rsidRDefault="00EB2A9D" w:rsidP="008F76B0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zarządzanie środkami europejskimi: 10,6 mld zł,</w:t>
      </w:r>
    </w:p>
    <w:p w:rsidR="00EB2A9D" w:rsidRPr="00FA5DF1" w:rsidRDefault="00EB2A9D" w:rsidP="008F76B0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 xml:space="preserve">pozostałe pozycje wpływały na pomniejszenie potrzeb w wysokości 18,4 mld zł, z czego 17,5 mld zł z tytułu zarządzania płynnością sektora finansów publicznych, 0,7 mld zł z tytułu nadwyżki budżetu środków europejskich oraz 0,2 mld zł z pozostałych przychodów i rozchodów. </w:t>
      </w:r>
    </w:p>
    <w:p w:rsidR="00EB2A9D" w:rsidRPr="00FA5DF1" w:rsidRDefault="00EB2A9D" w:rsidP="008F76B0">
      <w:pPr>
        <w:widowControl w:val="0"/>
        <w:spacing w:before="120" w:after="0" w:line="288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 xml:space="preserve">Wartość długu przypadającego do wykupu w omawianym okresie wyniosła wg kapitału 33,0 mld zł, w tym krajowego 17,9 mld zł, a zagranicznego 15,1 mld zł. </w:t>
      </w:r>
      <w:r w:rsidRPr="00FA5DF1">
        <w:rPr>
          <w:rFonts w:ascii="Times New Roman" w:hAnsi="Times New Roman"/>
          <w:b/>
          <w:color w:val="000000" w:themeColor="text1"/>
          <w:sz w:val="20"/>
          <w:szCs w:val="20"/>
        </w:rPr>
        <w:t>Potrzeby pożyczkowe brutto</w:t>
      </w:r>
      <w:r w:rsidRPr="00FA5DF1">
        <w:rPr>
          <w:rFonts w:ascii="Times New Roman" w:hAnsi="Times New Roman"/>
          <w:color w:val="000000" w:themeColor="text1"/>
          <w:sz w:val="20"/>
          <w:szCs w:val="20"/>
        </w:rPr>
        <w:t>, tj. suma potrzeb netto i długu przypadającego do wykupu, wyniosły 100,0 mld zł. Po uwzględnieniu przedterminowych odkupów, wykup długu wyniósł 36,5 mld zł (w tym krajowego 21,4 mld zł  i zagranicznego 15,1 mld zł).</w:t>
      </w:r>
    </w:p>
    <w:p w:rsidR="00EB2A9D" w:rsidRPr="00FA5DF1" w:rsidRDefault="00EB2A9D" w:rsidP="008F76B0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W całym 2021 roku saldo potrzeb pożyczkowych netto było ujemne i wyniosło 8,0 mld zł, wartość długu do wykupu 172,5 mld zł, zaś potrzeby pożyczkowe brutto ukształtowały się na poziomie 164,5 mld zł.</w:t>
      </w:r>
    </w:p>
    <w:p w:rsidR="00EB2A9D" w:rsidRPr="00FA5DF1" w:rsidRDefault="00EB2A9D" w:rsidP="008F76B0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 xml:space="preserve">Finansowanie potrzeb pożyczkowych w IV kwartale było następujące: </w:t>
      </w:r>
    </w:p>
    <w:p w:rsidR="00EB2A9D" w:rsidRPr="00FA5DF1" w:rsidRDefault="00EB2A9D" w:rsidP="008F76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na rynku krajowym środki pozyskano z emisji:</w:t>
      </w:r>
    </w:p>
    <w:p w:rsidR="00EB2A9D" w:rsidRPr="00FA5DF1" w:rsidRDefault="00EB2A9D" w:rsidP="008F76B0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 xml:space="preserve">obligacji hurtowych: 11,7 mld zł, </w:t>
      </w:r>
    </w:p>
    <w:p w:rsidR="00EB2A9D" w:rsidRPr="00FA5DF1" w:rsidRDefault="00EB2A9D" w:rsidP="008F76B0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obligacji detalicznych: 5,0 mld zł (bez obligacji sprzedanych i wykupionych w 2021 r.),</w:t>
      </w:r>
    </w:p>
    <w:p w:rsidR="00EB2A9D" w:rsidRPr="00FA5DF1" w:rsidRDefault="00EB2A9D" w:rsidP="008F76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Times New Roman" w:hAnsi="Times New Roman" w:cs="Arial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n</w:t>
      </w:r>
      <w:r w:rsidRPr="00FA5DF1">
        <w:rPr>
          <w:rFonts w:ascii="Times New Roman" w:hAnsi="Times New Roman" w:cs="Arial"/>
          <w:sz w:val="20"/>
          <w:szCs w:val="20"/>
        </w:rPr>
        <w:t xml:space="preserve">a rynkach </w:t>
      </w:r>
      <w:r w:rsidRPr="00FA5DF1">
        <w:rPr>
          <w:rFonts w:ascii="Times New Roman" w:hAnsi="Times New Roman"/>
          <w:sz w:val="20"/>
          <w:szCs w:val="20"/>
        </w:rPr>
        <w:t>zagranicznych</w:t>
      </w:r>
      <w:r w:rsidRPr="00FA5DF1">
        <w:rPr>
          <w:rFonts w:ascii="Times New Roman" w:hAnsi="Times New Roman" w:cs="Arial"/>
          <w:sz w:val="20"/>
          <w:szCs w:val="20"/>
        </w:rPr>
        <w:t xml:space="preserve"> środki pozyskano z:</w:t>
      </w:r>
    </w:p>
    <w:p w:rsidR="00EB2A9D" w:rsidRPr="00FA5DF1" w:rsidRDefault="00EB2A9D" w:rsidP="008F76B0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kredytów w międzynarodowych instytucjach finansowych</w:t>
      </w:r>
      <w:r w:rsidRPr="00FA5DF1">
        <w:rPr>
          <w:rFonts w:ascii="Times New Roman" w:hAnsi="Times New Roman" w:cs="Arial"/>
          <w:sz w:val="20"/>
          <w:szCs w:val="20"/>
        </w:rPr>
        <w:t>: 0,1 mld zł (0,03 mld EUR)</w:t>
      </w:r>
      <w:r w:rsidRPr="00FA5DF1">
        <w:rPr>
          <w:rFonts w:ascii="Times New Roman" w:hAnsi="Times New Roman"/>
          <w:sz w:val="20"/>
          <w:szCs w:val="20"/>
        </w:rPr>
        <w:t>,</w:t>
      </w:r>
    </w:p>
    <w:p w:rsidR="00EB2A9D" w:rsidRPr="00FA5DF1" w:rsidRDefault="00EB2A9D" w:rsidP="008F76B0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emisji obligacji denominowanych w juanach: 1,8 mld zł (3,0 mld CNY),</w:t>
      </w:r>
    </w:p>
    <w:p w:rsidR="00EB2A9D" w:rsidRPr="00FA5DF1" w:rsidRDefault="00EB2A9D" w:rsidP="008F76B0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W IV kw. 2021 roku nastąpił:</w:t>
      </w:r>
    </w:p>
    <w:p w:rsidR="00EB2A9D" w:rsidRPr="00FA5DF1" w:rsidRDefault="00EB2A9D" w:rsidP="008F76B0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w zakresie sytuacji płynnościowej budżetu państwa:</w:t>
      </w:r>
    </w:p>
    <w:p w:rsidR="00EB2A9D" w:rsidRPr="00FA5DF1" w:rsidRDefault="00EB2A9D" w:rsidP="008F76B0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 xml:space="preserve">spadek środków na rachunkach budżetowych o 85,9 mld zł do 92,0 mld zł, </w:t>
      </w:r>
    </w:p>
    <w:p w:rsidR="00EB2A9D" w:rsidRPr="00FA5DF1" w:rsidRDefault="00EB2A9D" w:rsidP="008F76B0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:rsidR="00EB2A9D" w:rsidRPr="00FA5DF1" w:rsidRDefault="00EB2A9D" w:rsidP="008F76B0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color w:val="FF0000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 xml:space="preserve">spadek zadłużenia wobec banków o 6,3 mld zł i nierezydentów o 4,7 mld zł przy wzroście wobec krajowego sektora </w:t>
      </w:r>
      <w:proofErr w:type="spellStart"/>
      <w:r w:rsidRPr="00FA5DF1">
        <w:rPr>
          <w:rFonts w:ascii="Times New Roman" w:hAnsi="Times New Roman"/>
          <w:sz w:val="20"/>
          <w:szCs w:val="20"/>
        </w:rPr>
        <w:t>pozabankowego</w:t>
      </w:r>
      <w:proofErr w:type="spellEnd"/>
      <w:r w:rsidRPr="00FA5DF1">
        <w:rPr>
          <w:rFonts w:ascii="Times New Roman" w:hAnsi="Times New Roman"/>
          <w:sz w:val="20"/>
          <w:szCs w:val="20"/>
        </w:rPr>
        <w:t xml:space="preserve"> o 15,2 mld zł,</w:t>
      </w:r>
    </w:p>
    <w:p w:rsidR="00EB2A9D" w:rsidRPr="00FA5DF1" w:rsidRDefault="00EB2A9D" w:rsidP="008F76B0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na rynku polskich obligacji:</w:t>
      </w:r>
    </w:p>
    <w:p w:rsidR="00EB2A9D" w:rsidRPr="00FA5DF1" w:rsidRDefault="00EB2A9D" w:rsidP="008F76B0">
      <w:pPr>
        <w:widowControl w:val="0"/>
        <w:numPr>
          <w:ilvl w:val="0"/>
          <w:numId w:val="1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na rynku krajowym: wzrost rentowności obligacji wzdłuż całej krzywej - na koniec kwartału rentowności</w:t>
      </w:r>
      <w:r w:rsidRPr="00FA5DF1" w:rsidDel="0064738C">
        <w:rPr>
          <w:rFonts w:ascii="Times New Roman" w:hAnsi="Times New Roman"/>
          <w:sz w:val="20"/>
          <w:szCs w:val="20"/>
        </w:rPr>
        <w:t xml:space="preserve"> </w:t>
      </w:r>
      <w:r w:rsidRPr="00FA5DF1">
        <w:rPr>
          <w:rFonts w:ascii="Times New Roman" w:hAnsi="Times New Roman"/>
          <w:sz w:val="20"/>
          <w:szCs w:val="20"/>
        </w:rPr>
        <w:t xml:space="preserve">obligacji 2-, 5- i 10-letnich wyniosły odpowiednio 3,4% (+2,6 </w:t>
      </w:r>
      <w:proofErr w:type="spellStart"/>
      <w:r w:rsidRPr="00FA5DF1">
        <w:rPr>
          <w:rFonts w:ascii="Times New Roman" w:hAnsi="Times New Roman"/>
          <w:sz w:val="20"/>
          <w:szCs w:val="20"/>
        </w:rPr>
        <w:t>p.p</w:t>
      </w:r>
      <w:proofErr w:type="spellEnd"/>
      <w:r w:rsidRPr="00FA5DF1">
        <w:rPr>
          <w:rFonts w:ascii="Times New Roman" w:hAnsi="Times New Roman"/>
          <w:sz w:val="20"/>
          <w:szCs w:val="20"/>
        </w:rPr>
        <w:t xml:space="preserve">.), 4,0% (+2,3 </w:t>
      </w:r>
      <w:proofErr w:type="spellStart"/>
      <w:r w:rsidRPr="00FA5DF1">
        <w:rPr>
          <w:rFonts w:ascii="Times New Roman" w:hAnsi="Times New Roman"/>
          <w:sz w:val="20"/>
          <w:szCs w:val="20"/>
        </w:rPr>
        <w:t>p.p</w:t>
      </w:r>
      <w:proofErr w:type="spellEnd"/>
      <w:r w:rsidRPr="00FA5DF1">
        <w:rPr>
          <w:rFonts w:ascii="Times New Roman" w:hAnsi="Times New Roman"/>
          <w:sz w:val="20"/>
          <w:szCs w:val="20"/>
        </w:rPr>
        <w:t xml:space="preserve">.) oraz 3,7% (+1,5 </w:t>
      </w:r>
      <w:proofErr w:type="spellStart"/>
      <w:r w:rsidRPr="00FA5DF1">
        <w:rPr>
          <w:rFonts w:ascii="Times New Roman" w:hAnsi="Times New Roman"/>
          <w:sz w:val="20"/>
          <w:szCs w:val="20"/>
        </w:rPr>
        <w:t>p.p</w:t>
      </w:r>
      <w:proofErr w:type="spellEnd"/>
      <w:r w:rsidRPr="00FA5DF1">
        <w:rPr>
          <w:rFonts w:ascii="Times New Roman" w:hAnsi="Times New Roman"/>
          <w:sz w:val="20"/>
          <w:szCs w:val="20"/>
        </w:rPr>
        <w:t>.),</w:t>
      </w:r>
    </w:p>
    <w:p w:rsidR="00EB2A9D" w:rsidRPr="008F76B0" w:rsidRDefault="00EB2A9D" w:rsidP="0049487D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F76B0">
        <w:rPr>
          <w:rFonts w:ascii="Times New Roman" w:hAnsi="Times New Roman"/>
          <w:sz w:val="20"/>
          <w:szCs w:val="20"/>
        </w:rPr>
        <w:t>na rynku obligacji w euro: stabilizacja rentowności obligacji krótkoterminowych oraz wzrost rentowności obligacji średnio- i długoterminowych: na koniec kwartału rentowności obligacji 2</w:t>
      </w:r>
      <w:r w:rsidRPr="008F76B0">
        <w:rPr>
          <w:rFonts w:ascii="Times New Roman" w:hAnsi="Times New Roman"/>
          <w:sz w:val="20"/>
          <w:szCs w:val="20"/>
        </w:rPr>
        <w:noBreakHyphen/>
        <w:t>, 5- i 10</w:t>
      </w:r>
      <w:r w:rsidRPr="008F76B0">
        <w:rPr>
          <w:rFonts w:ascii="Times New Roman" w:hAnsi="Times New Roman"/>
          <w:sz w:val="20"/>
          <w:szCs w:val="20"/>
        </w:rPr>
        <w:noBreakHyphen/>
        <w:t>letnich wyniosły odpowie</w:t>
      </w:r>
      <w:r w:rsidRPr="008F76B0">
        <w:rPr>
          <w:rFonts w:ascii="Times New Roman" w:hAnsi="Times New Roman"/>
          <w:sz w:val="20"/>
          <w:szCs w:val="20"/>
        </w:rPr>
        <w:softHyphen/>
        <w:t xml:space="preserve">dnio -0,3% (bez zmian), 0,2% (+0,4 </w:t>
      </w:r>
      <w:proofErr w:type="spellStart"/>
      <w:r w:rsidRPr="008F76B0">
        <w:rPr>
          <w:rFonts w:ascii="Times New Roman" w:hAnsi="Times New Roman"/>
          <w:sz w:val="20"/>
          <w:szCs w:val="20"/>
        </w:rPr>
        <w:t>p.p</w:t>
      </w:r>
      <w:proofErr w:type="spellEnd"/>
      <w:r w:rsidRPr="008F76B0">
        <w:rPr>
          <w:rFonts w:ascii="Times New Roman" w:hAnsi="Times New Roman"/>
          <w:sz w:val="20"/>
          <w:szCs w:val="20"/>
        </w:rPr>
        <w:t xml:space="preserve">.) oraz 0,2% (+0,3 </w:t>
      </w:r>
      <w:proofErr w:type="spellStart"/>
      <w:r w:rsidRPr="008F76B0">
        <w:rPr>
          <w:rFonts w:ascii="Times New Roman" w:hAnsi="Times New Roman"/>
          <w:sz w:val="20"/>
          <w:szCs w:val="20"/>
        </w:rPr>
        <w:t>p.p</w:t>
      </w:r>
      <w:proofErr w:type="spellEnd"/>
      <w:r w:rsidRPr="008F76B0">
        <w:rPr>
          <w:rFonts w:ascii="Times New Roman" w:hAnsi="Times New Roman"/>
          <w:sz w:val="20"/>
          <w:szCs w:val="20"/>
        </w:rPr>
        <w:t xml:space="preserve">.). </w:t>
      </w:r>
    </w:p>
    <w:tbl>
      <w:tblPr>
        <w:tblpPr w:leftFromText="141" w:rightFromText="141" w:vertAnchor="text" w:horzAnchor="margin" w:tblpXSpec="right" w:tblpY="8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38"/>
      </w:tblGrid>
      <w:tr w:rsidR="008F76B0" w:rsidRPr="00630C28" w:rsidTr="008F76B0">
        <w:trPr>
          <w:gridAfter w:val="1"/>
          <w:wAfter w:w="38" w:type="dxa"/>
          <w:trHeight w:val="611"/>
        </w:trPr>
        <w:tc>
          <w:tcPr>
            <w:tcW w:w="4515" w:type="dxa"/>
          </w:tcPr>
          <w:p w:rsidR="008F76B0" w:rsidRPr="00630C28" w:rsidRDefault="008F76B0" w:rsidP="008F76B0">
            <w:pPr>
              <w:pStyle w:val="A1"/>
              <w:keepNext/>
              <w:spacing w:after="0" w:line="288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630C2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Wyk.8. Rentowności SPW – rynek wtórny</w:t>
            </w:r>
          </w:p>
        </w:tc>
      </w:tr>
      <w:tr w:rsidR="008F76B0" w:rsidRPr="00630C28" w:rsidTr="003E75BC">
        <w:tblPrEx>
          <w:tblCellMar>
            <w:left w:w="70" w:type="dxa"/>
            <w:right w:w="70" w:type="dxa"/>
          </w:tblCellMar>
        </w:tblPrEx>
        <w:trPr>
          <w:trHeight w:val="1736"/>
        </w:trPr>
        <w:tc>
          <w:tcPr>
            <w:tcW w:w="4553" w:type="dxa"/>
            <w:gridSpan w:val="2"/>
          </w:tcPr>
          <w:p w:rsidR="008F76B0" w:rsidRPr="00630C28" w:rsidRDefault="003E75BC" w:rsidP="008F76B0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E956449" wp14:editId="043514C6">
                  <wp:extent cx="2802255" cy="2017395"/>
                  <wp:effectExtent l="0" t="0" r="0" b="1905"/>
                  <wp:docPr id="6" name="Obraz 5" descr="Wykres przedstawia rentowności skarbowych papierów wartościowych na rynku wtórnym w podziale na 2-letnie, 5-letnie i 10-letnie, w okresie od stycznia 2020 do grudnia 2021 roku. Dane szczegółowe dostępne w Aneksie statystycznym, na końcu opracowania." title="Wykres 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6B0" w:rsidRPr="00630C28" w:rsidTr="008F76B0">
        <w:trPr>
          <w:gridAfter w:val="1"/>
          <w:wAfter w:w="38" w:type="dxa"/>
          <w:trHeight w:val="144"/>
        </w:trPr>
        <w:tc>
          <w:tcPr>
            <w:tcW w:w="4515" w:type="dxa"/>
          </w:tcPr>
          <w:p w:rsidR="008F76B0" w:rsidRPr="00630C28" w:rsidRDefault="008F76B0" w:rsidP="008F76B0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</w:rPr>
            </w:pPr>
            <w:r w:rsidRPr="00630C28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EB2A9D" w:rsidRPr="00FA5DF1" w:rsidRDefault="00EB2A9D" w:rsidP="008F76B0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W całym 2021 roku nastąpił:</w:t>
      </w:r>
    </w:p>
    <w:p w:rsidR="00EB2A9D" w:rsidRPr="00FA5DF1" w:rsidRDefault="00EB2A9D" w:rsidP="008F76B0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w zakresie sytuacji płynnościowej budżetu państwa:</w:t>
      </w:r>
    </w:p>
    <w:p w:rsidR="00EB2A9D" w:rsidRPr="00FA5DF1" w:rsidRDefault="00EB2A9D" w:rsidP="008F76B0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 xml:space="preserve">wzrost środków na rachunkach budżetowych </w:t>
      </w:r>
      <w:r w:rsidRPr="00FA5DF1">
        <w:rPr>
          <w:rFonts w:ascii="Times New Roman" w:hAnsi="Times New Roman"/>
          <w:sz w:val="20"/>
          <w:szCs w:val="20"/>
        </w:rPr>
        <w:br/>
        <w:t xml:space="preserve">o 21,0 mld zł do 92,0 mld zł, </w:t>
      </w:r>
    </w:p>
    <w:p w:rsidR="00EB2A9D" w:rsidRPr="00FA5DF1" w:rsidRDefault="00EB2A9D" w:rsidP="008F76B0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:rsidR="00EB2A9D" w:rsidRPr="00FA5DF1" w:rsidRDefault="00EB2A9D" w:rsidP="008F76B0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 xml:space="preserve">wzrost zadłużenia wobec banków o 18,0 mld zł i krajowego sektora </w:t>
      </w:r>
      <w:proofErr w:type="spellStart"/>
      <w:r w:rsidRPr="00FA5DF1">
        <w:rPr>
          <w:rFonts w:ascii="Times New Roman" w:hAnsi="Times New Roman"/>
          <w:sz w:val="20"/>
          <w:szCs w:val="20"/>
        </w:rPr>
        <w:t>pozabankowego</w:t>
      </w:r>
      <w:proofErr w:type="spellEnd"/>
      <w:r w:rsidRPr="00FA5DF1">
        <w:rPr>
          <w:rFonts w:ascii="Times New Roman" w:hAnsi="Times New Roman"/>
          <w:sz w:val="20"/>
          <w:szCs w:val="20"/>
        </w:rPr>
        <w:t xml:space="preserve"> o 29,7 mld zł przy spadku wobec nierezydentów o 9,2 mld zł, </w:t>
      </w:r>
    </w:p>
    <w:p w:rsidR="00EB2A9D" w:rsidRPr="00FA5DF1" w:rsidRDefault="00EB2A9D" w:rsidP="008F76B0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>na rynku polskich obligacji:</w:t>
      </w:r>
    </w:p>
    <w:p w:rsidR="00EB2A9D" w:rsidRPr="00FA5DF1" w:rsidRDefault="00EB2A9D" w:rsidP="008F76B0">
      <w:pPr>
        <w:widowControl w:val="0"/>
        <w:numPr>
          <w:ilvl w:val="0"/>
          <w:numId w:val="1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FA5DF1">
        <w:rPr>
          <w:rFonts w:ascii="Times New Roman" w:hAnsi="Times New Roman"/>
          <w:sz w:val="20"/>
          <w:szCs w:val="20"/>
        </w:rPr>
        <w:t xml:space="preserve">na rynku krajowym: wzrosty rentowności  wzdłuż całej krzywej dochodowości - na koniec roku rentowności obligacji 2-, 5- i 10-letnich wyniosły odpowiednio 3,4% (+3,3 </w:t>
      </w:r>
      <w:proofErr w:type="spellStart"/>
      <w:r w:rsidRPr="00FA5DF1">
        <w:rPr>
          <w:rFonts w:ascii="Times New Roman" w:hAnsi="Times New Roman"/>
          <w:sz w:val="20"/>
          <w:szCs w:val="20"/>
        </w:rPr>
        <w:t>p.p</w:t>
      </w:r>
      <w:proofErr w:type="spellEnd"/>
      <w:r w:rsidRPr="00FA5DF1">
        <w:rPr>
          <w:rFonts w:ascii="Times New Roman" w:hAnsi="Times New Roman"/>
          <w:sz w:val="20"/>
          <w:szCs w:val="20"/>
        </w:rPr>
        <w:t xml:space="preserve">.), 4,0% (+3,6 </w:t>
      </w:r>
      <w:proofErr w:type="spellStart"/>
      <w:r w:rsidRPr="00FA5DF1">
        <w:rPr>
          <w:rFonts w:ascii="Times New Roman" w:hAnsi="Times New Roman"/>
          <w:sz w:val="20"/>
          <w:szCs w:val="20"/>
        </w:rPr>
        <w:t>p.p</w:t>
      </w:r>
      <w:proofErr w:type="spellEnd"/>
      <w:r w:rsidRPr="00FA5DF1">
        <w:rPr>
          <w:rFonts w:ascii="Times New Roman" w:hAnsi="Times New Roman"/>
          <w:sz w:val="20"/>
          <w:szCs w:val="20"/>
        </w:rPr>
        <w:t xml:space="preserve">.) oraz 3,7% (+2,5 </w:t>
      </w:r>
      <w:proofErr w:type="spellStart"/>
      <w:r w:rsidRPr="00FA5DF1">
        <w:rPr>
          <w:rFonts w:ascii="Times New Roman" w:hAnsi="Times New Roman"/>
          <w:sz w:val="20"/>
          <w:szCs w:val="20"/>
        </w:rPr>
        <w:t>p.p</w:t>
      </w:r>
      <w:proofErr w:type="spellEnd"/>
      <w:r w:rsidRPr="00FA5DF1">
        <w:rPr>
          <w:rFonts w:ascii="Times New Roman" w:hAnsi="Times New Roman"/>
          <w:sz w:val="20"/>
          <w:szCs w:val="20"/>
        </w:rPr>
        <w:t>.),</w:t>
      </w:r>
    </w:p>
    <w:p w:rsidR="00EB2A9D" w:rsidRPr="00556ADB" w:rsidRDefault="00EB2A9D" w:rsidP="00556ADB">
      <w:pPr>
        <w:widowControl w:val="0"/>
        <w:numPr>
          <w:ilvl w:val="0"/>
          <w:numId w:val="1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3E75BC">
        <w:rPr>
          <w:rFonts w:ascii="Times New Roman" w:hAnsi="Times New Roman"/>
          <w:sz w:val="20"/>
          <w:szCs w:val="20"/>
        </w:rPr>
        <w:t>na rynku obligacji w euro: stabilizacja rentowności obligacji krótkoterminowych oraz wzrost rentowności obligacji średnio- i długoterminowych: na koniec roku rentowności obligacji 2-, 5- i 10-letnich wyniosły odpo</w:t>
      </w:r>
      <w:r w:rsidRPr="003E75BC">
        <w:rPr>
          <w:rFonts w:ascii="Times New Roman" w:hAnsi="Times New Roman"/>
          <w:sz w:val="20"/>
          <w:szCs w:val="20"/>
        </w:rPr>
        <w:softHyphen/>
        <w:t>wie</w:t>
      </w:r>
      <w:r w:rsidRPr="003E75BC">
        <w:rPr>
          <w:rFonts w:ascii="Times New Roman" w:hAnsi="Times New Roman"/>
          <w:sz w:val="20"/>
          <w:szCs w:val="20"/>
        </w:rPr>
        <w:softHyphen/>
        <w:t>dnio -0,3% (bez zmian), 0,2% (+0,4 </w:t>
      </w:r>
      <w:proofErr w:type="spellStart"/>
      <w:r w:rsidRPr="003E75BC">
        <w:rPr>
          <w:rFonts w:ascii="Times New Roman" w:hAnsi="Times New Roman"/>
          <w:sz w:val="20"/>
          <w:szCs w:val="20"/>
        </w:rPr>
        <w:t>p.p</w:t>
      </w:r>
      <w:proofErr w:type="spellEnd"/>
      <w:r w:rsidRPr="003E75BC">
        <w:rPr>
          <w:rFonts w:ascii="Times New Roman" w:hAnsi="Times New Roman"/>
          <w:sz w:val="20"/>
          <w:szCs w:val="20"/>
        </w:rPr>
        <w:t xml:space="preserve">.) oraz 0,2% (+0,3 </w:t>
      </w:r>
      <w:proofErr w:type="spellStart"/>
      <w:r w:rsidRPr="003E75BC">
        <w:rPr>
          <w:rFonts w:ascii="Times New Roman" w:hAnsi="Times New Roman"/>
          <w:sz w:val="20"/>
          <w:szCs w:val="20"/>
        </w:rPr>
        <w:t>p.p</w:t>
      </w:r>
      <w:proofErr w:type="spellEnd"/>
      <w:r w:rsidRPr="003E75BC">
        <w:rPr>
          <w:rFonts w:ascii="Times New Roman" w:hAnsi="Times New Roman"/>
          <w:sz w:val="20"/>
          <w:szCs w:val="20"/>
        </w:rPr>
        <w:t>.).</w:t>
      </w:r>
    </w:p>
    <w:p w:rsidR="00BD7445" w:rsidRPr="00D55FD4" w:rsidRDefault="00BD7445" w:rsidP="00BD7445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D84F5D" w:rsidRDefault="00D84F5D" w:rsidP="00EC0826">
      <w:pPr>
        <w:widowControl w:val="0"/>
        <w:spacing w:after="120"/>
        <w:jc w:val="both"/>
        <w:rPr>
          <w:rFonts w:ascii="Arial" w:hAnsi="Arial" w:cs="Arial"/>
          <w:sz w:val="18"/>
          <w:szCs w:val="18"/>
        </w:rPr>
        <w:sectPr w:rsidR="00D84F5D" w:rsidSect="005725A7">
          <w:headerReference w:type="first" r:id="rId22"/>
          <w:pgSz w:w="11907" w:h="16839" w:code="9"/>
          <w:pgMar w:top="1701" w:right="992" w:bottom="1418" w:left="1134" w:header="709" w:footer="975" w:gutter="0"/>
          <w:cols w:num="2" w:space="709"/>
          <w:titlePg/>
          <w:docGrid w:linePitch="360"/>
        </w:sectPr>
      </w:pPr>
    </w:p>
    <w:p w:rsidR="003262D7" w:rsidRPr="003262D7" w:rsidRDefault="003262D7" w:rsidP="003262D7">
      <w:pPr>
        <w:pStyle w:val="Nagwek1"/>
        <w:spacing w:after="240"/>
        <w:rPr>
          <w:rFonts w:ascii="Arial" w:hAnsi="Arial" w:cs="Arial"/>
          <w:bCs w:val="0"/>
          <w:color w:val="E31837"/>
          <w:kern w:val="0"/>
          <w:sz w:val="28"/>
          <w:szCs w:val="28"/>
        </w:rPr>
      </w:pPr>
      <w:bookmarkStart w:id="17" w:name="_Toc105157412"/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t>NO</w:t>
      </w:r>
      <w:r w:rsidRPr="00D1237C">
        <w:rPr>
          <w:rFonts w:ascii="Arial" w:hAnsi="Arial" w:cs="Arial"/>
          <w:bCs w:val="0"/>
          <w:color w:val="E31837"/>
          <w:kern w:val="0"/>
          <w:sz w:val="28"/>
          <w:szCs w:val="28"/>
        </w:rPr>
        <w:t xml:space="preserve">TA </w:t>
      </w:r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t>METODYCZNA</w:t>
      </w:r>
      <w:bookmarkEnd w:id="17"/>
    </w:p>
    <w:p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Dane o budżecie państwa prezentowane są zgodnie z krajową metodol</w:t>
      </w:r>
      <w:r>
        <w:rPr>
          <w:rFonts w:ascii="Arial" w:hAnsi="Arial" w:cs="Arial"/>
          <w:b/>
          <w:color w:val="ADAFB2"/>
          <w:sz w:val="20"/>
          <w:szCs w:val="20"/>
        </w:rPr>
        <w:t>ogią, tj. w układzie kasowym (z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pewnymi wyjątkami) i  zgodnie z definicjami przejętymi w Ustaw</w:t>
      </w:r>
      <w:r>
        <w:rPr>
          <w:rFonts w:ascii="Arial" w:hAnsi="Arial" w:cs="Arial"/>
          <w:b/>
          <w:color w:val="ADAFB2"/>
          <w:sz w:val="20"/>
          <w:szCs w:val="20"/>
        </w:rPr>
        <w:t>ie z dnia 27 sierpnia 2009 r. o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finansach publicznych (tekst jednolity Dz.U. z 2013 poz. 885 z </w:t>
      </w:r>
      <w:proofErr w:type="spellStart"/>
      <w:r w:rsidRPr="007837F6">
        <w:rPr>
          <w:rFonts w:ascii="Arial" w:hAnsi="Arial" w:cs="Arial"/>
          <w:b/>
          <w:color w:val="ADAFB2"/>
          <w:sz w:val="20"/>
          <w:szCs w:val="20"/>
        </w:rPr>
        <w:t>późn</w:t>
      </w:r>
      <w:proofErr w:type="spellEnd"/>
      <w:r w:rsidRPr="007837F6">
        <w:rPr>
          <w:rFonts w:ascii="Arial" w:hAnsi="Arial" w:cs="Arial"/>
          <w:b/>
          <w:color w:val="ADAFB2"/>
          <w:sz w:val="20"/>
          <w:szCs w:val="20"/>
        </w:rPr>
        <w:t>. zm.):</w:t>
      </w:r>
    </w:p>
    <w:p w:rsidR="003262D7" w:rsidRPr="007837F6" w:rsidRDefault="00974B40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3" w:history="1">
        <w:r w:rsidR="003262D7" w:rsidRPr="00C94AA6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:rsidR="003262D7" w:rsidRDefault="003262D7" w:rsidP="0097561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szczeblu centralnym prezentowane są w ujęciu kasowym oraz po eliminacji wewnętrznych przepływów. 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Więcej 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na: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  <w:hyperlink r:id="rId24" w:history="1">
        <w:r w:rsidRPr="00C94AA6">
          <w:rPr>
            <w:rStyle w:val="Hipercze"/>
            <w:rFonts w:ascii="Arial" w:hAnsi="Arial" w:cs="Arial"/>
            <w:b/>
            <w:sz w:val="20"/>
            <w:szCs w:val="20"/>
          </w:rPr>
          <w:t>http://www.mf.gov.pl/documents/764034/1002148/metodologia+wersja+polska2001.pdf</w:t>
        </w:r>
      </w:hyperlink>
    </w:p>
    <w:p w:rsidR="003262D7" w:rsidRPr="00D1237C" w:rsidRDefault="003262D7" w:rsidP="006652E2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zgodnie z Rozporządzeniem PE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</w:t>
      </w:r>
      <w:r>
        <w:rPr>
          <w:rFonts w:ascii="Arial" w:hAnsi="Arial" w:cs="Arial"/>
          <w:b/>
          <w:color w:val="ADAFB2"/>
          <w:sz w:val="20"/>
          <w:szCs w:val="20"/>
        </w:rPr>
        <w:t>są prezentowane, podobnie jak w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GFSM2001, po eliminacji wewnętrznych przepływów, jednak różnią się od danych GFSM2001 odmienną koncepcją rachunkową (są to dane memoriałowe, z pewnymi dostosowaniami) oraz odmienną klasyfikacją niektórych transakcji. Deficyt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sektora instytucji rządowych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samorządowych obliczony wedłu</w:t>
      </w:r>
      <w:r>
        <w:rPr>
          <w:rFonts w:ascii="Arial" w:hAnsi="Arial" w:cs="Arial"/>
          <w:b/>
          <w:color w:val="ADAFB2"/>
          <w:sz w:val="20"/>
          <w:szCs w:val="20"/>
        </w:rPr>
        <w:t>g zasad ESA2010 stanowi jeden 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elementów kryterium fiskaln</w:t>
      </w:r>
      <w:r w:rsidR="00A82C2A">
        <w:rPr>
          <w:rFonts w:ascii="Arial" w:hAnsi="Arial" w:cs="Arial"/>
          <w:b/>
          <w:color w:val="ADAFB2"/>
          <w:sz w:val="20"/>
          <w:szCs w:val="20"/>
        </w:rPr>
        <w:t xml:space="preserve">ego z </w:t>
      </w:r>
      <w:proofErr w:type="spellStart"/>
      <w:r w:rsidR="00A82C2A">
        <w:rPr>
          <w:rFonts w:ascii="Arial" w:hAnsi="Arial" w:cs="Arial"/>
          <w:b/>
          <w:color w:val="ADAFB2"/>
          <w:sz w:val="20"/>
          <w:szCs w:val="20"/>
        </w:rPr>
        <w:t>Maastricht</w:t>
      </w:r>
      <w:proofErr w:type="spellEnd"/>
      <w:r w:rsidR="00A82C2A">
        <w:rPr>
          <w:rFonts w:ascii="Arial" w:hAnsi="Arial" w:cs="Arial"/>
          <w:b/>
          <w:color w:val="ADAFB2"/>
          <w:sz w:val="20"/>
          <w:szCs w:val="20"/>
        </w:rPr>
        <w:t xml:space="preserve"> (drugim jest dł</w:t>
      </w:r>
      <w:r w:rsidRPr="007837F6">
        <w:rPr>
          <w:rFonts w:ascii="Arial" w:hAnsi="Arial" w:cs="Arial"/>
          <w:b/>
          <w:color w:val="ADAFB2"/>
          <w:sz w:val="20"/>
          <w:szCs w:val="20"/>
        </w:rPr>
        <w:t>ug tego sektora).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7837F6">
        <w:rPr>
          <w:rFonts w:ascii="Arial" w:hAnsi="Arial" w:cs="Arial"/>
          <w:b/>
          <w:color w:val="ADAFB2"/>
          <w:sz w:val="24"/>
          <w:szCs w:val="24"/>
        </w:rPr>
        <w:t>: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</w:t>
      </w:r>
      <w:hyperlink r:id="rId25" w:history="1">
        <w:r w:rsidRPr="00442CC9">
          <w:rPr>
            <w:rStyle w:val="Hipercze"/>
            <w:rFonts w:ascii="Arial" w:hAnsi="Arial" w:cs="Arial"/>
            <w:b/>
            <w:sz w:val="20"/>
            <w:szCs w:val="20"/>
          </w:rPr>
          <w:t>http://stat.gov.pl/obszary-tematyczne/rachunki-narodowe/europejski-system-rachunkow-narodowych-i-regionalnych-esa-2010/rozporzadzenie-parlamentu-europejskiego-i-rady-ue-nr-5492013-z-dnia-21-maja-2013-r-,1,1.html</w:t>
        </w:r>
      </w:hyperlink>
      <w:r w:rsidRPr="007837F6">
        <w:rPr>
          <w:rFonts w:ascii="Arial" w:hAnsi="Arial" w:cs="Arial"/>
          <w:b/>
          <w:color w:val="ADAFB2"/>
          <w:sz w:val="20"/>
          <w:szCs w:val="20"/>
        </w:rPr>
        <w:t>.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3262D7" w:rsidRDefault="003262D7" w:rsidP="003262D7">
      <w:pPr>
        <w:widowControl w:val="0"/>
        <w:autoSpaceDE w:val="0"/>
        <w:autoSpaceDN w:val="0"/>
        <w:adjustRightInd w:val="0"/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:rsidR="005B7F4B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804DD1" w:rsidRDefault="00804DD1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C2261E" w:rsidRDefault="000404D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6704" behindDoc="1" locked="0" layoutInCell="1" allowOverlap="1" wp14:anchorId="403289D1" wp14:editId="6DDDE945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9" name="Picture 0" descr="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61E" w:rsidRDefault="00C2261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5B7F4B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EB6D6D" w:rsidRDefault="00EB6D6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5B7F4B" w:rsidRDefault="005B7F4B" w:rsidP="00A3676D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8" w:name="_Toc105157413"/>
      <w:r w:rsidRPr="00A3676D">
        <w:rPr>
          <w:rFonts w:ascii="Arial" w:hAnsi="Arial" w:cs="Arial"/>
          <w:color w:val="E31837"/>
          <w:sz w:val="40"/>
          <w:szCs w:val="40"/>
        </w:rPr>
        <w:t xml:space="preserve">ANEKS </w:t>
      </w:r>
      <w:r w:rsidR="00A3676D" w:rsidRPr="00A3676D">
        <w:rPr>
          <w:rFonts w:ascii="Arial" w:hAnsi="Arial" w:cs="Arial"/>
          <w:color w:val="E31837"/>
          <w:sz w:val="40"/>
          <w:szCs w:val="40"/>
        </w:rPr>
        <w:t xml:space="preserve"> </w:t>
      </w:r>
      <w:r w:rsidRPr="00A3676D">
        <w:rPr>
          <w:rFonts w:ascii="Arial" w:hAnsi="Arial" w:cs="Arial"/>
          <w:color w:val="E31837"/>
          <w:sz w:val="40"/>
          <w:szCs w:val="40"/>
        </w:rPr>
        <w:t>STATYSTYCZNY</w:t>
      </w:r>
      <w:bookmarkEnd w:id="18"/>
      <w:r w:rsidR="009F1CD8">
        <w:rPr>
          <w:rFonts w:ascii="Arial" w:hAnsi="Arial" w:cs="Arial"/>
          <w:color w:val="E31837"/>
          <w:sz w:val="40"/>
          <w:szCs w:val="40"/>
        </w:rPr>
        <w:t xml:space="preserve"> </w:t>
      </w:r>
      <w:r w:rsidR="00A10DA3">
        <w:rPr>
          <w:rFonts w:ascii="Arial" w:hAnsi="Arial" w:cs="Arial"/>
          <w:color w:val="E31837"/>
          <w:sz w:val="40"/>
          <w:szCs w:val="40"/>
        </w:rPr>
        <w:br/>
      </w:r>
    </w:p>
    <w:p w:rsidR="00E120D2" w:rsidRDefault="00E120D2" w:rsidP="00E120D2"/>
    <w:p w:rsidR="00E120D2" w:rsidRPr="00E120D2" w:rsidRDefault="00E120D2" w:rsidP="00E120D2"/>
    <w:p w:rsidR="00E120D2" w:rsidRPr="009567F0" w:rsidRDefault="00E120D2" w:rsidP="009567F0"/>
    <w:p w:rsidR="009567F0" w:rsidRDefault="009567F0" w:rsidP="009567F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D80F1C">
        <w:rPr>
          <w:rFonts w:ascii="Arial" w:hAnsi="Arial" w:cs="Arial"/>
          <w:b/>
          <w:color w:val="E31837"/>
          <w:sz w:val="28"/>
          <w:szCs w:val="28"/>
        </w:rPr>
        <w:t>SPIS T</w:t>
      </w:r>
      <w:r w:rsidR="009F1CD8">
        <w:rPr>
          <w:rFonts w:ascii="Arial" w:hAnsi="Arial" w:cs="Arial"/>
          <w:b/>
          <w:color w:val="E31837"/>
          <w:sz w:val="28"/>
          <w:szCs w:val="28"/>
        </w:rPr>
        <w:t>ABLIC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wskaźniki makroekonomiczne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5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ESA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2010) sektor instytucji rządowych i samorządowych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6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9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sprawozdawczości krajowej) budżet państwa</w:t>
      </w:r>
    </w:p>
    <w:p w:rsidR="00D074C7" w:rsidRPr="007910F9" w:rsidRDefault="00D074C7" w:rsidP="00D074C7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10</w:t>
      </w:r>
      <w:r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>
        <w:rPr>
          <w:rFonts w:ascii="Arial" w:hAnsi="Arial" w:cs="Arial"/>
          <w:b/>
          <w:color w:val="ADAFB2"/>
          <w:sz w:val="20"/>
          <w:szCs w:val="20"/>
        </w:rPr>
        <w:t>2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</w:t>
      </w:r>
      <w:r>
        <w:rPr>
          <w:rFonts w:ascii="Arial" w:hAnsi="Arial" w:cs="Arial"/>
          <w:b/>
          <w:color w:val="ADAFB2"/>
          <w:sz w:val="20"/>
          <w:szCs w:val="20"/>
        </w:rPr>
        <w:t>–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>
        <w:rPr>
          <w:rFonts w:ascii="Arial" w:hAnsi="Arial" w:cs="Arial"/>
          <w:b/>
          <w:color w:val="ADAFB2"/>
          <w:sz w:val="20"/>
          <w:szCs w:val="20"/>
        </w:rPr>
        <w:t>jednostki samorządu terytorialnego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1</w:t>
      </w:r>
      <w:r w:rsidR="00D77A4A">
        <w:rPr>
          <w:rFonts w:ascii="Arial" w:hAnsi="Arial" w:cs="Arial"/>
          <w:b/>
          <w:color w:val="ADAFB2"/>
          <w:sz w:val="20"/>
          <w:szCs w:val="20"/>
        </w:rPr>
        <w:t>3</w:t>
      </w:r>
      <w:r w:rsidR="007910F9"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>
        <w:rPr>
          <w:rFonts w:ascii="Arial" w:hAnsi="Arial" w:cs="Arial"/>
          <w:b/>
          <w:color w:val="ADAFB2"/>
          <w:sz w:val="20"/>
          <w:szCs w:val="20"/>
        </w:rPr>
        <w:t>9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- Państwowe fundusze celowe 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Tablice </w:t>
      </w:r>
      <w:r w:rsidR="00D77A4A">
        <w:rPr>
          <w:rFonts w:ascii="Arial" w:hAnsi="Arial" w:cs="Arial"/>
          <w:b/>
          <w:color w:val="ADAFB2"/>
          <w:sz w:val="20"/>
          <w:szCs w:val="20"/>
        </w:rPr>
        <w:t>20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="00D77A4A">
        <w:rPr>
          <w:rFonts w:ascii="Arial" w:hAnsi="Arial" w:cs="Arial"/>
          <w:b/>
          <w:color w:val="ADAFB2"/>
          <w:sz w:val="20"/>
          <w:szCs w:val="20"/>
        </w:rPr>
        <w:t>22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(wg. metodologii GFSM2001) 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3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4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Zadłużenie sektora instytucji rządowych i samorządowych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(wg. ESA 2010)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5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6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Państwowy </w:t>
      </w:r>
      <w:r w:rsidR="00740A4E">
        <w:rPr>
          <w:rFonts w:ascii="Arial" w:hAnsi="Arial" w:cs="Arial"/>
          <w:b/>
          <w:color w:val="ADAFB2"/>
          <w:sz w:val="20"/>
          <w:szCs w:val="20"/>
        </w:rPr>
        <w:t>D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ług </w:t>
      </w:r>
      <w:r w:rsidR="00740A4E">
        <w:rPr>
          <w:rFonts w:ascii="Arial" w:hAnsi="Arial" w:cs="Arial"/>
          <w:b/>
          <w:color w:val="ADAFB2"/>
          <w:sz w:val="20"/>
          <w:szCs w:val="20"/>
        </w:rPr>
        <w:t>P</w:t>
      </w:r>
      <w:r w:rsidRPr="007910F9">
        <w:rPr>
          <w:rFonts w:ascii="Arial" w:hAnsi="Arial" w:cs="Arial"/>
          <w:b/>
          <w:color w:val="ADAFB2"/>
          <w:sz w:val="20"/>
          <w:szCs w:val="20"/>
        </w:rPr>
        <w:t>ubliczny</w:t>
      </w:r>
    </w:p>
    <w:p w:rsidR="009F1CD8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7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8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</w:t>
      </w:r>
      <w:r w:rsidR="00740A4E">
        <w:rPr>
          <w:rFonts w:ascii="Arial" w:hAnsi="Arial" w:cs="Arial"/>
          <w:b/>
          <w:color w:val="ADAFB2"/>
          <w:sz w:val="20"/>
          <w:szCs w:val="20"/>
        </w:rPr>
        <w:t>Z</w:t>
      </w:r>
      <w:r w:rsidRPr="007910F9">
        <w:rPr>
          <w:rFonts w:ascii="Arial" w:hAnsi="Arial" w:cs="Arial"/>
          <w:b/>
          <w:color w:val="ADAFB2"/>
          <w:sz w:val="20"/>
          <w:szCs w:val="20"/>
        </w:rPr>
        <w:t>adłużenie Skarbu Państwa</w:t>
      </w:r>
    </w:p>
    <w:sectPr w:rsidR="009F1CD8" w:rsidRPr="007910F9" w:rsidSect="006B7502">
      <w:pgSz w:w="11907" w:h="16839" w:code="9"/>
      <w:pgMar w:top="1701" w:right="992" w:bottom="1418" w:left="1134" w:header="709" w:footer="975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D0" w:rsidRDefault="00656AD0" w:rsidP="0015295C">
      <w:pPr>
        <w:spacing w:after="0" w:line="240" w:lineRule="auto"/>
      </w:pPr>
      <w:r>
        <w:separator/>
      </w:r>
    </w:p>
  </w:endnote>
  <w:endnote w:type="continuationSeparator" w:id="0">
    <w:p w:rsidR="00656AD0" w:rsidRDefault="00656AD0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F3" w:rsidRPr="005221F8" w:rsidRDefault="0044114E" w:rsidP="002529F3">
    <w:pPr>
      <w:pStyle w:val="Stopka"/>
      <w:rPr>
        <w:color w:val="ADAFB2"/>
      </w:rPr>
    </w:pPr>
    <w:r>
      <w:rPr>
        <w:color w:val="ADAFB2"/>
      </w:rPr>
      <w:t xml:space="preserve">Informacja kwartalna </w:t>
    </w:r>
    <w:r w:rsidR="002529F3" w:rsidRPr="005221F8">
      <w:rPr>
        <w:color w:val="ADAFB2"/>
      </w:rPr>
      <w:tab/>
    </w:r>
    <w:r w:rsidR="002529F3" w:rsidRPr="005221F8">
      <w:rPr>
        <w:color w:val="ADAFB2"/>
      </w:rPr>
      <w:tab/>
    </w:r>
    <w:r w:rsidR="002529F3" w:rsidRPr="005221F8">
      <w:rPr>
        <w:rStyle w:val="Numerstrony"/>
        <w:color w:val="ADAFB2"/>
      </w:rPr>
      <w:fldChar w:fldCharType="begin"/>
    </w:r>
    <w:r w:rsidR="002529F3" w:rsidRPr="005221F8">
      <w:rPr>
        <w:rStyle w:val="Numerstrony"/>
        <w:color w:val="ADAFB2"/>
      </w:rPr>
      <w:instrText xml:space="preserve"> PAGE </w:instrText>
    </w:r>
    <w:r w:rsidR="002529F3" w:rsidRPr="005221F8">
      <w:rPr>
        <w:rStyle w:val="Numerstrony"/>
        <w:color w:val="ADAFB2"/>
      </w:rPr>
      <w:fldChar w:fldCharType="separate"/>
    </w:r>
    <w:r w:rsidR="00974B40">
      <w:rPr>
        <w:rStyle w:val="Numerstrony"/>
        <w:noProof/>
        <w:color w:val="ADAFB2"/>
      </w:rPr>
      <w:t>12</w:t>
    </w:r>
    <w:r w:rsidR="002529F3" w:rsidRPr="005221F8">
      <w:rPr>
        <w:rStyle w:val="Numerstrony"/>
        <w:color w:val="ADAFB2"/>
      </w:rPr>
      <w:fldChar w:fldCharType="end"/>
    </w:r>
  </w:p>
  <w:p w:rsidR="002529F3" w:rsidRPr="005221F8" w:rsidRDefault="002529F3" w:rsidP="002529F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7B0F5C">
      <w:rPr>
        <w:color w:val="ADAFB2"/>
      </w:rPr>
      <w:t>2</w:t>
    </w:r>
    <w:r w:rsidR="00446181">
      <w:rPr>
        <w:color w:val="ADAFB2"/>
      </w:rPr>
      <w:t xml:space="preserve"> / 202</w:t>
    </w:r>
    <w:r w:rsidR="00556ADB">
      <w:rPr>
        <w:color w:val="ADAFB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60" w:rsidRDefault="00432960" w:rsidP="00D44B43">
    <w:pPr>
      <w:pStyle w:val="Stopka"/>
      <w:rPr>
        <w:color w:val="ADAFB2"/>
      </w:rPr>
    </w:pPr>
  </w:p>
  <w:p w:rsidR="0081680F" w:rsidRPr="005221F8" w:rsidRDefault="00607B5E" w:rsidP="00D44B43">
    <w:pPr>
      <w:pStyle w:val="Stopka"/>
      <w:rPr>
        <w:color w:val="ADAFB2"/>
      </w:rPr>
    </w:pPr>
    <w:r>
      <w:rPr>
        <w:color w:val="ADAFB2"/>
      </w:rPr>
      <w:t>Informacja kwartalna</w:t>
    </w:r>
    <w:r w:rsidR="0081680F" w:rsidRPr="005221F8">
      <w:rPr>
        <w:color w:val="ADAFB2"/>
      </w:rPr>
      <w:tab/>
    </w:r>
    <w:r w:rsidR="0081680F" w:rsidRPr="005221F8">
      <w:rPr>
        <w:color w:val="ADAFB2"/>
      </w:rPr>
      <w:tab/>
    </w:r>
    <w:r w:rsidR="0081680F" w:rsidRPr="005221F8">
      <w:rPr>
        <w:rStyle w:val="Numerstrony"/>
        <w:color w:val="ADAFB2"/>
      </w:rPr>
      <w:fldChar w:fldCharType="begin"/>
    </w:r>
    <w:r w:rsidR="0081680F" w:rsidRPr="005221F8">
      <w:rPr>
        <w:rStyle w:val="Numerstrony"/>
        <w:color w:val="ADAFB2"/>
      </w:rPr>
      <w:instrText xml:space="preserve"> PAGE </w:instrText>
    </w:r>
    <w:r w:rsidR="0081680F" w:rsidRPr="005221F8">
      <w:rPr>
        <w:rStyle w:val="Numerstrony"/>
        <w:color w:val="ADAFB2"/>
      </w:rPr>
      <w:fldChar w:fldCharType="separate"/>
    </w:r>
    <w:r w:rsidR="00974B40">
      <w:rPr>
        <w:rStyle w:val="Numerstrony"/>
        <w:noProof/>
        <w:color w:val="ADAFB2"/>
      </w:rPr>
      <w:t>11</w:t>
    </w:r>
    <w:r w:rsidR="0081680F" w:rsidRPr="005221F8">
      <w:rPr>
        <w:rStyle w:val="Numerstrony"/>
        <w:color w:val="ADAFB2"/>
      </w:rPr>
      <w:fldChar w:fldCharType="end"/>
    </w:r>
  </w:p>
  <w:p w:rsidR="0081680F" w:rsidRDefault="0081680F" w:rsidP="00D44B4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221073">
      <w:rPr>
        <w:color w:val="ADAFB2"/>
      </w:rPr>
      <w:t>2</w:t>
    </w:r>
    <w:r w:rsidR="00B24C3B">
      <w:rPr>
        <w:color w:val="ADAFB2"/>
      </w:rPr>
      <w:t xml:space="preserve"> / 202</w:t>
    </w:r>
    <w:r w:rsidR="00556ADB">
      <w:rPr>
        <w:color w:val="ADAFB2"/>
      </w:rPr>
      <w:t>2</w:t>
    </w:r>
  </w:p>
  <w:p w:rsidR="00221073" w:rsidRPr="005221F8" w:rsidRDefault="00221073" w:rsidP="00D44B43">
    <w:pPr>
      <w:pStyle w:val="Stopka"/>
      <w:rPr>
        <w:color w:val="ADAFB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D0" w:rsidRDefault="00656AD0" w:rsidP="0015295C">
      <w:pPr>
        <w:spacing w:after="0" w:line="240" w:lineRule="auto"/>
      </w:pPr>
      <w:r>
        <w:separator/>
      </w:r>
    </w:p>
  </w:footnote>
  <w:footnote w:type="continuationSeparator" w:id="0">
    <w:p w:rsidR="00656AD0" w:rsidRDefault="00656AD0" w:rsidP="0015295C">
      <w:pPr>
        <w:spacing w:after="0" w:line="240" w:lineRule="auto"/>
      </w:pPr>
      <w:r>
        <w:continuationSeparator/>
      </w:r>
    </w:p>
  </w:footnote>
  <w:footnote w:id="1">
    <w:p w:rsidR="002F7D61" w:rsidRPr="00EC56B3" w:rsidRDefault="002F7D61" w:rsidP="002F7D61">
      <w:pPr>
        <w:pStyle w:val="Tekstprzypisudolnego"/>
        <w:rPr>
          <w:rFonts w:ascii="Times New Roman" w:hAnsi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EC56B3">
        <w:rPr>
          <w:rFonts w:ascii="Times New Roman" w:hAnsi="Times New Roman"/>
          <w:sz w:val="16"/>
        </w:rPr>
        <w:t>łączna wartość nominalna przekazanych SPW wyniosła 22,3 mld zł, z czego 6,0 mld zł przekazane do Funduszu Reprywatyzacji nie wpływa na dług Skarbu Państwa do czasu zbycia przez Fundusz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0F" w:rsidRDefault="000404D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8AA435" wp14:editId="27CA89CE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12065" t="8255" r="635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F24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01563C1" wp14:editId="6FA09443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" name="Picture 0" descr="m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64D488" wp14:editId="7D3A71E5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80F" w:rsidRPr="0029567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 w:rsidRPr="00D06614">
                            <w:rPr>
                              <w:rFonts w:ascii="Arial" w:eastAsia="+mn-ea" w:hAnsi="Arial" w:cs="Arial"/>
                              <w:color w:val="ADAFB2"/>
                              <w:kern w:val="24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00-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916 Warszawa</w:t>
                          </w:r>
                        </w:p>
                        <w:p w:rsidR="0081680F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5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36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30</w:t>
                          </w:r>
                        </w:p>
                        <w:p w:rsidR="0081680F" w:rsidRPr="00D06614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:rsidR="0081680F" w:rsidRPr="001F7BF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4D4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gJ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" filled="f" stroked="f">
              <v:textbox inset="0,0,0,0">
                <w:txbxContent>
                  <w:p w:rsidR="0081680F" w:rsidRPr="0029567C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 w:rsidRPr="00D06614">
                      <w:rPr>
                        <w:rFonts w:ascii="Arial" w:eastAsia="+mn-ea" w:hAnsi="Arial" w:cs="Arial"/>
                        <w:color w:val="ADAFB2"/>
                        <w:kern w:val="24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00-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916 Warszawa</w:t>
                    </w:r>
                  </w:p>
                  <w:p w:rsidR="0081680F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5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36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30</w:t>
                    </w:r>
                  </w:p>
                  <w:p w:rsidR="0081680F" w:rsidRPr="00D06614" w:rsidRDefault="0081680F" w:rsidP="005F187D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:rsidR="0081680F" w:rsidRPr="001F7BFC" w:rsidRDefault="0081680F" w:rsidP="005F187D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E92" w:rsidRDefault="009F5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7ED"/>
    <w:multiLevelType w:val="hybridMultilevel"/>
    <w:tmpl w:val="2538264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721D0A"/>
    <w:multiLevelType w:val="hybridMultilevel"/>
    <w:tmpl w:val="6B528800"/>
    <w:lvl w:ilvl="0" w:tplc="4468B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E79C1"/>
    <w:multiLevelType w:val="hybridMultilevel"/>
    <w:tmpl w:val="7EF270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9070B54"/>
    <w:multiLevelType w:val="hybridMultilevel"/>
    <w:tmpl w:val="83C8F7A6"/>
    <w:lvl w:ilvl="0" w:tplc="B82AD5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3A981DF8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9E2836"/>
    <w:multiLevelType w:val="hybridMultilevel"/>
    <w:tmpl w:val="B45CA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118B1"/>
    <w:multiLevelType w:val="hybridMultilevel"/>
    <w:tmpl w:val="BB0A2620"/>
    <w:lvl w:ilvl="0" w:tplc="C21C55B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8D503EB"/>
    <w:multiLevelType w:val="hybridMultilevel"/>
    <w:tmpl w:val="0800306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91"/>
    <w:rsid w:val="00000507"/>
    <w:rsid w:val="00000BC6"/>
    <w:rsid w:val="00004D64"/>
    <w:rsid w:val="000050DE"/>
    <w:rsid w:val="000050E5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380B"/>
    <w:rsid w:val="00024596"/>
    <w:rsid w:val="0002492B"/>
    <w:rsid w:val="00026048"/>
    <w:rsid w:val="00026C88"/>
    <w:rsid w:val="00027561"/>
    <w:rsid w:val="00030A43"/>
    <w:rsid w:val="000378CB"/>
    <w:rsid w:val="000404D4"/>
    <w:rsid w:val="000406B8"/>
    <w:rsid w:val="00041903"/>
    <w:rsid w:val="00041977"/>
    <w:rsid w:val="00042F8F"/>
    <w:rsid w:val="0004308B"/>
    <w:rsid w:val="00044E4A"/>
    <w:rsid w:val="0004545E"/>
    <w:rsid w:val="00045CA7"/>
    <w:rsid w:val="00050E88"/>
    <w:rsid w:val="00051473"/>
    <w:rsid w:val="00051F46"/>
    <w:rsid w:val="00052018"/>
    <w:rsid w:val="00054338"/>
    <w:rsid w:val="00054C08"/>
    <w:rsid w:val="00057D54"/>
    <w:rsid w:val="00057F6B"/>
    <w:rsid w:val="0006107D"/>
    <w:rsid w:val="000642F2"/>
    <w:rsid w:val="00065052"/>
    <w:rsid w:val="00065A29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312D"/>
    <w:rsid w:val="000B4812"/>
    <w:rsid w:val="000B49B2"/>
    <w:rsid w:val="000B534A"/>
    <w:rsid w:val="000B570F"/>
    <w:rsid w:val="000B778F"/>
    <w:rsid w:val="000C08CF"/>
    <w:rsid w:val="000C6ADA"/>
    <w:rsid w:val="000C7804"/>
    <w:rsid w:val="000C79AA"/>
    <w:rsid w:val="000D0CB3"/>
    <w:rsid w:val="000D1F2D"/>
    <w:rsid w:val="000D257B"/>
    <w:rsid w:val="000D3BDA"/>
    <w:rsid w:val="000D41EB"/>
    <w:rsid w:val="000D4A40"/>
    <w:rsid w:val="000D4ED5"/>
    <w:rsid w:val="000D62FC"/>
    <w:rsid w:val="000D6B6F"/>
    <w:rsid w:val="000E16EF"/>
    <w:rsid w:val="000E4111"/>
    <w:rsid w:val="000E691C"/>
    <w:rsid w:val="000E6C86"/>
    <w:rsid w:val="000F07EE"/>
    <w:rsid w:val="000F1858"/>
    <w:rsid w:val="000F194D"/>
    <w:rsid w:val="000F1AC9"/>
    <w:rsid w:val="000F1B21"/>
    <w:rsid w:val="00100151"/>
    <w:rsid w:val="001003EA"/>
    <w:rsid w:val="00101287"/>
    <w:rsid w:val="00101324"/>
    <w:rsid w:val="00102911"/>
    <w:rsid w:val="00107FC2"/>
    <w:rsid w:val="001125E4"/>
    <w:rsid w:val="00112A5D"/>
    <w:rsid w:val="001160F9"/>
    <w:rsid w:val="001170B6"/>
    <w:rsid w:val="00117371"/>
    <w:rsid w:val="001200B9"/>
    <w:rsid w:val="00120B80"/>
    <w:rsid w:val="001219F3"/>
    <w:rsid w:val="001226C8"/>
    <w:rsid w:val="00122865"/>
    <w:rsid w:val="0012290E"/>
    <w:rsid w:val="00123CD7"/>
    <w:rsid w:val="00125A96"/>
    <w:rsid w:val="00127D06"/>
    <w:rsid w:val="00130371"/>
    <w:rsid w:val="00130D8A"/>
    <w:rsid w:val="00131D09"/>
    <w:rsid w:val="0013243B"/>
    <w:rsid w:val="00132CD4"/>
    <w:rsid w:val="00135D04"/>
    <w:rsid w:val="00136E7A"/>
    <w:rsid w:val="001379B8"/>
    <w:rsid w:val="00140651"/>
    <w:rsid w:val="00140996"/>
    <w:rsid w:val="0014184F"/>
    <w:rsid w:val="00141AEF"/>
    <w:rsid w:val="00141E5B"/>
    <w:rsid w:val="00142BDE"/>
    <w:rsid w:val="00144B16"/>
    <w:rsid w:val="00147391"/>
    <w:rsid w:val="00147DCE"/>
    <w:rsid w:val="0015152D"/>
    <w:rsid w:val="0015295C"/>
    <w:rsid w:val="0015452B"/>
    <w:rsid w:val="00155BEC"/>
    <w:rsid w:val="00157279"/>
    <w:rsid w:val="00160645"/>
    <w:rsid w:val="00161044"/>
    <w:rsid w:val="00162265"/>
    <w:rsid w:val="00162356"/>
    <w:rsid w:val="00162480"/>
    <w:rsid w:val="00162B16"/>
    <w:rsid w:val="001642FC"/>
    <w:rsid w:val="00165075"/>
    <w:rsid w:val="001676EF"/>
    <w:rsid w:val="00176E8C"/>
    <w:rsid w:val="0017766A"/>
    <w:rsid w:val="00183FAA"/>
    <w:rsid w:val="00184FD0"/>
    <w:rsid w:val="0018746D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38F9"/>
    <w:rsid w:val="001A41AF"/>
    <w:rsid w:val="001A4D91"/>
    <w:rsid w:val="001A4F79"/>
    <w:rsid w:val="001A55F7"/>
    <w:rsid w:val="001A5959"/>
    <w:rsid w:val="001B1928"/>
    <w:rsid w:val="001B31A2"/>
    <w:rsid w:val="001B3346"/>
    <w:rsid w:val="001C13AB"/>
    <w:rsid w:val="001C2702"/>
    <w:rsid w:val="001C3069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4DA9"/>
    <w:rsid w:val="001D71D6"/>
    <w:rsid w:val="001E29EE"/>
    <w:rsid w:val="001E2E27"/>
    <w:rsid w:val="001E45F8"/>
    <w:rsid w:val="001E6DAF"/>
    <w:rsid w:val="001E7B5E"/>
    <w:rsid w:val="001F0584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158F"/>
    <w:rsid w:val="00212874"/>
    <w:rsid w:val="00214199"/>
    <w:rsid w:val="00214A42"/>
    <w:rsid w:val="00215E35"/>
    <w:rsid w:val="00216C9E"/>
    <w:rsid w:val="002170A8"/>
    <w:rsid w:val="00217D67"/>
    <w:rsid w:val="00217DDE"/>
    <w:rsid w:val="002209A3"/>
    <w:rsid w:val="00221073"/>
    <w:rsid w:val="00224B34"/>
    <w:rsid w:val="00224FBD"/>
    <w:rsid w:val="0022526B"/>
    <w:rsid w:val="00225E4E"/>
    <w:rsid w:val="002271C6"/>
    <w:rsid w:val="00230793"/>
    <w:rsid w:val="002312B6"/>
    <w:rsid w:val="00235554"/>
    <w:rsid w:val="00236D89"/>
    <w:rsid w:val="00241B7D"/>
    <w:rsid w:val="00241D40"/>
    <w:rsid w:val="00242355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6236"/>
    <w:rsid w:val="00266998"/>
    <w:rsid w:val="00270342"/>
    <w:rsid w:val="00270388"/>
    <w:rsid w:val="00272CC6"/>
    <w:rsid w:val="00274BB7"/>
    <w:rsid w:val="00276799"/>
    <w:rsid w:val="00277DAB"/>
    <w:rsid w:val="00280EF7"/>
    <w:rsid w:val="0028194A"/>
    <w:rsid w:val="002826C7"/>
    <w:rsid w:val="002863AE"/>
    <w:rsid w:val="002874B7"/>
    <w:rsid w:val="002903F3"/>
    <w:rsid w:val="0029158D"/>
    <w:rsid w:val="00292DA1"/>
    <w:rsid w:val="00293690"/>
    <w:rsid w:val="00294612"/>
    <w:rsid w:val="002A17A6"/>
    <w:rsid w:val="002A1BD0"/>
    <w:rsid w:val="002A1FE9"/>
    <w:rsid w:val="002A20F0"/>
    <w:rsid w:val="002A5765"/>
    <w:rsid w:val="002B0128"/>
    <w:rsid w:val="002B447C"/>
    <w:rsid w:val="002C432D"/>
    <w:rsid w:val="002C5142"/>
    <w:rsid w:val="002D2C1E"/>
    <w:rsid w:val="002D42B8"/>
    <w:rsid w:val="002D5495"/>
    <w:rsid w:val="002D591E"/>
    <w:rsid w:val="002D6C49"/>
    <w:rsid w:val="002E066A"/>
    <w:rsid w:val="002E22EC"/>
    <w:rsid w:val="002E28B5"/>
    <w:rsid w:val="002E4402"/>
    <w:rsid w:val="002E5227"/>
    <w:rsid w:val="002E559D"/>
    <w:rsid w:val="002F0668"/>
    <w:rsid w:val="002F06D1"/>
    <w:rsid w:val="002F2D38"/>
    <w:rsid w:val="002F3D66"/>
    <w:rsid w:val="002F5252"/>
    <w:rsid w:val="002F699C"/>
    <w:rsid w:val="002F7C5D"/>
    <w:rsid w:val="002F7D61"/>
    <w:rsid w:val="00300147"/>
    <w:rsid w:val="0030155A"/>
    <w:rsid w:val="003022A0"/>
    <w:rsid w:val="00304AEF"/>
    <w:rsid w:val="00305BC7"/>
    <w:rsid w:val="00306773"/>
    <w:rsid w:val="00306D0A"/>
    <w:rsid w:val="0031062E"/>
    <w:rsid w:val="00310ED7"/>
    <w:rsid w:val="00311967"/>
    <w:rsid w:val="00311BD1"/>
    <w:rsid w:val="00313D06"/>
    <w:rsid w:val="00314CB3"/>
    <w:rsid w:val="00314F49"/>
    <w:rsid w:val="003154A4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78BA"/>
    <w:rsid w:val="00327D95"/>
    <w:rsid w:val="003344E6"/>
    <w:rsid w:val="00334B4F"/>
    <w:rsid w:val="00335D57"/>
    <w:rsid w:val="00336117"/>
    <w:rsid w:val="00345BEA"/>
    <w:rsid w:val="003474DF"/>
    <w:rsid w:val="00347DF8"/>
    <w:rsid w:val="00353CE8"/>
    <w:rsid w:val="00353D26"/>
    <w:rsid w:val="00354239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35D5"/>
    <w:rsid w:val="00375108"/>
    <w:rsid w:val="0037555B"/>
    <w:rsid w:val="00376301"/>
    <w:rsid w:val="00381ECF"/>
    <w:rsid w:val="00383326"/>
    <w:rsid w:val="003846B1"/>
    <w:rsid w:val="00384F40"/>
    <w:rsid w:val="00386304"/>
    <w:rsid w:val="00390CE0"/>
    <w:rsid w:val="0039258E"/>
    <w:rsid w:val="0039302F"/>
    <w:rsid w:val="00393A9E"/>
    <w:rsid w:val="00394091"/>
    <w:rsid w:val="00396DDA"/>
    <w:rsid w:val="0039772D"/>
    <w:rsid w:val="003A416F"/>
    <w:rsid w:val="003A4E3C"/>
    <w:rsid w:val="003A5602"/>
    <w:rsid w:val="003A6FCB"/>
    <w:rsid w:val="003B07BD"/>
    <w:rsid w:val="003B09B7"/>
    <w:rsid w:val="003B10AA"/>
    <w:rsid w:val="003B22AD"/>
    <w:rsid w:val="003B2E14"/>
    <w:rsid w:val="003B40C9"/>
    <w:rsid w:val="003B51B2"/>
    <w:rsid w:val="003B5764"/>
    <w:rsid w:val="003B6576"/>
    <w:rsid w:val="003B71F9"/>
    <w:rsid w:val="003C0DB2"/>
    <w:rsid w:val="003C31F6"/>
    <w:rsid w:val="003C4503"/>
    <w:rsid w:val="003C488E"/>
    <w:rsid w:val="003D5AAE"/>
    <w:rsid w:val="003E0424"/>
    <w:rsid w:val="003E06E4"/>
    <w:rsid w:val="003E2707"/>
    <w:rsid w:val="003E2F7D"/>
    <w:rsid w:val="003E4579"/>
    <w:rsid w:val="003E49CA"/>
    <w:rsid w:val="003E5C16"/>
    <w:rsid w:val="003E667E"/>
    <w:rsid w:val="003E75BC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4014E6"/>
    <w:rsid w:val="00402A9D"/>
    <w:rsid w:val="004047C7"/>
    <w:rsid w:val="004102FE"/>
    <w:rsid w:val="00410A00"/>
    <w:rsid w:val="004123BE"/>
    <w:rsid w:val="004133A0"/>
    <w:rsid w:val="004140D1"/>
    <w:rsid w:val="00415A43"/>
    <w:rsid w:val="00416147"/>
    <w:rsid w:val="00417276"/>
    <w:rsid w:val="00421EA8"/>
    <w:rsid w:val="004226F6"/>
    <w:rsid w:val="004245C4"/>
    <w:rsid w:val="00424B41"/>
    <w:rsid w:val="00424BBE"/>
    <w:rsid w:val="00424C36"/>
    <w:rsid w:val="00424EBB"/>
    <w:rsid w:val="00425741"/>
    <w:rsid w:val="00425D5D"/>
    <w:rsid w:val="004270E2"/>
    <w:rsid w:val="00427386"/>
    <w:rsid w:val="004300E2"/>
    <w:rsid w:val="00432960"/>
    <w:rsid w:val="00432B4F"/>
    <w:rsid w:val="00433755"/>
    <w:rsid w:val="0043411D"/>
    <w:rsid w:val="0043694A"/>
    <w:rsid w:val="00437D9D"/>
    <w:rsid w:val="0044114E"/>
    <w:rsid w:val="00442FB0"/>
    <w:rsid w:val="00443694"/>
    <w:rsid w:val="004440B1"/>
    <w:rsid w:val="00444EA8"/>
    <w:rsid w:val="0044556D"/>
    <w:rsid w:val="00445E65"/>
    <w:rsid w:val="00446181"/>
    <w:rsid w:val="0044706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776B1"/>
    <w:rsid w:val="0048073D"/>
    <w:rsid w:val="004876AC"/>
    <w:rsid w:val="0049187C"/>
    <w:rsid w:val="00492D38"/>
    <w:rsid w:val="00494650"/>
    <w:rsid w:val="004948E9"/>
    <w:rsid w:val="00494DAC"/>
    <w:rsid w:val="00495B22"/>
    <w:rsid w:val="004A2492"/>
    <w:rsid w:val="004A2D95"/>
    <w:rsid w:val="004A62DC"/>
    <w:rsid w:val="004B0528"/>
    <w:rsid w:val="004B1EE6"/>
    <w:rsid w:val="004B6E66"/>
    <w:rsid w:val="004C0C17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1DDD"/>
    <w:rsid w:val="004E295E"/>
    <w:rsid w:val="004E489A"/>
    <w:rsid w:val="004E5617"/>
    <w:rsid w:val="004E73FD"/>
    <w:rsid w:val="004F0998"/>
    <w:rsid w:val="004F2624"/>
    <w:rsid w:val="004F2B88"/>
    <w:rsid w:val="004F39F6"/>
    <w:rsid w:val="004F479F"/>
    <w:rsid w:val="004F731B"/>
    <w:rsid w:val="004F746C"/>
    <w:rsid w:val="005004B1"/>
    <w:rsid w:val="005004E9"/>
    <w:rsid w:val="00500EB3"/>
    <w:rsid w:val="00500EF4"/>
    <w:rsid w:val="005010AD"/>
    <w:rsid w:val="0050312A"/>
    <w:rsid w:val="00506046"/>
    <w:rsid w:val="0050706F"/>
    <w:rsid w:val="0050739B"/>
    <w:rsid w:val="005074B3"/>
    <w:rsid w:val="00507ADE"/>
    <w:rsid w:val="00510B6B"/>
    <w:rsid w:val="0051284B"/>
    <w:rsid w:val="00513A65"/>
    <w:rsid w:val="005155AA"/>
    <w:rsid w:val="00515DB5"/>
    <w:rsid w:val="00517045"/>
    <w:rsid w:val="005173F5"/>
    <w:rsid w:val="00521EFD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40BCC"/>
    <w:rsid w:val="00540CC5"/>
    <w:rsid w:val="00541FC5"/>
    <w:rsid w:val="00543181"/>
    <w:rsid w:val="005445FF"/>
    <w:rsid w:val="00544F53"/>
    <w:rsid w:val="005454F1"/>
    <w:rsid w:val="005456C3"/>
    <w:rsid w:val="00545866"/>
    <w:rsid w:val="005475B8"/>
    <w:rsid w:val="00550FC6"/>
    <w:rsid w:val="00551582"/>
    <w:rsid w:val="005524C0"/>
    <w:rsid w:val="00553638"/>
    <w:rsid w:val="00556604"/>
    <w:rsid w:val="00556ADB"/>
    <w:rsid w:val="00557D81"/>
    <w:rsid w:val="00560286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1A6B"/>
    <w:rsid w:val="005C2E14"/>
    <w:rsid w:val="005C3F4C"/>
    <w:rsid w:val="005C5661"/>
    <w:rsid w:val="005C68EB"/>
    <w:rsid w:val="005C6992"/>
    <w:rsid w:val="005C6B6D"/>
    <w:rsid w:val="005D1A4A"/>
    <w:rsid w:val="005D22CB"/>
    <w:rsid w:val="005D5990"/>
    <w:rsid w:val="005D62A7"/>
    <w:rsid w:val="005D67E2"/>
    <w:rsid w:val="005D6EB3"/>
    <w:rsid w:val="005D76FE"/>
    <w:rsid w:val="005D7BD5"/>
    <w:rsid w:val="005E052A"/>
    <w:rsid w:val="005E25FB"/>
    <w:rsid w:val="005E3769"/>
    <w:rsid w:val="005E4AEB"/>
    <w:rsid w:val="005E4EA5"/>
    <w:rsid w:val="005E50F3"/>
    <w:rsid w:val="005F0D8D"/>
    <w:rsid w:val="005F187D"/>
    <w:rsid w:val="005F18A8"/>
    <w:rsid w:val="005F1D29"/>
    <w:rsid w:val="005F216F"/>
    <w:rsid w:val="005F268B"/>
    <w:rsid w:val="005F3047"/>
    <w:rsid w:val="005F459E"/>
    <w:rsid w:val="005F5FB5"/>
    <w:rsid w:val="005F703C"/>
    <w:rsid w:val="005F7237"/>
    <w:rsid w:val="005F72EE"/>
    <w:rsid w:val="006005ED"/>
    <w:rsid w:val="00601D44"/>
    <w:rsid w:val="006069CE"/>
    <w:rsid w:val="00607B5E"/>
    <w:rsid w:val="00610ECB"/>
    <w:rsid w:val="00612206"/>
    <w:rsid w:val="00612DF6"/>
    <w:rsid w:val="00614175"/>
    <w:rsid w:val="00614E93"/>
    <w:rsid w:val="0061552C"/>
    <w:rsid w:val="00620756"/>
    <w:rsid w:val="006214F8"/>
    <w:rsid w:val="00623F60"/>
    <w:rsid w:val="0062777B"/>
    <w:rsid w:val="00630C28"/>
    <w:rsid w:val="00631CD6"/>
    <w:rsid w:val="00631D74"/>
    <w:rsid w:val="00633D6F"/>
    <w:rsid w:val="006361DB"/>
    <w:rsid w:val="00641436"/>
    <w:rsid w:val="00641571"/>
    <w:rsid w:val="00643AF9"/>
    <w:rsid w:val="00644A61"/>
    <w:rsid w:val="00651167"/>
    <w:rsid w:val="00651A03"/>
    <w:rsid w:val="00651D03"/>
    <w:rsid w:val="00653269"/>
    <w:rsid w:val="00654326"/>
    <w:rsid w:val="0065494E"/>
    <w:rsid w:val="00654E61"/>
    <w:rsid w:val="00656A63"/>
    <w:rsid w:val="00656AD0"/>
    <w:rsid w:val="006611F2"/>
    <w:rsid w:val="00662E32"/>
    <w:rsid w:val="006642F6"/>
    <w:rsid w:val="006652E2"/>
    <w:rsid w:val="00665B00"/>
    <w:rsid w:val="006670F5"/>
    <w:rsid w:val="00673265"/>
    <w:rsid w:val="006759B5"/>
    <w:rsid w:val="00675FFE"/>
    <w:rsid w:val="0067751A"/>
    <w:rsid w:val="00677B76"/>
    <w:rsid w:val="00680242"/>
    <w:rsid w:val="00682D29"/>
    <w:rsid w:val="0068356D"/>
    <w:rsid w:val="00683E79"/>
    <w:rsid w:val="006845BC"/>
    <w:rsid w:val="00690F9E"/>
    <w:rsid w:val="006931E6"/>
    <w:rsid w:val="00693E86"/>
    <w:rsid w:val="006948E4"/>
    <w:rsid w:val="00695119"/>
    <w:rsid w:val="0069570D"/>
    <w:rsid w:val="006966FF"/>
    <w:rsid w:val="006A0964"/>
    <w:rsid w:val="006A1509"/>
    <w:rsid w:val="006A1B95"/>
    <w:rsid w:val="006A1DDA"/>
    <w:rsid w:val="006A5483"/>
    <w:rsid w:val="006A6AF0"/>
    <w:rsid w:val="006A71E5"/>
    <w:rsid w:val="006B10E9"/>
    <w:rsid w:val="006B35CC"/>
    <w:rsid w:val="006B5E18"/>
    <w:rsid w:val="006B7091"/>
    <w:rsid w:val="006B7480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51BD"/>
    <w:rsid w:val="006D6CAE"/>
    <w:rsid w:val="006D7D89"/>
    <w:rsid w:val="006D7FF1"/>
    <w:rsid w:val="006E2E0C"/>
    <w:rsid w:val="006E543B"/>
    <w:rsid w:val="006E664E"/>
    <w:rsid w:val="006F06DD"/>
    <w:rsid w:val="006F0B49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51DE"/>
    <w:rsid w:val="00710904"/>
    <w:rsid w:val="00711160"/>
    <w:rsid w:val="00711F88"/>
    <w:rsid w:val="007121EB"/>
    <w:rsid w:val="007129F8"/>
    <w:rsid w:val="007142E6"/>
    <w:rsid w:val="00714640"/>
    <w:rsid w:val="00715294"/>
    <w:rsid w:val="007159A6"/>
    <w:rsid w:val="00716A5D"/>
    <w:rsid w:val="00717F0C"/>
    <w:rsid w:val="00722913"/>
    <w:rsid w:val="00722C88"/>
    <w:rsid w:val="0072464B"/>
    <w:rsid w:val="007260DD"/>
    <w:rsid w:val="00726233"/>
    <w:rsid w:val="007262FB"/>
    <w:rsid w:val="00730D3C"/>
    <w:rsid w:val="00732846"/>
    <w:rsid w:val="007332A3"/>
    <w:rsid w:val="007336A3"/>
    <w:rsid w:val="00734133"/>
    <w:rsid w:val="00734EC9"/>
    <w:rsid w:val="00736726"/>
    <w:rsid w:val="00737ED4"/>
    <w:rsid w:val="00740A4E"/>
    <w:rsid w:val="007449A2"/>
    <w:rsid w:val="0074640B"/>
    <w:rsid w:val="00747E6D"/>
    <w:rsid w:val="00750FC7"/>
    <w:rsid w:val="0075115D"/>
    <w:rsid w:val="0075285E"/>
    <w:rsid w:val="00753A40"/>
    <w:rsid w:val="007541BF"/>
    <w:rsid w:val="00755FDE"/>
    <w:rsid w:val="007560A0"/>
    <w:rsid w:val="00756139"/>
    <w:rsid w:val="00757169"/>
    <w:rsid w:val="007611F3"/>
    <w:rsid w:val="00761B8B"/>
    <w:rsid w:val="007629A8"/>
    <w:rsid w:val="00764406"/>
    <w:rsid w:val="00764CCF"/>
    <w:rsid w:val="007663DE"/>
    <w:rsid w:val="00767277"/>
    <w:rsid w:val="00767350"/>
    <w:rsid w:val="007705EA"/>
    <w:rsid w:val="00771493"/>
    <w:rsid w:val="007732CA"/>
    <w:rsid w:val="007732CE"/>
    <w:rsid w:val="00775296"/>
    <w:rsid w:val="00775A72"/>
    <w:rsid w:val="007767BA"/>
    <w:rsid w:val="00776A04"/>
    <w:rsid w:val="00780543"/>
    <w:rsid w:val="00780C14"/>
    <w:rsid w:val="00781699"/>
    <w:rsid w:val="00782638"/>
    <w:rsid w:val="00782658"/>
    <w:rsid w:val="0078375B"/>
    <w:rsid w:val="007837F6"/>
    <w:rsid w:val="00785584"/>
    <w:rsid w:val="0078558B"/>
    <w:rsid w:val="0078593E"/>
    <w:rsid w:val="00785B37"/>
    <w:rsid w:val="00786DE7"/>
    <w:rsid w:val="007902F1"/>
    <w:rsid w:val="007910F9"/>
    <w:rsid w:val="007941D0"/>
    <w:rsid w:val="00794873"/>
    <w:rsid w:val="007959AC"/>
    <w:rsid w:val="00796336"/>
    <w:rsid w:val="007A02B4"/>
    <w:rsid w:val="007A1D9D"/>
    <w:rsid w:val="007A2F53"/>
    <w:rsid w:val="007A66FB"/>
    <w:rsid w:val="007A70EC"/>
    <w:rsid w:val="007A713A"/>
    <w:rsid w:val="007A740D"/>
    <w:rsid w:val="007B0E3C"/>
    <w:rsid w:val="007B0F5C"/>
    <w:rsid w:val="007B3BF4"/>
    <w:rsid w:val="007B5713"/>
    <w:rsid w:val="007C023A"/>
    <w:rsid w:val="007C0C6F"/>
    <w:rsid w:val="007C451E"/>
    <w:rsid w:val="007C7FF5"/>
    <w:rsid w:val="007D049D"/>
    <w:rsid w:val="007D2ADA"/>
    <w:rsid w:val="007D39CE"/>
    <w:rsid w:val="007D6761"/>
    <w:rsid w:val="007E02D0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21D"/>
    <w:rsid w:val="007F4A88"/>
    <w:rsid w:val="007F50A4"/>
    <w:rsid w:val="007F6EB0"/>
    <w:rsid w:val="007F78EA"/>
    <w:rsid w:val="00801B07"/>
    <w:rsid w:val="008047C8"/>
    <w:rsid w:val="00804B52"/>
    <w:rsid w:val="00804DD1"/>
    <w:rsid w:val="00805778"/>
    <w:rsid w:val="008067D3"/>
    <w:rsid w:val="00807122"/>
    <w:rsid w:val="008101FD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3CC6"/>
    <w:rsid w:val="00834F90"/>
    <w:rsid w:val="008358C3"/>
    <w:rsid w:val="00836370"/>
    <w:rsid w:val="00843949"/>
    <w:rsid w:val="00844B6E"/>
    <w:rsid w:val="008458A2"/>
    <w:rsid w:val="00845F88"/>
    <w:rsid w:val="00850195"/>
    <w:rsid w:val="0085121C"/>
    <w:rsid w:val="008534B5"/>
    <w:rsid w:val="00853AF1"/>
    <w:rsid w:val="008549D1"/>
    <w:rsid w:val="00854F51"/>
    <w:rsid w:val="00854FE4"/>
    <w:rsid w:val="00855988"/>
    <w:rsid w:val="00855BA9"/>
    <w:rsid w:val="00855D53"/>
    <w:rsid w:val="00855F2C"/>
    <w:rsid w:val="0085620C"/>
    <w:rsid w:val="0085795C"/>
    <w:rsid w:val="00860700"/>
    <w:rsid w:val="00860CC3"/>
    <w:rsid w:val="008617C4"/>
    <w:rsid w:val="00863181"/>
    <w:rsid w:val="0086438F"/>
    <w:rsid w:val="008652A0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7427"/>
    <w:rsid w:val="00887A20"/>
    <w:rsid w:val="00890205"/>
    <w:rsid w:val="0089065F"/>
    <w:rsid w:val="00892A6C"/>
    <w:rsid w:val="0089478B"/>
    <w:rsid w:val="00896847"/>
    <w:rsid w:val="008A0C1C"/>
    <w:rsid w:val="008A0FB4"/>
    <w:rsid w:val="008A29E8"/>
    <w:rsid w:val="008A58E9"/>
    <w:rsid w:val="008B2226"/>
    <w:rsid w:val="008B2EFF"/>
    <w:rsid w:val="008B32C9"/>
    <w:rsid w:val="008B3B46"/>
    <w:rsid w:val="008B591C"/>
    <w:rsid w:val="008B5EA1"/>
    <w:rsid w:val="008C4018"/>
    <w:rsid w:val="008C5034"/>
    <w:rsid w:val="008C59F4"/>
    <w:rsid w:val="008C63BB"/>
    <w:rsid w:val="008C68B0"/>
    <w:rsid w:val="008C6D2E"/>
    <w:rsid w:val="008D3305"/>
    <w:rsid w:val="008D3C3A"/>
    <w:rsid w:val="008D454A"/>
    <w:rsid w:val="008E5C90"/>
    <w:rsid w:val="008E5DCB"/>
    <w:rsid w:val="008E6061"/>
    <w:rsid w:val="008E6E95"/>
    <w:rsid w:val="008E70EE"/>
    <w:rsid w:val="008E7773"/>
    <w:rsid w:val="008E7FEF"/>
    <w:rsid w:val="008F0FE4"/>
    <w:rsid w:val="008F13C4"/>
    <w:rsid w:val="008F1799"/>
    <w:rsid w:val="008F1C47"/>
    <w:rsid w:val="008F4A09"/>
    <w:rsid w:val="008F62F1"/>
    <w:rsid w:val="008F76B0"/>
    <w:rsid w:val="0090128C"/>
    <w:rsid w:val="0090213F"/>
    <w:rsid w:val="00902FBA"/>
    <w:rsid w:val="0090351C"/>
    <w:rsid w:val="00903C82"/>
    <w:rsid w:val="00904F36"/>
    <w:rsid w:val="00907504"/>
    <w:rsid w:val="00911000"/>
    <w:rsid w:val="00912D67"/>
    <w:rsid w:val="009133B7"/>
    <w:rsid w:val="009166CE"/>
    <w:rsid w:val="00921E5F"/>
    <w:rsid w:val="00932B10"/>
    <w:rsid w:val="009341A2"/>
    <w:rsid w:val="00937FFB"/>
    <w:rsid w:val="00944C34"/>
    <w:rsid w:val="0094645D"/>
    <w:rsid w:val="00950297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06F0"/>
    <w:rsid w:val="00972047"/>
    <w:rsid w:val="00972EAF"/>
    <w:rsid w:val="00973D15"/>
    <w:rsid w:val="00974A86"/>
    <w:rsid w:val="00974B40"/>
    <w:rsid w:val="00975613"/>
    <w:rsid w:val="00981401"/>
    <w:rsid w:val="009846E2"/>
    <w:rsid w:val="00985984"/>
    <w:rsid w:val="00991E4A"/>
    <w:rsid w:val="009921A2"/>
    <w:rsid w:val="00992378"/>
    <w:rsid w:val="00993608"/>
    <w:rsid w:val="00994606"/>
    <w:rsid w:val="009963D1"/>
    <w:rsid w:val="009969E2"/>
    <w:rsid w:val="00996FFA"/>
    <w:rsid w:val="0099783D"/>
    <w:rsid w:val="009A2407"/>
    <w:rsid w:val="009A4B72"/>
    <w:rsid w:val="009A53CF"/>
    <w:rsid w:val="009A5F05"/>
    <w:rsid w:val="009B1ACF"/>
    <w:rsid w:val="009B354F"/>
    <w:rsid w:val="009B5309"/>
    <w:rsid w:val="009B5F06"/>
    <w:rsid w:val="009B632A"/>
    <w:rsid w:val="009B6D34"/>
    <w:rsid w:val="009C1604"/>
    <w:rsid w:val="009C3AFB"/>
    <w:rsid w:val="009C7706"/>
    <w:rsid w:val="009C7A74"/>
    <w:rsid w:val="009D0144"/>
    <w:rsid w:val="009D070C"/>
    <w:rsid w:val="009D076A"/>
    <w:rsid w:val="009D0BFE"/>
    <w:rsid w:val="009D282C"/>
    <w:rsid w:val="009D2F37"/>
    <w:rsid w:val="009D3D43"/>
    <w:rsid w:val="009D4E91"/>
    <w:rsid w:val="009D57DB"/>
    <w:rsid w:val="009D6445"/>
    <w:rsid w:val="009D6FCC"/>
    <w:rsid w:val="009D7610"/>
    <w:rsid w:val="009D7690"/>
    <w:rsid w:val="009D7E4F"/>
    <w:rsid w:val="009E157D"/>
    <w:rsid w:val="009E310E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06A92"/>
    <w:rsid w:val="00A10DA3"/>
    <w:rsid w:val="00A10E9D"/>
    <w:rsid w:val="00A1108C"/>
    <w:rsid w:val="00A12491"/>
    <w:rsid w:val="00A13FF1"/>
    <w:rsid w:val="00A15CEC"/>
    <w:rsid w:val="00A16152"/>
    <w:rsid w:val="00A166C1"/>
    <w:rsid w:val="00A179B0"/>
    <w:rsid w:val="00A17E6B"/>
    <w:rsid w:val="00A20405"/>
    <w:rsid w:val="00A20953"/>
    <w:rsid w:val="00A217A2"/>
    <w:rsid w:val="00A22A5D"/>
    <w:rsid w:val="00A240EA"/>
    <w:rsid w:val="00A2480F"/>
    <w:rsid w:val="00A25459"/>
    <w:rsid w:val="00A25CC8"/>
    <w:rsid w:val="00A3142C"/>
    <w:rsid w:val="00A35169"/>
    <w:rsid w:val="00A3593D"/>
    <w:rsid w:val="00A3676D"/>
    <w:rsid w:val="00A371AB"/>
    <w:rsid w:val="00A37669"/>
    <w:rsid w:val="00A40153"/>
    <w:rsid w:val="00A43C11"/>
    <w:rsid w:val="00A45DCC"/>
    <w:rsid w:val="00A46899"/>
    <w:rsid w:val="00A5223F"/>
    <w:rsid w:val="00A52E00"/>
    <w:rsid w:val="00A55B4C"/>
    <w:rsid w:val="00A6018E"/>
    <w:rsid w:val="00A65128"/>
    <w:rsid w:val="00A670FA"/>
    <w:rsid w:val="00A67D59"/>
    <w:rsid w:val="00A70075"/>
    <w:rsid w:val="00A700BC"/>
    <w:rsid w:val="00A707CD"/>
    <w:rsid w:val="00A70EE2"/>
    <w:rsid w:val="00A73257"/>
    <w:rsid w:val="00A74A01"/>
    <w:rsid w:val="00A75E13"/>
    <w:rsid w:val="00A76649"/>
    <w:rsid w:val="00A77051"/>
    <w:rsid w:val="00A824B9"/>
    <w:rsid w:val="00A82C2A"/>
    <w:rsid w:val="00A83592"/>
    <w:rsid w:val="00A84924"/>
    <w:rsid w:val="00A8587F"/>
    <w:rsid w:val="00A90534"/>
    <w:rsid w:val="00A90E62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35B7"/>
    <w:rsid w:val="00AA5530"/>
    <w:rsid w:val="00AA6EA7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50DB"/>
    <w:rsid w:val="00AC6BC5"/>
    <w:rsid w:val="00AC6BFF"/>
    <w:rsid w:val="00AC70AF"/>
    <w:rsid w:val="00AD1EC0"/>
    <w:rsid w:val="00AD1FD7"/>
    <w:rsid w:val="00AD3640"/>
    <w:rsid w:val="00AD4143"/>
    <w:rsid w:val="00AD5305"/>
    <w:rsid w:val="00AD5EE9"/>
    <w:rsid w:val="00AD6455"/>
    <w:rsid w:val="00AD740C"/>
    <w:rsid w:val="00AE031C"/>
    <w:rsid w:val="00AE24F3"/>
    <w:rsid w:val="00AE30A8"/>
    <w:rsid w:val="00AE3A0E"/>
    <w:rsid w:val="00AE457B"/>
    <w:rsid w:val="00AE56DD"/>
    <w:rsid w:val="00AE6020"/>
    <w:rsid w:val="00AE637C"/>
    <w:rsid w:val="00AF066D"/>
    <w:rsid w:val="00AF4E30"/>
    <w:rsid w:val="00AF5A1C"/>
    <w:rsid w:val="00AF6608"/>
    <w:rsid w:val="00AF78B3"/>
    <w:rsid w:val="00AF7AC9"/>
    <w:rsid w:val="00B01B95"/>
    <w:rsid w:val="00B0297B"/>
    <w:rsid w:val="00B0329E"/>
    <w:rsid w:val="00B03A5A"/>
    <w:rsid w:val="00B03B2E"/>
    <w:rsid w:val="00B0737B"/>
    <w:rsid w:val="00B07BA5"/>
    <w:rsid w:val="00B11EF6"/>
    <w:rsid w:val="00B124AF"/>
    <w:rsid w:val="00B13207"/>
    <w:rsid w:val="00B13264"/>
    <w:rsid w:val="00B15516"/>
    <w:rsid w:val="00B15560"/>
    <w:rsid w:val="00B15E48"/>
    <w:rsid w:val="00B237A1"/>
    <w:rsid w:val="00B24C3B"/>
    <w:rsid w:val="00B2606E"/>
    <w:rsid w:val="00B26F9F"/>
    <w:rsid w:val="00B32381"/>
    <w:rsid w:val="00B346FD"/>
    <w:rsid w:val="00B3471B"/>
    <w:rsid w:val="00B355FA"/>
    <w:rsid w:val="00B3757A"/>
    <w:rsid w:val="00B426D0"/>
    <w:rsid w:val="00B43A47"/>
    <w:rsid w:val="00B44817"/>
    <w:rsid w:val="00B44F60"/>
    <w:rsid w:val="00B46E4D"/>
    <w:rsid w:val="00B5257F"/>
    <w:rsid w:val="00B52806"/>
    <w:rsid w:val="00B53616"/>
    <w:rsid w:val="00B53FB7"/>
    <w:rsid w:val="00B56D8F"/>
    <w:rsid w:val="00B61E9E"/>
    <w:rsid w:val="00B63E77"/>
    <w:rsid w:val="00B646BD"/>
    <w:rsid w:val="00B652B6"/>
    <w:rsid w:val="00B6680F"/>
    <w:rsid w:val="00B67867"/>
    <w:rsid w:val="00B70CC9"/>
    <w:rsid w:val="00B74F34"/>
    <w:rsid w:val="00B7510E"/>
    <w:rsid w:val="00B80E07"/>
    <w:rsid w:val="00B81609"/>
    <w:rsid w:val="00B83D13"/>
    <w:rsid w:val="00B84874"/>
    <w:rsid w:val="00B84B57"/>
    <w:rsid w:val="00B84FA1"/>
    <w:rsid w:val="00B877E6"/>
    <w:rsid w:val="00B87801"/>
    <w:rsid w:val="00B87F47"/>
    <w:rsid w:val="00B91BF1"/>
    <w:rsid w:val="00B9273E"/>
    <w:rsid w:val="00B943E8"/>
    <w:rsid w:val="00B96729"/>
    <w:rsid w:val="00B967C1"/>
    <w:rsid w:val="00B970AD"/>
    <w:rsid w:val="00B97620"/>
    <w:rsid w:val="00BA19D4"/>
    <w:rsid w:val="00BA55EE"/>
    <w:rsid w:val="00BA5B2E"/>
    <w:rsid w:val="00BA66D7"/>
    <w:rsid w:val="00BA6FBD"/>
    <w:rsid w:val="00BB01F1"/>
    <w:rsid w:val="00BB029E"/>
    <w:rsid w:val="00BB1ACD"/>
    <w:rsid w:val="00BB268C"/>
    <w:rsid w:val="00BB56AE"/>
    <w:rsid w:val="00BB5B1E"/>
    <w:rsid w:val="00BB71B8"/>
    <w:rsid w:val="00BC27D4"/>
    <w:rsid w:val="00BC2882"/>
    <w:rsid w:val="00BC4CB2"/>
    <w:rsid w:val="00BC5828"/>
    <w:rsid w:val="00BC63CD"/>
    <w:rsid w:val="00BC6594"/>
    <w:rsid w:val="00BD01CB"/>
    <w:rsid w:val="00BD0D82"/>
    <w:rsid w:val="00BD0FEE"/>
    <w:rsid w:val="00BD1ABC"/>
    <w:rsid w:val="00BD3CB9"/>
    <w:rsid w:val="00BD4B23"/>
    <w:rsid w:val="00BD567B"/>
    <w:rsid w:val="00BD7199"/>
    <w:rsid w:val="00BD7445"/>
    <w:rsid w:val="00BE1DBD"/>
    <w:rsid w:val="00BE2444"/>
    <w:rsid w:val="00BE7486"/>
    <w:rsid w:val="00BE77B2"/>
    <w:rsid w:val="00BF2A24"/>
    <w:rsid w:val="00BF2C0F"/>
    <w:rsid w:val="00BF2C94"/>
    <w:rsid w:val="00BF3921"/>
    <w:rsid w:val="00BF5EC6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102A9"/>
    <w:rsid w:val="00C11498"/>
    <w:rsid w:val="00C1170E"/>
    <w:rsid w:val="00C11B93"/>
    <w:rsid w:val="00C13281"/>
    <w:rsid w:val="00C13459"/>
    <w:rsid w:val="00C135CF"/>
    <w:rsid w:val="00C13F17"/>
    <w:rsid w:val="00C14905"/>
    <w:rsid w:val="00C1541D"/>
    <w:rsid w:val="00C1617A"/>
    <w:rsid w:val="00C169CF"/>
    <w:rsid w:val="00C17DC6"/>
    <w:rsid w:val="00C20AB2"/>
    <w:rsid w:val="00C2261E"/>
    <w:rsid w:val="00C23366"/>
    <w:rsid w:val="00C23751"/>
    <w:rsid w:val="00C24978"/>
    <w:rsid w:val="00C2516C"/>
    <w:rsid w:val="00C2517F"/>
    <w:rsid w:val="00C254EE"/>
    <w:rsid w:val="00C32080"/>
    <w:rsid w:val="00C3419F"/>
    <w:rsid w:val="00C36052"/>
    <w:rsid w:val="00C36B9D"/>
    <w:rsid w:val="00C3704D"/>
    <w:rsid w:val="00C4006A"/>
    <w:rsid w:val="00C400D6"/>
    <w:rsid w:val="00C40135"/>
    <w:rsid w:val="00C41924"/>
    <w:rsid w:val="00C43A87"/>
    <w:rsid w:val="00C444FD"/>
    <w:rsid w:val="00C44D15"/>
    <w:rsid w:val="00C44D44"/>
    <w:rsid w:val="00C4582F"/>
    <w:rsid w:val="00C462DF"/>
    <w:rsid w:val="00C4634A"/>
    <w:rsid w:val="00C47439"/>
    <w:rsid w:val="00C50DB3"/>
    <w:rsid w:val="00C51E3F"/>
    <w:rsid w:val="00C5241C"/>
    <w:rsid w:val="00C52C15"/>
    <w:rsid w:val="00C53F72"/>
    <w:rsid w:val="00C56083"/>
    <w:rsid w:val="00C56BD7"/>
    <w:rsid w:val="00C56DD6"/>
    <w:rsid w:val="00C61B95"/>
    <w:rsid w:val="00C61FAD"/>
    <w:rsid w:val="00C62B0C"/>
    <w:rsid w:val="00C62E05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890"/>
    <w:rsid w:val="00C77036"/>
    <w:rsid w:val="00C8256B"/>
    <w:rsid w:val="00C83D04"/>
    <w:rsid w:val="00C83F98"/>
    <w:rsid w:val="00C842B8"/>
    <w:rsid w:val="00C87D16"/>
    <w:rsid w:val="00C91F52"/>
    <w:rsid w:val="00C9308B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33F5"/>
    <w:rsid w:val="00CA4029"/>
    <w:rsid w:val="00CA5F45"/>
    <w:rsid w:val="00CA659E"/>
    <w:rsid w:val="00CA71EE"/>
    <w:rsid w:val="00CA781A"/>
    <w:rsid w:val="00CA7D11"/>
    <w:rsid w:val="00CB00FD"/>
    <w:rsid w:val="00CB46DF"/>
    <w:rsid w:val="00CB6175"/>
    <w:rsid w:val="00CB70EE"/>
    <w:rsid w:val="00CB78F0"/>
    <w:rsid w:val="00CC11D9"/>
    <w:rsid w:val="00CC190C"/>
    <w:rsid w:val="00CC227E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F02"/>
    <w:rsid w:val="00CD61FE"/>
    <w:rsid w:val="00CE0C4C"/>
    <w:rsid w:val="00CE2A87"/>
    <w:rsid w:val="00CE2FE0"/>
    <w:rsid w:val="00CE3E3D"/>
    <w:rsid w:val="00CE4AD9"/>
    <w:rsid w:val="00CE5844"/>
    <w:rsid w:val="00CE5F85"/>
    <w:rsid w:val="00CE6A17"/>
    <w:rsid w:val="00CE6DBA"/>
    <w:rsid w:val="00CF090C"/>
    <w:rsid w:val="00CF0ACB"/>
    <w:rsid w:val="00CF108A"/>
    <w:rsid w:val="00CF19C9"/>
    <w:rsid w:val="00CF4054"/>
    <w:rsid w:val="00CF42C9"/>
    <w:rsid w:val="00CF457B"/>
    <w:rsid w:val="00CF4D23"/>
    <w:rsid w:val="00CF4F13"/>
    <w:rsid w:val="00CF59FE"/>
    <w:rsid w:val="00CF6389"/>
    <w:rsid w:val="00CF7756"/>
    <w:rsid w:val="00D00E85"/>
    <w:rsid w:val="00D021C4"/>
    <w:rsid w:val="00D023C3"/>
    <w:rsid w:val="00D0426F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0A7"/>
    <w:rsid w:val="00D20DC4"/>
    <w:rsid w:val="00D21DB7"/>
    <w:rsid w:val="00D24079"/>
    <w:rsid w:val="00D261A5"/>
    <w:rsid w:val="00D27499"/>
    <w:rsid w:val="00D277C0"/>
    <w:rsid w:val="00D27E95"/>
    <w:rsid w:val="00D30A35"/>
    <w:rsid w:val="00D31A84"/>
    <w:rsid w:val="00D33E09"/>
    <w:rsid w:val="00D34463"/>
    <w:rsid w:val="00D37B5A"/>
    <w:rsid w:val="00D400CC"/>
    <w:rsid w:val="00D42C00"/>
    <w:rsid w:val="00D4337F"/>
    <w:rsid w:val="00D43CC5"/>
    <w:rsid w:val="00D44B43"/>
    <w:rsid w:val="00D46960"/>
    <w:rsid w:val="00D474DD"/>
    <w:rsid w:val="00D52942"/>
    <w:rsid w:val="00D52F7B"/>
    <w:rsid w:val="00D5306A"/>
    <w:rsid w:val="00D55ED6"/>
    <w:rsid w:val="00D55FD4"/>
    <w:rsid w:val="00D571A2"/>
    <w:rsid w:val="00D635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7324"/>
    <w:rsid w:val="00D77A4A"/>
    <w:rsid w:val="00D80F1C"/>
    <w:rsid w:val="00D8162F"/>
    <w:rsid w:val="00D81996"/>
    <w:rsid w:val="00D8216D"/>
    <w:rsid w:val="00D833B2"/>
    <w:rsid w:val="00D84F5D"/>
    <w:rsid w:val="00D86E1F"/>
    <w:rsid w:val="00D903E7"/>
    <w:rsid w:val="00D90626"/>
    <w:rsid w:val="00D90AA3"/>
    <w:rsid w:val="00D91A53"/>
    <w:rsid w:val="00D931B0"/>
    <w:rsid w:val="00D95ADB"/>
    <w:rsid w:val="00D95E7C"/>
    <w:rsid w:val="00DA07F9"/>
    <w:rsid w:val="00DA28B2"/>
    <w:rsid w:val="00DA3216"/>
    <w:rsid w:val="00DA52B8"/>
    <w:rsid w:val="00DA636C"/>
    <w:rsid w:val="00DA6577"/>
    <w:rsid w:val="00DA6BB2"/>
    <w:rsid w:val="00DA792E"/>
    <w:rsid w:val="00DB1992"/>
    <w:rsid w:val="00DB2008"/>
    <w:rsid w:val="00DB7B31"/>
    <w:rsid w:val="00DC129F"/>
    <w:rsid w:val="00DC22C5"/>
    <w:rsid w:val="00DC247F"/>
    <w:rsid w:val="00DC346E"/>
    <w:rsid w:val="00DC4030"/>
    <w:rsid w:val="00DC53D0"/>
    <w:rsid w:val="00DC5F86"/>
    <w:rsid w:val="00DC784E"/>
    <w:rsid w:val="00DD0702"/>
    <w:rsid w:val="00DD0F06"/>
    <w:rsid w:val="00DD3215"/>
    <w:rsid w:val="00DD3527"/>
    <w:rsid w:val="00DD4693"/>
    <w:rsid w:val="00DD5191"/>
    <w:rsid w:val="00DD6DDE"/>
    <w:rsid w:val="00DD7309"/>
    <w:rsid w:val="00DD78D2"/>
    <w:rsid w:val="00DE1745"/>
    <w:rsid w:val="00DE57C3"/>
    <w:rsid w:val="00DE5957"/>
    <w:rsid w:val="00DE638C"/>
    <w:rsid w:val="00DE715B"/>
    <w:rsid w:val="00DF0CD2"/>
    <w:rsid w:val="00DF31AE"/>
    <w:rsid w:val="00DF3655"/>
    <w:rsid w:val="00E02682"/>
    <w:rsid w:val="00E02FC2"/>
    <w:rsid w:val="00E0439F"/>
    <w:rsid w:val="00E05345"/>
    <w:rsid w:val="00E0691F"/>
    <w:rsid w:val="00E0710D"/>
    <w:rsid w:val="00E1196E"/>
    <w:rsid w:val="00E120D2"/>
    <w:rsid w:val="00E144C3"/>
    <w:rsid w:val="00E154D7"/>
    <w:rsid w:val="00E16007"/>
    <w:rsid w:val="00E16073"/>
    <w:rsid w:val="00E16C5E"/>
    <w:rsid w:val="00E16C9A"/>
    <w:rsid w:val="00E210E5"/>
    <w:rsid w:val="00E22B5B"/>
    <w:rsid w:val="00E25091"/>
    <w:rsid w:val="00E2609F"/>
    <w:rsid w:val="00E30E0B"/>
    <w:rsid w:val="00E31053"/>
    <w:rsid w:val="00E361C1"/>
    <w:rsid w:val="00E3721F"/>
    <w:rsid w:val="00E4081B"/>
    <w:rsid w:val="00E41826"/>
    <w:rsid w:val="00E42F73"/>
    <w:rsid w:val="00E4455D"/>
    <w:rsid w:val="00E449F8"/>
    <w:rsid w:val="00E451E9"/>
    <w:rsid w:val="00E452DB"/>
    <w:rsid w:val="00E45DA5"/>
    <w:rsid w:val="00E47687"/>
    <w:rsid w:val="00E5375D"/>
    <w:rsid w:val="00E54688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614"/>
    <w:rsid w:val="00E70F8F"/>
    <w:rsid w:val="00E76286"/>
    <w:rsid w:val="00E769C3"/>
    <w:rsid w:val="00E775B6"/>
    <w:rsid w:val="00E81997"/>
    <w:rsid w:val="00E81E8E"/>
    <w:rsid w:val="00E832F5"/>
    <w:rsid w:val="00E8424E"/>
    <w:rsid w:val="00E846A5"/>
    <w:rsid w:val="00E84D42"/>
    <w:rsid w:val="00E86C32"/>
    <w:rsid w:val="00E873CB"/>
    <w:rsid w:val="00E877D1"/>
    <w:rsid w:val="00E92219"/>
    <w:rsid w:val="00E9290A"/>
    <w:rsid w:val="00E92BA8"/>
    <w:rsid w:val="00E943AC"/>
    <w:rsid w:val="00E95478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2A9D"/>
    <w:rsid w:val="00EB4556"/>
    <w:rsid w:val="00EB485D"/>
    <w:rsid w:val="00EB6D6D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E6DCA"/>
    <w:rsid w:val="00EF223A"/>
    <w:rsid w:val="00EF3946"/>
    <w:rsid w:val="00EF4CFA"/>
    <w:rsid w:val="00EF6620"/>
    <w:rsid w:val="00F0001C"/>
    <w:rsid w:val="00F0195E"/>
    <w:rsid w:val="00F02086"/>
    <w:rsid w:val="00F064B4"/>
    <w:rsid w:val="00F06B6B"/>
    <w:rsid w:val="00F07090"/>
    <w:rsid w:val="00F12B1F"/>
    <w:rsid w:val="00F13A24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D1C"/>
    <w:rsid w:val="00F23BAB"/>
    <w:rsid w:val="00F23F20"/>
    <w:rsid w:val="00F2547F"/>
    <w:rsid w:val="00F2737D"/>
    <w:rsid w:val="00F277BE"/>
    <w:rsid w:val="00F278FC"/>
    <w:rsid w:val="00F30E4D"/>
    <w:rsid w:val="00F31AC4"/>
    <w:rsid w:val="00F32849"/>
    <w:rsid w:val="00F337B3"/>
    <w:rsid w:val="00F35EA0"/>
    <w:rsid w:val="00F37E40"/>
    <w:rsid w:val="00F400FA"/>
    <w:rsid w:val="00F413DD"/>
    <w:rsid w:val="00F43FB5"/>
    <w:rsid w:val="00F4547B"/>
    <w:rsid w:val="00F47859"/>
    <w:rsid w:val="00F51545"/>
    <w:rsid w:val="00F522D2"/>
    <w:rsid w:val="00F541A0"/>
    <w:rsid w:val="00F54E40"/>
    <w:rsid w:val="00F569C6"/>
    <w:rsid w:val="00F56F88"/>
    <w:rsid w:val="00F57FD4"/>
    <w:rsid w:val="00F60497"/>
    <w:rsid w:val="00F60B82"/>
    <w:rsid w:val="00F60D96"/>
    <w:rsid w:val="00F62A4E"/>
    <w:rsid w:val="00F652CD"/>
    <w:rsid w:val="00F669BF"/>
    <w:rsid w:val="00F66E37"/>
    <w:rsid w:val="00F71641"/>
    <w:rsid w:val="00F71803"/>
    <w:rsid w:val="00F719A4"/>
    <w:rsid w:val="00F728FB"/>
    <w:rsid w:val="00F72B93"/>
    <w:rsid w:val="00F7333C"/>
    <w:rsid w:val="00F733B0"/>
    <w:rsid w:val="00F73780"/>
    <w:rsid w:val="00F74E2F"/>
    <w:rsid w:val="00F74FD4"/>
    <w:rsid w:val="00F76424"/>
    <w:rsid w:val="00F772D5"/>
    <w:rsid w:val="00F77622"/>
    <w:rsid w:val="00F811E7"/>
    <w:rsid w:val="00F830B1"/>
    <w:rsid w:val="00F84B6D"/>
    <w:rsid w:val="00F86A5E"/>
    <w:rsid w:val="00F875B7"/>
    <w:rsid w:val="00F930FF"/>
    <w:rsid w:val="00F956D6"/>
    <w:rsid w:val="00F95D71"/>
    <w:rsid w:val="00F97FF8"/>
    <w:rsid w:val="00FA071F"/>
    <w:rsid w:val="00FA202B"/>
    <w:rsid w:val="00FA2435"/>
    <w:rsid w:val="00FA3283"/>
    <w:rsid w:val="00FA516F"/>
    <w:rsid w:val="00FB12E6"/>
    <w:rsid w:val="00FB1768"/>
    <w:rsid w:val="00FB1E1A"/>
    <w:rsid w:val="00FB393F"/>
    <w:rsid w:val="00FB64BA"/>
    <w:rsid w:val="00FB74A2"/>
    <w:rsid w:val="00FC32AF"/>
    <w:rsid w:val="00FC3B1E"/>
    <w:rsid w:val="00FC3E44"/>
    <w:rsid w:val="00FC661E"/>
    <w:rsid w:val="00FC7A92"/>
    <w:rsid w:val="00FC7B69"/>
    <w:rsid w:val="00FD21F5"/>
    <w:rsid w:val="00FD2BB0"/>
    <w:rsid w:val="00FD38D7"/>
    <w:rsid w:val="00FD5526"/>
    <w:rsid w:val="00FD5FE0"/>
    <w:rsid w:val="00FE2512"/>
    <w:rsid w:val="00FE2837"/>
    <w:rsid w:val="00FE3620"/>
    <w:rsid w:val="00FE435B"/>
    <w:rsid w:val="00FE5040"/>
    <w:rsid w:val="00FE5161"/>
    <w:rsid w:val="00FE55F2"/>
    <w:rsid w:val="00FF103C"/>
    <w:rsid w:val="00FF133B"/>
    <w:rsid w:val="00FF1D27"/>
    <w:rsid w:val="00FF4271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,footnote text"/>
    <w:basedOn w:val="Normalny"/>
    <w:link w:val="TekstprzypisudolnegoZnak"/>
    <w:uiPriority w:val="99"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uiPriority w:val="99"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4006A"/>
    <w:pPr>
      <w:tabs>
        <w:tab w:val="right" w:leader="dot" w:pos="7219"/>
      </w:tabs>
      <w:spacing w:after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5" Type="http://schemas.openxmlformats.org/officeDocument/2006/relationships/hyperlink" Target="http://stat.gov.pl/obszary-tematyczne/rachunki-narodowe/europejski-system-rachunkow-narodowych-i-regionalnych-esa-2010/rozporzadzenie-parlamentu-europejskiego-i-rady-ue-nr-5492013-z-dnia-21-maja-2013-r-,1,1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mf.gov.pl/documents/764034/1002148/metodologia+wersja+polska2001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isap.sejm.gov.pl/DetailsServlet?id=WDU20091571240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5624-FEC2-48D1-8E35-59FECAF1A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D8554-547E-426B-A4D1-C2050E55A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41659-C42D-477C-A402-BC9DD56073A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D465E2-135E-4562-B4FD-3DC1E91A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3501</Words>
  <Characters>21010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2022-06-03T10:16:00Z</dcterms:created>
  <dcterms:modified xsi:type="dcterms:W3CDTF">2022-06-03T12:30:00Z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MF\aaiz;Izdebska Agnieszka</vt:lpwstr>
  </property>
  <property fmtid="{D5CDD505-2E9C-101B-9397-08002B2CF9AE}" pid="5" name="MFClassificationDate">
    <vt:lpwstr>2022-05-20T08:35:00.3686984+02:00</vt:lpwstr>
  </property>
  <property fmtid="{D5CDD505-2E9C-101B-9397-08002B2CF9AE}" pid="6" name="MFClassifiedBySID">
    <vt:lpwstr>MF\S-1-5-21-1525952054-1005573771-2909822258-8706</vt:lpwstr>
  </property>
  <property fmtid="{D5CDD505-2E9C-101B-9397-08002B2CF9AE}" pid="7" name="MFGRNItemId">
    <vt:lpwstr>GRN-c16d5422-78a8-4dc6-ba5a-5e1acad70ec7</vt:lpwstr>
  </property>
  <property fmtid="{D5CDD505-2E9C-101B-9397-08002B2CF9AE}" pid="8" name="MFHash">
    <vt:lpwstr>aPk5F2zMQazYZfCA6Zqt3KoNZTN41tAxRO71jsg7mxU=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