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15337" w:type="dxa"/>
        <w:jc w:val="center"/>
        <w:tblLook w:val="04A0" w:firstRow="1" w:lastRow="0" w:firstColumn="1" w:lastColumn="0" w:noHBand="0" w:noVBand="1"/>
      </w:tblPr>
      <w:tblGrid>
        <w:gridCol w:w="889"/>
        <w:gridCol w:w="2537"/>
        <w:gridCol w:w="3299"/>
        <w:gridCol w:w="2786"/>
        <w:gridCol w:w="1832"/>
        <w:gridCol w:w="1393"/>
        <w:gridCol w:w="2601"/>
      </w:tblGrid>
      <w:tr w:rsidR="00E456C3" w:rsidRPr="00E456C3" w14:paraId="06ED896E" w14:textId="5117C273" w:rsidTr="00C80714">
        <w:trPr>
          <w:jc w:val="center"/>
        </w:trPr>
        <w:tc>
          <w:tcPr>
            <w:tcW w:w="889" w:type="dxa"/>
            <w:vAlign w:val="center"/>
          </w:tcPr>
          <w:p w14:paraId="39C6C2AD" w14:textId="4A596991" w:rsidR="00E456C3" w:rsidRPr="00E456C3" w:rsidRDefault="00E456C3" w:rsidP="00BE6D75">
            <w:pPr>
              <w:pStyle w:val="Nagwek"/>
              <w:spacing w:after="0" w:line="240" w:lineRule="auto"/>
              <w:jc w:val="center"/>
              <w:rPr>
                <w:rFonts w:cs="Calibri"/>
                <w:b/>
                <w:bCs/>
                <w:sz w:val="20"/>
                <w:szCs w:val="20"/>
              </w:rPr>
            </w:pPr>
            <w:r w:rsidRPr="00E456C3">
              <w:rPr>
                <w:rFonts w:cs="Calibri"/>
                <w:b/>
                <w:bCs/>
                <w:sz w:val="20"/>
                <w:szCs w:val="20"/>
              </w:rPr>
              <w:t>LP.</w:t>
            </w:r>
          </w:p>
        </w:tc>
        <w:tc>
          <w:tcPr>
            <w:tcW w:w="2537" w:type="dxa"/>
            <w:vAlign w:val="center"/>
          </w:tcPr>
          <w:p w14:paraId="19274CAE" w14:textId="3349574A" w:rsidR="00E456C3" w:rsidRPr="00E456C3" w:rsidRDefault="00E456C3" w:rsidP="00BE6D75">
            <w:pPr>
              <w:pStyle w:val="Nagwek"/>
              <w:spacing w:after="0" w:line="240" w:lineRule="auto"/>
              <w:jc w:val="center"/>
              <w:rPr>
                <w:rFonts w:cs="Calibri"/>
                <w:b/>
                <w:bCs/>
                <w:spacing w:val="-4"/>
                <w:sz w:val="20"/>
                <w:szCs w:val="20"/>
              </w:rPr>
            </w:pPr>
            <w:r w:rsidRPr="00E456C3">
              <w:rPr>
                <w:rFonts w:cs="Calibri"/>
                <w:b/>
                <w:bCs/>
                <w:spacing w:val="-4"/>
                <w:sz w:val="20"/>
                <w:szCs w:val="20"/>
              </w:rPr>
              <w:t>TYTUŁ PROJEKTU ROZPORZĄDZENIA MINISTRA SPRAWIEDLIWOŚCI</w:t>
            </w:r>
          </w:p>
        </w:tc>
        <w:tc>
          <w:tcPr>
            <w:tcW w:w="3299" w:type="dxa"/>
            <w:vAlign w:val="center"/>
          </w:tcPr>
          <w:p w14:paraId="13B55CEC" w14:textId="7EB91614" w:rsidR="00E456C3" w:rsidRPr="00E456C3" w:rsidRDefault="00E456C3" w:rsidP="00BE6D75">
            <w:pPr>
              <w:pStyle w:val="Nagwek"/>
              <w:spacing w:after="0" w:line="240" w:lineRule="auto"/>
              <w:jc w:val="center"/>
              <w:rPr>
                <w:rFonts w:cs="Calibri"/>
                <w:b/>
                <w:bCs/>
                <w:spacing w:val="-4"/>
                <w:sz w:val="20"/>
                <w:szCs w:val="20"/>
              </w:rPr>
            </w:pPr>
            <w:r w:rsidRPr="00E456C3">
              <w:rPr>
                <w:rFonts w:cs="Calibri"/>
                <w:b/>
                <w:bCs/>
                <w:spacing w:val="-4"/>
                <w:sz w:val="20"/>
                <w:szCs w:val="20"/>
              </w:rPr>
              <w:t>PRZYCZYNY I POTRZEBY WPROWADZENIA PROJEKTU ROZPORZĄDZENIA ORAZ  WSKAZANIE ISTOTY ROZWIAZAŃ, KTÓRE PLANUJE ZAWRZEĆ SIĘ W PROJEKCIE ROZPORZĄDZENIA</w:t>
            </w:r>
          </w:p>
        </w:tc>
        <w:tc>
          <w:tcPr>
            <w:tcW w:w="2786" w:type="dxa"/>
            <w:vAlign w:val="center"/>
          </w:tcPr>
          <w:p w14:paraId="2FBA7592" w14:textId="760E1E0C" w:rsidR="00E456C3" w:rsidRPr="007729AE" w:rsidRDefault="007729AE" w:rsidP="00BE6D75">
            <w:pPr>
              <w:pStyle w:val="Nagwek"/>
              <w:spacing w:after="0" w:line="240" w:lineRule="auto"/>
              <w:jc w:val="center"/>
              <w:rPr>
                <w:rFonts w:cs="Calibri"/>
                <w:b/>
                <w:bCs/>
                <w:caps/>
                <w:spacing w:val="-4"/>
                <w:sz w:val="20"/>
                <w:szCs w:val="20"/>
              </w:rPr>
            </w:pPr>
            <w:r w:rsidRPr="007729AE">
              <w:rPr>
                <w:rFonts w:cs="Calibri"/>
                <w:b/>
                <w:bCs/>
                <w:caps/>
                <w:spacing w:val="-4"/>
                <w:sz w:val="20"/>
                <w:szCs w:val="20"/>
              </w:rPr>
              <w:t>Osoba odpowiedzialna za</w:t>
            </w:r>
            <w:r>
              <w:rPr>
                <w:rFonts w:cs="Calibri"/>
                <w:b/>
                <w:bCs/>
                <w:caps/>
                <w:spacing w:val="-4"/>
                <w:sz w:val="20"/>
                <w:szCs w:val="20"/>
              </w:rPr>
              <w:t> </w:t>
            </w:r>
            <w:r w:rsidRPr="007729AE">
              <w:rPr>
                <w:rFonts w:cs="Calibri"/>
                <w:b/>
                <w:bCs/>
                <w:caps/>
                <w:spacing w:val="-4"/>
                <w:sz w:val="20"/>
                <w:szCs w:val="20"/>
              </w:rPr>
              <w:t>projekt w randze Ministra, Sekretarza Stanu lub Podsekretarza Stanu</w:t>
            </w:r>
          </w:p>
        </w:tc>
        <w:tc>
          <w:tcPr>
            <w:tcW w:w="1832" w:type="dxa"/>
            <w:vAlign w:val="center"/>
          </w:tcPr>
          <w:p w14:paraId="1F3D1F7C" w14:textId="71F8A52A" w:rsidR="00E456C3" w:rsidRPr="00E456C3" w:rsidRDefault="00E456C3" w:rsidP="00E456C3">
            <w:pPr>
              <w:pStyle w:val="Nagwek"/>
              <w:spacing w:after="0" w:line="240" w:lineRule="auto"/>
              <w:jc w:val="center"/>
              <w:rPr>
                <w:rFonts w:cs="Calibri"/>
                <w:b/>
                <w:bCs/>
                <w:spacing w:val="-4"/>
                <w:sz w:val="20"/>
                <w:szCs w:val="20"/>
              </w:rPr>
            </w:pPr>
            <w:r w:rsidRPr="00E456C3">
              <w:rPr>
                <w:rFonts w:cs="Calibri"/>
                <w:b/>
                <w:bCs/>
                <w:spacing w:val="-4"/>
                <w:sz w:val="20"/>
                <w:szCs w:val="20"/>
              </w:rPr>
              <w:t>TERMIN PRZEWIDYWANEGO WYDANIA ROZPORZĄDZENIA</w:t>
            </w:r>
          </w:p>
        </w:tc>
        <w:tc>
          <w:tcPr>
            <w:tcW w:w="1393" w:type="dxa"/>
            <w:vAlign w:val="center"/>
          </w:tcPr>
          <w:p w14:paraId="7544FAAD" w14:textId="77777777" w:rsidR="00E456C3" w:rsidRDefault="00E456C3" w:rsidP="00BE6D75">
            <w:pPr>
              <w:pStyle w:val="Nagwek"/>
              <w:spacing w:after="0" w:line="240" w:lineRule="auto"/>
              <w:jc w:val="center"/>
              <w:rPr>
                <w:rFonts w:cs="Calibri"/>
                <w:b/>
                <w:bCs/>
                <w:spacing w:val="-4"/>
                <w:sz w:val="20"/>
                <w:szCs w:val="20"/>
              </w:rPr>
            </w:pPr>
            <w:r w:rsidRPr="00E456C3">
              <w:rPr>
                <w:rFonts w:cs="Calibri"/>
                <w:b/>
                <w:bCs/>
                <w:spacing w:val="-4"/>
                <w:sz w:val="20"/>
                <w:szCs w:val="20"/>
              </w:rPr>
              <w:t xml:space="preserve">DATA </w:t>
            </w:r>
          </w:p>
          <w:p w14:paraId="54EE72B3" w14:textId="36CD1901" w:rsidR="00E456C3" w:rsidRPr="00E456C3" w:rsidRDefault="00E456C3" w:rsidP="00BE6D75">
            <w:pPr>
              <w:pStyle w:val="Nagwek"/>
              <w:spacing w:after="0" w:line="240" w:lineRule="auto"/>
              <w:jc w:val="center"/>
              <w:rPr>
                <w:rFonts w:cs="Calibri"/>
                <w:b/>
                <w:bCs/>
                <w:spacing w:val="-4"/>
                <w:sz w:val="20"/>
                <w:szCs w:val="20"/>
              </w:rPr>
            </w:pPr>
            <w:r w:rsidRPr="00E456C3">
              <w:rPr>
                <w:rFonts w:cs="Calibri"/>
                <w:b/>
                <w:bCs/>
                <w:spacing w:val="-4"/>
                <w:sz w:val="20"/>
                <w:szCs w:val="20"/>
              </w:rPr>
              <w:t>WPISU</w:t>
            </w:r>
          </w:p>
        </w:tc>
        <w:tc>
          <w:tcPr>
            <w:tcW w:w="2601" w:type="dxa"/>
            <w:vAlign w:val="center"/>
          </w:tcPr>
          <w:p w14:paraId="1DF282BE" w14:textId="19213384" w:rsidR="00E456C3" w:rsidRPr="00E456C3" w:rsidRDefault="00E456C3" w:rsidP="00E456C3">
            <w:pPr>
              <w:pStyle w:val="Nagwek"/>
              <w:spacing w:after="0" w:line="240" w:lineRule="auto"/>
              <w:jc w:val="center"/>
              <w:rPr>
                <w:rFonts w:cs="Calibri"/>
                <w:b/>
                <w:bCs/>
                <w:spacing w:val="-4"/>
                <w:sz w:val="20"/>
                <w:szCs w:val="20"/>
              </w:rPr>
            </w:pPr>
            <w:r>
              <w:rPr>
                <w:rFonts w:cs="Calibri"/>
                <w:b/>
                <w:bCs/>
                <w:spacing w:val="-4"/>
                <w:sz w:val="20"/>
                <w:szCs w:val="20"/>
              </w:rPr>
              <w:t xml:space="preserve">PUBLIKATOR </w:t>
            </w:r>
            <w:r w:rsidRPr="00E456C3">
              <w:rPr>
                <w:rFonts w:cs="Calibri"/>
                <w:b/>
                <w:bCs/>
                <w:spacing w:val="-4"/>
                <w:sz w:val="20"/>
                <w:szCs w:val="20"/>
              </w:rPr>
              <w:t>LUB</w:t>
            </w:r>
            <w:r>
              <w:rPr>
                <w:rFonts w:cs="Calibri"/>
                <w:b/>
                <w:bCs/>
                <w:spacing w:val="-4"/>
                <w:sz w:val="20"/>
                <w:szCs w:val="20"/>
              </w:rPr>
              <w:t> </w:t>
            </w:r>
            <w:r w:rsidRPr="00E456C3">
              <w:rPr>
                <w:rFonts w:cs="Calibri"/>
                <w:b/>
                <w:bCs/>
                <w:spacing w:val="-4"/>
                <w:sz w:val="20"/>
                <w:szCs w:val="20"/>
              </w:rPr>
              <w:t>INFORMACJA O</w:t>
            </w:r>
            <w:r>
              <w:rPr>
                <w:rFonts w:cs="Calibri"/>
                <w:b/>
                <w:bCs/>
                <w:spacing w:val="-4"/>
                <w:sz w:val="20"/>
                <w:szCs w:val="20"/>
              </w:rPr>
              <w:t> </w:t>
            </w:r>
            <w:r w:rsidRPr="00E456C3">
              <w:rPr>
                <w:rFonts w:cs="Calibri"/>
                <w:b/>
                <w:bCs/>
                <w:spacing w:val="-4"/>
                <w:sz w:val="20"/>
                <w:szCs w:val="20"/>
              </w:rPr>
              <w:t>REZYGNACJI</w:t>
            </w:r>
          </w:p>
          <w:p w14:paraId="7B8E6AFE" w14:textId="77777777" w:rsidR="00E456C3" w:rsidRPr="00E456C3" w:rsidRDefault="00E456C3" w:rsidP="00E456C3">
            <w:pPr>
              <w:pStyle w:val="Nagwek"/>
              <w:spacing w:after="0" w:line="240" w:lineRule="auto"/>
              <w:jc w:val="center"/>
              <w:rPr>
                <w:rFonts w:cs="Calibri"/>
                <w:b/>
                <w:bCs/>
                <w:spacing w:val="-4"/>
                <w:sz w:val="20"/>
                <w:szCs w:val="20"/>
              </w:rPr>
            </w:pPr>
            <w:r w:rsidRPr="00E456C3">
              <w:rPr>
                <w:rFonts w:cs="Calibri"/>
                <w:b/>
                <w:bCs/>
                <w:spacing w:val="-4"/>
                <w:sz w:val="20"/>
                <w:szCs w:val="20"/>
              </w:rPr>
              <w:t xml:space="preserve">Z PRAC NAD PROJEKTEM </w:t>
            </w:r>
          </w:p>
          <w:p w14:paraId="178B9131" w14:textId="39050CA9" w:rsidR="00E456C3" w:rsidRPr="00E456C3" w:rsidRDefault="00E456C3" w:rsidP="00E456C3">
            <w:pPr>
              <w:pStyle w:val="Nagwek"/>
              <w:spacing w:after="0" w:line="240" w:lineRule="auto"/>
              <w:jc w:val="center"/>
              <w:rPr>
                <w:rFonts w:cs="Calibri"/>
                <w:b/>
                <w:bCs/>
                <w:spacing w:val="-6"/>
                <w:sz w:val="20"/>
                <w:szCs w:val="20"/>
              </w:rPr>
            </w:pPr>
            <w:r w:rsidRPr="00E456C3">
              <w:rPr>
                <w:rFonts w:cs="Calibri"/>
                <w:b/>
                <w:bCs/>
                <w:spacing w:val="-6"/>
                <w:sz w:val="20"/>
                <w:szCs w:val="20"/>
              </w:rPr>
              <w:t>(wraz z uzasadnieniem)</w:t>
            </w:r>
          </w:p>
        </w:tc>
      </w:tr>
      <w:tr w:rsidR="00E456C3" w:rsidRPr="00E456C3" w14:paraId="28BE63E1" w14:textId="604DCF5A" w:rsidTr="00C80714">
        <w:trPr>
          <w:jc w:val="center"/>
        </w:trPr>
        <w:tc>
          <w:tcPr>
            <w:tcW w:w="889" w:type="dxa"/>
            <w:vAlign w:val="center"/>
          </w:tcPr>
          <w:p w14:paraId="61BDE8F9" w14:textId="382BF81A" w:rsidR="00E456C3" w:rsidRPr="00E456C3" w:rsidRDefault="00E456C3" w:rsidP="00BE6D75">
            <w:pPr>
              <w:pStyle w:val="Nagwek"/>
              <w:spacing w:after="0" w:line="240" w:lineRule="auto"/>
              <w:jc w:val="center"/>
              <w:rPr>
                <w:rFonts w:cs="Calibri"/>
                <w:b/>
                <w:bCs/>
                <w:sz w:val="20"/>
                <w:szCs w:val="20"/>
              </w:rPr>
            </w:pPr>
            <w:r w:rsidRPr="00E456C3">
              <w:rPr>
                <w:rFonts w:cs="Calibri"/>
                <w:b/>
                <w:bCs/>
                <w:sz w:val="20"/>
                <w:szCs w:val="20"/>
              </w:rPr>
              <w:t>A531</w:t>
            </w:r>
          </w:p>
        </w:tc>
        <w:tc>
          <w:tcPr>
            <w:tcW w:w="2537" w:type="dxa"/>
          </w:tcPr>
          <w:p w14:paraId="4D9F7225" w14:textId="37B18537" w:rsidR="00E456C3" w:rsidRPr="00E456C3" w:rsidRDefault="00E456C3" w:rsidP="00E456C3">
            <w:pPr>
              <w:autoSpaceDE w:val="0"/>
              <w:autoSpaceDN w:val="0"/>
              <w:adjustRightInd w:val="0"/>
              <w:spacing w:after="0" w:line="240" w:lineRule="auto"/>
              <w:rPr>
                <w:rFonts w:eastAsiaTheme="minorHAnsi" w:cs="Calibri"/>
                <w:sz w:val="20"/>
                <w:szCs w:val="20"/>
                <w14:ligatures w14:val="standardContextual"/>
              </w:rPr>
            </w:pPr>
            <w:r w:rsidRPr="00E456C3">
              <w:rPr>
                <w:rFonts w:cs="Calibri"/>
                <w:sz w:val="20"/>
                <w:szCs w:val="20"/>
              </w:rPr>
              <w:t>Projekt rozporządzenia Ministra Sprawiedliwości</w:t>
            </w:r>
            <w:r w:rsidRPr="00E456C3">
              <w:rPr>
                <w:rFonts w:eastAsiaTheme="minorHAnsi" w:cs="Calibri"/>
                <w:sz w:val="20"/>
                <w:szCs w:val="20"/>
                <w14:ligatures w14:val="standardContextual"/>
              </w:rPr>
              <w:t xml:space="preserve"> w sprawie określenia wzorów pisemnych wyjaśnień dla podejrzanego, pokrzywdzonego i świadka co do zakresu ich uprawnień i obowiązków oraz sposobu i warunków przesłuchania</w:t>
            </w:r>
          </w:p>
        </w:tc>
        <w:tc>
          <w:tcPr>
            <w:tcW w:w="3299" w:type="dxa"/>
          </w:tcPr>
          <w:p w14:paraId="7194566A" w14:textId="77777777" w:rsidR="00E456C3" w:rsidRPr="00E456C3" w:rsidRDefault="00E456C3" w:rsidP="00E456C3">
            <w:pPr>
              <w:autoSpaceDE w:val="0"/>
              <w:autoSpaceDN w:val="0"/>
              <w:adjustRightInd w:val="0"/>
              <w:spacing w:after="0" w:line="240" w:lineRule="auto"/>
              <w:rPr>
                <w:rFonts w:eastAsiaTheme="minorHAnsi" w:cs="Calibri"/>
                <w:sz w:val="20"/>
                <w:szCs w:val="20"/>
                <w14:ligatures w14:val="standardContextual"/>
              </w:rPr>
            </w:pPr>
            <w:r w:rsidRPr="00E456C3">
              <w:rPr>
                <w:rFonts w:eastAsiaTheme="minorHAnsi" w:cs="Calibri"/>
                <w:sz w:val="20"/>
                <w:szCs w:val="20"/>
                <w14:ligatures w14:val="standardContextual"/>
              </w:rPr>
              <w:t>Projekt rozporządzenia stanowi wykonanie delegacji zawartej w art. 300 § 4 pkt 2 k.p.k.</w:t>
            </w:r>
          </w:p>
          <w:p w14:paraId="78EADF89" w14:textId="0410B1A5" w:rsidR="00E456C3" w:rsidRPr="00E456C3" w:rsidRDefault="00E456C3" w:rsidP="00E456C3">
            <w:pPr>
              <w:autoSpaceDE w:val="0"/>
              <w:autoSpaceDN w:val="0"/>
              <w:adjustRightInd w:val="0"/>
              <w:spacing w:after="0" w:line="240" w:lineRule="auto"/>
              <w:rPr>
                <w:rFonts w:eastAsiaTheme="minorHAnsi" w:cs="Calibri"/>
                <w:sz w:val="20"/>
                <w:szCs w:val="20"/>
                <w14:ligatures w14:val="standardContextual"/>
              </w:rPr>
            </w:pPr>
            <w:r w:rsidRPr="00E456C3">
              <w:rPr>
                <w:rFonts w:eastAsiaTheme="minorHAnsi" w:cs="Calibri"/>
                <w:sz w:val="20"/>
                <w:szCs w:val="20"/>
                <w14:ligatures w14:val="standardContextual"/>
              </w:rPr>
              <w:t>Przewiduje ona określenie przez Ministra Sprawiedliwości wzorów pisemnych wyjaśnień co do zakresu uprawnień i obowiązków</w:t>
            </w:r>
            <w:r>
              <w:rPr>
                <w:rFonts w:eastAsiaTheme="minorHAnsi" w:cs="Calibri"/>
                <w:sz w:val="20"/>
                <w:szCs w:val="20"/>
                <w14:ligatures w14:val="standardContextual"/>
              </w:rPr>
              <w:t xml:space="preserve"> </w:t>
            </w:r>
            <w:r w:rsidRPr="00E456C3">
              <w:rPr>
                <w:rFonts w:eastAsiaTheme="minorHAnsi" w:cs="Calibri"/>
                <w:sz w:val="20"/>
                <w:szCs w:val="20"/>
                <w14:ligatures w14:val="standardContextual"/>
              </w:rPr>
              <w:t>podejrzanego, pokrzywdzonego oraz świadka dla</w:t>
            </w:r>
            <w:r>
              <w:rPr>
                <w:rFonts w:eastAsiaTheme="minorHAnsi" w:cs="Calibri"/>
                <w:sz w:val="20"/>
                <w:szCs w:val="20"/>
                <w14:ligatures w14:val="standardContextual"/>
              </w:rPr>
              <w:t xml:space="preserve"> </w:t>
            </w:r>
            <w:r w:rsidRPr="00E456C3">
              <w:rPr>
                <w:rFonts w:eastAsiaTheme="minorHAnsi" w:cs="Calibri"/>
                <w:sz w:val="20"/>
                <w:szCs w:val="20"/>
                <w14:ligatures w14:val="standardContextual"/>
              </w:rPr>
              <w:t>osób nieporadnych ze względu na wiek lub stan zdrowia oraz osób, które nie ukończyły 18 lat, mając na względzie konieczność zrozumienia wyjaśnień przez te osoby.</w:t>
            </w:r>
          </w:p>
        </w:tc>
        <w:tc>
          <w:tcPr>
            <w:tcW w:w="2786" w:type="dxa"/>
          </w:tcPr>
          <w:p w14:paraId="658E92C3" w14:textId="3DBF96D0" w:rsidR="00E456C3" w:rsidRPr="00E456C3" w:rsidRDefault="007729AE" w:rsidP="00E456C3">
            <w:pPr>
              <w:pStyle w:val="Nagwek"/>
              <w:spacing w:after="0" w:line="240" w:lineRule="auto"/>
              <w:rPr>
                <w:rFonts w:cs="Calibri"/>
                <w:sz w:val="20"/>
                <w:szCs w:val="20"/>
              </w:rPr>
            </w:pPr>
            <w:r w:rsidRPr="007729AE">
              <w:rPr>
                <w:rFonts w:cs="Calibri"/>
                <w:sz w:val="20"/>
                <w:szCs w:val="20"/>
              </w:rPr>
              <w:t>Zuzanna Rudzińska-Bluszcz</w:t>
            </w:r>
            <w:r>
              <w:rPr>
                <w:rFonts w:cs="Calibri"/>
                <w:sz w:val="20"/>
                <w:szCs w:val="20"/>
              </w:rPr>
              <w:t>,</w:t>
            </w:r>
            <w:r w:rsidRPr="007729AE">
              <w:rPr>
                <w:rFonts w:cs="Calibri"/>
                <w:sz w:val="20"/>
                <w:szCs w:val="20"/>
              </w:rPr>
              <w:t xml:space="preserve"> Podsekretarz Stanu w</w:t>
            </w:r>
            <w:r>
              <w:rPr>
                <w:rFonts w:cs="Calibri"/>
                <w:sz w:val="20"/>
                <w:szCs w:val="20"/>
              </w:rPr>
              <w:t> </w:t>
            </w:r>
            <w:r w:rsidRPr="007729AE">
              <w:rPr>
                <w:rFonts w:cs="Calibri"/>
                <w:sz w:val="20"/>
                <w:szCs w:val="20"/>
              </w:rPr>
              <w:t>Ministerstwie Sprawiedliwości</w:t>
            </w:r>
          </w:p>
        </w:tc>
        <w:tc>
          <w:tcPr>
            <w:tcW w:w="1832" w:type="dxa"/>
          </w:tcPr>
          <w:p w14:paraId="29A136C1" w14:textId="06491280" w:rsidR="00E456C3" w:rsidRPr="00E456C3" w:rsidRDefault="00E456C3" w:rsidP="00E456C3">
            <w:pPr>
              <w:pStyle w:val="Nagwek"/>
              <w:spacing w:after="0" w:line="240" w:lineRule="auto"/>
              <w:rPr>
                <w:rFonts w:cs="Calibri"/>
                <w:sz w:val="20"/>
                <w:szCs w:val="20"/>
              </w:rPr>
            </w:pPr>
            <w:r w:rsidRPr="00E456C3">
              <w:rPr>
                <w:rFonts w:cs="Calibri"/>
                <w:sz w:val="20"/>
                <w:szCs w:val="20"/>
              </w:rPr>
              <w:t>15.08.2024 r.</w:t>
            </w:r>
          </w:p>
        </w:tc>
        <w:tc>
          <w:tcPr>
            <w:tcW w:w="1393" w:type="dxa"/>
          </w:tcPr>
          <w:p w14:paraId="23DD102F" w14:textId="67D5EFD6" w:rsidR="00E456C3" w:rsidRPr="00E456C3" w:rsidRDefault="00E456C3" w:rsidP="00E456C3">
            <w:pPr>
              <w:pStyle w:val="Nagwek"/>
              <w:spacing w:after="0" w:line="240" w:lineRule="auto"/>
              <w:rPr>
                <w:rFonts w:cs="Calibri"/>
                <w:sz w:val="20"/>
                <w:szCs w:val="20"/>
              </w:rPr>
            </w:pPr>
            <w:r w:rsidRPr="00E456C3">
              <w:rPr>
                <w:rFonts w:cs="Calibri"/>
                <w:sz w:val="20"/>
                <w:szCs w:val="20"/>
              </w:rPr>
              <w:t>30.07.2024</w:t>
            </w:r>
            <w:r>
              <w:rPr>
                <w:rFonts w:cs="Calibri"/>
                <w:sz w:val="20"/>
                <w:szCs w:val="20"/>
              </w:rPr>
              <w:t xml:space="preserve"> r.</w:t>
            </w:r>
          </w:p>
        </w:tc>
        <w:tc>
          <w:tcPr>
            <w:tcW w:w="2601" w:type="dxa"/>
          </w:tcPr>
          <w:p w14:paraId="2418A5A2" w14:textId="7EBDB840" w:rsidR="00E456C3" w:rsidRPr="00E456C3" w:rsidRDefault="00FA6306" w:rsidP="00E456C3">
            <w:pPr>
              <w:pStyle w:val="Nagwek"/>
              <w:spacing w:after="0" w:line="240" w:lineRule="auto"/>
              <w:rPr>
                <w:rFonts w:cs="Calibri"/>
                <w:sz w:val="20"/>
                <w:szCs w:val="20"/>
              </w:rPr>
            </w:pPr>
            <w:r>
              <w:rPr>
                <w:rFonts w:cs="Calibri"/>
                <w:sz w:val="20"/>
                <w:szCs w:val="20"/>
              </w:rPr>
              <w:t>Dz. U. z 2024 r. poz. 1241</w:t>
            </w:r>
          </w:p>
        </w:tc>
      </w:tr>
      <w:tr w:rsidR="00E456C3" w:rsidRPr="00E456C3" w14:paraId="3A504AEB" w14:textId="60970DF1" w:rsidTr="00C80714">
        <w:trPr>
          <w:jc w:val="center"/>
        </w:trPr>
        <w:tc>
          <w:tcPr>
            <w:tcW w:w="889" w:type="dxa"/>
            <w:vAlign w:val="center"/>
          </w:tcPr>
          <w:p w14:paraId="2B0A7972" w14:textId="60715F49" w:rsidR="00E456C3" w:rsidRPr="00E456C3" w:rsidRDefault="00E456C3" w:rsidP="00BE6D75">
            <w:pPr>
              <w:pStyle w:val="Nagwek"/>
              <w:spacing w:after="0" w:line="240" w:lineRule="auto"/>
              <w:jc w:val="center"/>
              <w:rPr>
                <w:rFonts w:cs="Calibri"/>
                <w:b/>
                <w:bCs/>
                <w:sz w:val="20"/>
                <w:szCs w:val="20"/>
              </w:rPr>
            </w:pPr>
            <w:r w:rsidRPr="00E456C3">
              <w:rPr>
                <w:rFonts w:cs="Calibri"/>
                <w:b/>
                <w:bCs/>
                <w:sz w:val="20"/>
                <w:szCs w:val="20"/>
              </w:rPr>
              <w:t>A532</w:t>
            </w:r>
          </w:p>
        </w:tc>
        <w:tc>
          <w:tcPr>
            <w:tcW w:w="2537" w:type="dxa"/>
          </w:tcPr>
          <w:p w14:paraId="4BE1C190" w14:textId="3DB665F5" w:rsidR="00E456C3" w:rsidRPr="00E456C3" w:rsidRDefault="00E456C3" w:rsidP="00E456C3">
            <w:pPr>
              <w:pStyle w:val="Nagwek"/>
              <w:spacing w:after="0" w:line="240" w:lineRule="auto"/>
              <w:rPr>
                <w:rFonts w:cs="Calibri"/>
                <w:sz w:val="20"/>
                <w:szCs w:val="20"/>
              </w:rPr>
            </w:pPr>
            <w:r w:rsidRPr="00E456C3">
              <w:rPr>
                <w:rFonts w:cs="Calibri"/>
                <w:sz w:val="20"/>
                <w:szCs w:val="20"/>
              </w:rPr>
              <w:t xml:space="preserve">Projekt rozporządzenia Ministra Sprawiedliwości w sprawie określenia wzorów pisemnych pouczeń o uprawnieniach i obowiązkach podejrzanego, pokrzywdzonego i świadka </w:t>
            </w:r>
          </w:p>
        </w:tc>
        <w:tc>
          <w:tcPr>
            <w:tcW w:w="3299" w:type="dxa"/>
          </w:tcPr>
          <w:p w14:paraId="2ECB7F2A" w14:textId="3161C80C" w:rsidR="00E456C3" w:rsidRPr="00E456C3" w:rsidRDefault="00E456C3" w:rsidP="00E456C3">
            <w:pPr>
              <w:spacing w:after="0" w:line="240" w:lineRule="auto"/>
              <w:rPr>
                <w:rFonts w:cs="Calibri"/>
                <w:sz w:val="20"/>
                <w:szCs w:val="20"/>
              </w:rPr>
            </w:pPr>
            <w:r w:rsidRPr="00E456C3">
              <w:rPr>
                <w:rFonts w:cs="Calibri"/>
                <w:sz w:val="20"/>
                <w:szCs w:val="20"/>
              </w:rPr>
              <w:t xml:space="preserve">Potrzeba wydania nowego rozporządzenia wynika ze zmian wprowadzonych ustawą z dnia 13 stycznia 2023 r. o zmianie ustawy – Kodeks postępowania cywilnego oraz niektórych innych ustaw (Dz. U. poz. 289, z poźn. zm.), na mocy której nastąpiło dostosowane do nowej koncepcji określenia wzorów pouczeń dla uczestników postępowania karnego w zakresie dostępności wymiaru sprawiedliwości dla osób nieporadnych ze względu na wiek lub stan zdrowia oraz osób, które nie ukończyły 18 lat. Ponadto na mocy </w:t>
            </w:r>
            <w:r w:rsidRPr="00E456C3">
              <w:rPr>
                <w:rFonts w:cs="Calibri"/>
                <w:sz w:val="20"/>
                <w:szCs w:val="20"/>
              </w:rPr>
              <w:lastRenderedPageBreak/>
              <w:t>ustawy z dnia 14 kwietnia 2023 r. o zmianie ustawy – Kodeks postępowania karnego oraz niektórych innych ustaw (Dz. U. poz. 818) zmianie uległ zakres pouczeń podejrzanego określony w art. 300 § 1 k.p.k.</w:t>
            </w:r>
          </w:p>
        </w:tc>
        <w:tc>
          <w:tcPr>
            <w:tcW w:w="2786" w:type="dxa"/>
          </w:tcPr>
          <w:p w14:paraId="4FDA3D88" w14:textId="4FB6193A" w:rsidR="00E456C3" w:rsidRPr="00E456C3" w:rsidRDefault="007729AE" w:rsidP="00E456C3">
            <w:pPr>
              <w:pStyle w:val="Nagwek"/>
              <w:spacing w:after="0" w:line="240" w:lineRule="auto"/>
              <w:rPr>
                <w:rFonts w:cs="Calibri"/>
                <w:sz w:val="20"/>
                <w:szCs w:val="20"/>
              </w:rPr>
            </w:pPr>
            <w:r w:rsidRPr="007729AE">
              <w:rPr>
                <w:rFonts w:cs="Calibri"/>
                <w:sz w:val="20"/>
                <w:szCs w:val="20"/>
              </w:rPr>
              <w:lastRenderedPageBreak/>
              <w:t>Zuzanna Rudzińska-Bluszcz, Podsekretarz Stanu w</w:t>
            </w:r>
            <w:r>
              <w:rPr>
                <w:rFonts w:cs="Calibri"/>
                <w:sz w:val="20"/>
                <w:szCs w:val="20"/>
              </w:rPr>
              <w:t> </w:t>
            </w:r>
            <w:r w:rsidRPr="007729AE">
              <w:rPr>
                <w:rFonts w:cs="Calibri"/>
                <w:sz w:val="20"/>
                <w:szCs w:val="20"/>
              </w:rPr>
              <w:t>Ministerstwie Sprawiedliwości</w:t>
            </w:r>
          </w:p>
        </w:tc>
        <w:tc>
          <w:tcPr>
            <w:tcW w:w="1832" w:type="dxa"/>
          </w:tcPr>
          <w:p w14:paraId="02776AFE" w14:textId="6E268683" w:rsidR="00E456C3" w:rsidRPr="00E456C3" w:rsidRDefault="00E456C3" w:rsidP="00E456C3">
            <w:pPr>
              <w:pStyle w:val="Nagwek"/>
              <w:spacing w:after="0" w:line="240" w:lineRule="auto"/>
              <w:rPr>
                <w:rFonts w:cs="Calibri"/>
                <w:sz w:val="20"/>
                <w:szCs w:val="20"/>
              </w:rPr>
            </w:pPr>
            <w:r w:rsidRPr="00E456C3">
              <w:rPr>
                <w:rFonts w:cs="Calibri"/>
                <w:sz w:val="20"/>
                <w:szCs w:val="20"/>
              </w:rPr>
              <w:t xml:space="preserve">15.08.2024 r. </w:t>
            </w:r>
          </w:p>
        </w:tc>
        <w:tc>
          <w:tcPr>
            <w:tcW w:w="1393" w:type="dxa"/>
          </w:tcPr>
          <w:p w14:paraId="300E246D" w14:textId="183E7DA6" w:rsidR="00E456C3" w:rsidRPr="00E456C3" w:rsidRDefault="00E456C3" w:rsidP="00E456C3">
            <w:pPr>
              <w:pStyle w:val="Nagwek"/>
              <w:spacing w:after="0" w:line="240" w:lineRule="auto"/>
              <w:rPr>
                <w:rFonts w:cs="Calibri"/>
                <w:sz w:val="20"/>
                <w:szCs w:val="20"/>
              </w:rPr>
            </w:pPr>
            <w:r w:rsidRPr="00E456C3">
              <w:rPr>
                <w:rFonts w:cs="Calibri"/>
                <w:sz w:val="20"/>
                <w:szCs w:val="20"/>
              </w:rPr>
              <w:t>01.08.2024</w:t>
            </w:r>
            <w:r>
              <w:rPr>
                <w:rFonts w:cs="Calibri"/>
                <w:sz w:val="20"/>
                <w:szCs w:val="20"/>
              </w:rPr>
              <w:t xml:space="preserve"> r.</w:t>
            </w:r>
          </w:p>
        </w:tc>
        <w:tc>
          <w:tcPr>
            <w:tcW w:w="2601" w:type="dxa"/>
          </w:tcPr>
          <w:p w14:paraId="1DFECB71" w14:textId="42A8E962" w:rsidR="00E456C3" w:rsidRPr="00E456C3" w:rsidRDefault="00DF1ACB" w:rsidP="00E456C3">
            <w:pPr>
              <w:pStyle w:val="Nagwek"/>
              <w:spacing w:after="0" w:line="240" w:lineRule="auto"/>
              <w:rPr>
                <w:rFonts w:cs="Calibri"/>
                <w:sz w:val="20"/>
                <w:szCs w:val="20"/>
              </w:rPr>
            </w:pPr>
            <w:r>
              <w:rPr>
                <w:rFonts w:cs="Calibri"/>
                <w:sz w:val="20"/>
                <w:szCs w:val="20"/>
              </w:rPr>
              <w:t>Dz. U. z 2024 r. poz. 1239</w:t>
            </w:r>
          </w:p>
        </w:tc>
      </w:tr>
      <w:tr w:rsidR="00E456C3" w:rsidRPr="00E456C3" w14:paraId="728FE8EF" w14:textId="52CF6F50" w:rsidTr="00C80714">
        <w:trPr>
          <w:jc w:val="center"/>
        </w:trPr>
        <w:tc>
          <w:tcPr>
            <w:tcW w:w="889" w:type="dxa"/>
            <w:vAlign w:val="center"/>
          </w:tcPr>
          <w:p w14:paraId="3556FF80" w14:textId="025ED0B9" w:rsidR="00E456C3" w:rsidRPr="00A61290" w:rsidRDefault="00E456C3" w:rsidP="00BE6D75">
            <w:pPr>
              <w:pStyle w:val="Nagwek"/>
              <w:spacing w:after="0" w:line="240" w:lineRule="auto"/>
              <w:jc w:val="center"/>
              <w:rPr>
                <w:rFonts w:cs="Calibri"/>
                <w:b/>
                <w:bCs/>
                <w:sz w:val="20"/>
                <w:szCs w:val="20"/>
              </w:rPr>
            </w:pPr>
            <w:r w:rsidRPr="00A61290">
              <w:rPr>
                <w:rFonts w:cs="Calibri"/>
                <w:b/>
                <w:bCs/>
                <w:sz w:val="20"/>
                <w:szCs w:val="20"/>
              </w:rPr>
              <w:t>A533</w:t>
            </w:r>
          </w:p>
        </w:tc>
        <w:tc>
          <w:tcPr>
            <w:tcW w:w="2537" w:type="dxa"/>
          </w:tcPr>
          <w:p w14:paraId="6594B215" w14:textId="231D7D3B" w:rsidR="00E456C3" w:rsidRPr="00A61290" w:rsidRDefault="003758D0" w:rsidP="00E456C3">
            <w:pPr>
              <w:pStyle w:val="Nagwek"/>
              <w:spacing w:after="0" w:line="240" w:lineRule="auto"/>
              <w:rPr>
                <w:rFonts w:cs="Calibri"/>
                <w:sz w:val="20"/>
                <w:szCs w:val="20"/>
              </w:rPr>
            </w:pPr>
            <w:r w:rsidRPr="00A61290">
              <w:rPr>
                <w:rFonts w:cs="Calibri"/>
                <w:sz w:val="20"/>
                <w:szCs w:val="20"/>
              </w:rPr>
              <w:t>Projekt rozporządzenia Ministra Sprawiedliwości</w:t>
            </w:r>
            <w:r w:rsidRPr="00A61290">
              <w:rPr>
                <w:rFonts w:eastAsiaTheme="minorHAnsi" w:cs="Calibri"/>
                <w:sz w:val="20"/>
                <w:szCs w:val="20"/>
                <w14:ligatures w14:val="standardContextual"/>
              </w:rPr>
              <w:t xml:space="preserve"> w sprawie określenia wzorów pisemnych wyjaśnień dla podejrzanego, pokrzywdzonego i świadka co do zakresu ich uprawnień i obowiązków oraz sposobu i warunków przesłuchania</w:t>
            </w:r>
          </w:p>
        </w:tc>
        <w:tc>
          <w:tcPr>
            <w:tcW w:w="3299" w:type="dxa"/>
          </w:tcPr>
          <w:p w14:paraId="52F9B7C7" w14:textId="77777777" w:rsidR="003758D0" w:rsidRPr="00A61290" w:rsidRDefault="003758D0" w:rsidP="003758D0">
            <w:pPr>
              <w:autoSpaceDE w:val="0"/>
              <w:autoSpaceDN w:val="0"/>
              <w:adjustRightInd w:val="0"/>
              <w:spacing w:after="0" w:line="240" w:lineRule="auto"/>
              <w:rPr>
                <w:rFonts w:eastAsiaTheme="minorHAnsi" w:cs="Calibri"/>
                <w:sz w:val="20"/>
                <w:szCs w:val="20"/>
                <w14:ligatures w14:val="standardContextual"/>
              </w:rPr>
            </w:pPr>
            <w:r w:rsidRPr="00A61290">
              <w:rPr>
                <w:rFonts w:eastAsiaTheme="minorHAnsi" w:cs="Calibri"/>
                <w:sz w:val="20"/>
                <w:szCs w:val="20"/>
                <w14:ligatures w14:val="standardContextual"/>
              </w:rPr>
              <w:t>Projekt rozporządzenia stanowi wykonanie delegacji zawartej w art. 300 § 4 pkt 2 k.p.k.</w:t>
            </w:r>
          </w:p>
          <w:p w14:paraId="7AE097DB" w14:textId="3FAFDA13" w:rsidR="003758D0" w:rsidRPr="00A61290" w:rsidRDefault="003758D0" w:rsidP="003758D0">
            <w:pPr>
              <w:autoSpaceDE w:val="0"/>
              <w:autoSpaceDN w:val="0"/>
              <w:adjustRightInd w:val="0"/>
              <w:spacing w:after="0" w:line="240" w:lineRule="auto"/>
              <w:rPr>
                <w:rFonts w:eastAsiaTheme="minorHAnsi" w:cs="Calibri"/>
                <w:sz w:val="20"/>
                <w:szCs w:val="20"/>
                <w14:ligatures w14:val="standardContextual"/>
              </w:rPr>
            </w:pPr>
            <w:r w:rsidRPr="00A61290">
              <w:rPr>
                <w:rFonts w:eastAsiaTheme="minorHAnsi" w:cs="Calibri"/>
                <w:sz w:val="20"/>
                <w:szCs w:val="20"/>
                <w14:ligatures w14:val="standardContextual"/>
              </w:rPr>
              <w:t>Przewiduje ona określenie przez Ministra Sprawiedliwości wzorów pisemnych wyjaśnień co do zakresu uprawnień i obowiązków podejrzanego, pokrzywdzonego oraz świadka dla osób nieporadnych ze względu na wiek lub stan zdrowia oraz osób, które nie ukończyły 18 lat, mając na względzie konieczność zrozumienia wyjaśnień przez te osoby. Potrzeba wydania nowego rozporządzenia, które zastąpi rozporządzenie Ministra</w:t>
            </w:r>
          </w:p>
          <w:p w14:paraId="3798A9C4" w14:textId="2A3EFDC6" w:rsidR="003758D0" w:rsidRPr="00A61290" w:rsidRDefault="003758D0" w:rsidP="003758D0">
            <w:pPr>
              <w:autoSpaceDE w:val="0"/>
              <w:autoSpaceDN w:val="0"/>
              <w:adjustRightInd w:val="0"/>
              <w:spacing w:after="0" w:line="240" w:lineRule="auto"/>
              <w:rPr>
                <w:rFonts w:eastAsiaTheme="minorHAnsi" w:cs="Calibri"/>
                <w:sz w:val="20"/>
                <w:szCs w:val="20"/>
                <w14:ligatures w14:val="standardContextual"/>
              </w:rPr>
            </w:pPr>
            <w:r w:rsidRPr="00A61290">
              <w:rPr>
                <w:rFonts w:eastAsiaTheme="minorHAnsi" w:cs="Calibri"/>
                <w:sz w:val="20"/>
                <w:szCs w:val="20"/>
                <w14:ligatures w14:val="standardContextual"/>
              </w:rPr>
              <w:t>Sprawiedliwości z dnia 13 sierpnia 2024 r. w sprawie określenia wzorów pisemnych wyjaśnień dla podejrzanego, pokrzywdzonego i świadka co do zakresu ich uprawnień</w:t>
            </w:r>
          </w:p>
          <w:p w14:paraId="6D394ACE" w14:textId="34CCC1AE" w:rsidR="003758D0" w:rsidRPr="00A61290" w:rsidRDefault="003758D0" w:rsidP="003758D0">
            <w:pPr>
              <w:autoSpaceDE w:val="0"/>
              <w:autoSpaceDN w:val="0"/>
              <w:adjustRightInd w:val="0"/>
              <w:spacing w:after="0" w:line="240" w:lineRule="auto"/>
              <w:rPr>
                <w:rFonts w:eastAsiaTheme="minorHAnsi" w:cs="Calibri"/>
                <w:sz w:val="20"/>
                <w:szCs w:val="20"/>
                <w14:ligatures w14:val="standardContextual"/>
              </w:rPr>
            </w:pPr>
            <w:r w:rsidRPr="00A61290">
              <w:rPr>
                <w:rFonts w:eastAsiaTheme="minorHAnsi" w:cs="Calibri"/>
                <w:sz w:val="20"/>
                <w:szCs w:val="20"/>
                <w14:ligatures w14:val="standardContextual"/>
              </w:rPr>
              <w:t>i obowiązków oraz sposobu i warunków przesłuchania (Dz. U. poz. 1241), wynikaze zmian wprowadzonych ustawą z dnia 26 lipca 2024 r. o zmianie niektórych ustaw.</w:t>
            </w:r>
            <w:r w:rsidR="00FA6306" w:rsidRPr="00A61290">
              <w:rPr>
                <w:rFonts w:eastAsiaTheme="minorHAnsi" w:cs="Calibri"/>
                <w:sz w:val="20"/>
                <w:szCs w:val="20"/>
                <w14:ligatures w14:val="standardContextual"/>
              </w:rPr>
              <w:t xml:space="preserve"> </w:t>
            </w:r>
            <w:r w:rsidRPr="00A61290">
              <w:rPr>
                <w:rFonts w:eastAsiaTheme="minorHAnsi" w:cs="Calibri"/>
                <w:sz w:val="20"/>
                <w:szCs w:val="20"/>
                <w14:ligatures w14:val="standardContextual"/>
              </w:rPr>
              <w:t xml:space="preserve">w celu usprawnienia działań </w:t>
            </w:r>
            <w:r w:rsidRPr="00A61290">
              <w:rPr>
                <w:rFonts w:eastAsiaTheme="minorHAnsi" w:cs="Calibri"/>
                <w:sz w:val="20"/>
                <w:szCs w:val="20"/>
                <w14:ligatures w14:val="standardContextual"/>
              </w:rPr>
              <w:lastRenderedPageBreak/>
              <w:t>Sił Zbrojnych Rzeczypospolitej Polskiej, Policji oraz Straży</w:t>
            </w:r>
          </w:p>
          <w:p w14:paraId="2E2EF55F" w14:textId="77777777" w:rsidR="00FA6306" w:rsidRPr="00A61290" w:rsidRDefault="003758D0" w:rsidP="00FA6306">
            <w:pPr>
              <w:autoSpaceDE w:val="0"/>
              <w:autoSpaceDN w:val="0"/>
              <w:adjustRightInd w:val="0"/>
              <w:spacing w:after="0" w:line="240" w:lineRule="auto"/>
              <w:rPr>
                <w:rFonts w:eastAsiaTheme="minorHAnsi" w:cs="Calibri"/>
                <w:sz w:val="20"/>
                <w:szCs w:val="20"/>
                <w14:ligatures w14:val="standardContextual"/>
              </w:rPr>
            </w:pPr>
            <w:r w:rsidRPr="00A61290">
              <w:rPr>
                <w:rFonts w:eastAsiaTheme="minorHAnsi" w:cs="Calibri"/>
                <w:sz w:val="20"/>
                <w:szCs w:val="20"/>
                <w14:ligatures w14:val="standardContextual"/>
              </w:rPr>
              <w:t>Granicznej na wypadek zagrożenia bezpieczeństwa państwa (Dz. U. poz. 1248).</w:t>
            </w:r>
            <w:r w:rsidR="00FA6306" w:rsidRPr="00A61290">
              <w:rPr>
                <w:rFonts w:eastAsiaTheme="minorHAnsi" w:cs="Calibri"/>
                <w:sz w:val="20"/>
                <w:szCs w:val="20"/>
                <w14:ligatures w14:val="standardContextual"/>
              </w:rPr>
              <w:t>Zgodnie z art. 12 pkt 2 ww. ustawy dotychczasowe przepisy wykonawcze wydane na podstawie art. 300 § 4 pkt 2 k.p.k.</w:t>
            </w:r>
          </w:p>
          <w:p w14:paraId="5A880A16" w14:textId="77777777" w:rsidR="00FA6306" w:rsidRPr="00A61290" w:rsidRDefault="00FA6306" w:rsidP="00FA6306">
            <w:pPr>
              <w:autoSpaceDE w:val="0"/>
              <w:autoSpaceDN w:val="0"/>
              <w:adjustRightInd w:val="0"/>
              <w:spacing w:after="0" w:line="240" w:lineRule="auto"/>
              <w:rPr>
                <w:rFonts w:eastAsiaTheme="minorHAnsi" w:cs="Calibri"/>
                <w:sz w:val="20"/>
                <w:szCs w:val="20"/>
                <w14:ligatures w14:val="standardContextual"/>
              </w:rPr>
            </w:pPr>
            <w:r w:rsidRPr="00A61290">
              <w:rPr>
                <w:rFonts w:eastAsiaTheme="minorHAnsi" w:cs="Calibri"/>
                <w:sz w:val="20"/>
                <w:szCs w:val="20"/>
                <w14:ligatures w14:val="standardContextual"/>
              </w:rPr>
              <w:t>zostały utrzymane w mocy nie dłużej niż do dnia 15 listopada 2024 r.,</w:t>
            </w:r>
          </w:p>
          <w:p w14:paraId="1480AEA4" w14:textId="2FF7E042" w:rsidR="00E456C3" w:rsidRPr="00A61290" w:rsidRDefault="00E456C3" w:rsidP="003758D0">
            <w:pPr>
              <w:pStyle w:val="Nagwek"/>
              <w:spacing w:after="0" w:line="240" w:lineRule="auto"/>
              <w:rPr>
                <w:rFonts w:cs="Calibri"/>
                <w:sz w:val="20"/>
                <w:szCs w:val="20"/>
              </w:rPr>
            </w:pPr>
          </w:p>
        </w:tc>
        <w:tc>
          <w:tcPr>
            <w:tcW w:w="2786" w:type="dxa"/>
          </w:tcPr>
          <w:p w14:paraId="5E7C53F7" w14:textId="77777777" w:rsidR="00A61290" w:rsidRPr="00A61290" w:rsidRDefault="00A61290" w:rsidP="00A61290">
            <w:pPr>
              <w:pStyle w:val="Nagwek"/>
              <w:spacing w:after="0" w:line="240" w:lineRule="auto"/>
              <w:rPr>
                <w:rFonts w:cs="Calibri"/>
                <w:sz w:val="20"/>
                <w:szCs w:val="20"/>
              </w:rPr>
            </w:pPr>
            <w:r w:rsidRPr="00A61290">
              <w:rPr>
                <w:rFonts w:cs="Calibri"/>
                <w:sz w:val="20"/>
                <w:szCs w:val="20"/>
              </w:rPr>
              <w:lastRenderedPageBreak/>
              <w:t xml:space="preserve">Arkadiusz Myrcha, </w:t>
            </w:r>
          </w:p>
          <w:p w14:paraId="27B88958" w14:textId="1E3F4968" w:rsidR="00E456C3" w:rsidRPr="00A61290" w:rsidRDefault="00A61290" w:rsidP="00A61290">
            <w:pPr>
              <w:pStyle w:val="Nagwek"/>
              <w:spacing w:after="0" w:line="240" w:lineRule="auto"/>
              <w:rPr>
                <w:rFonts w:cs="Calibri"/>
                <w:sz w:val="20"/>
                <w:szCs w:val="20"/>
              </w:rPr>
            </w:pPr>
            <w:r w:rsidRPr="00A61290">
              <w:rPr>
                <w:rFonts w:cs="Calibri"/>
                <w:sz w:val="20"/>
                <w:szCs w:val="20"/>
              </w:rPr>
              <w:t>Sekretarz Stanu w Ministerstwie Sprawiedliwości</w:t>
            </w:r>
          </w:p>
        </w:tc>
        <w:tc>
          <w:tcPr>
            <w:tcW w:w="1832" w:type="dxa"/>
          </w:tcPr>
          <w:p w14:paraId="6D79BE8C" w14:textId="18328D52" w:rsidR="00E456C3" w:rsidRPr="00A61290" w:rsidRDefault="003758D0" w:rsidP="00E456C3">
            <w:pPr>
              <w:pStyle w:val="Nagwek"/>
              <w:spacing w:after="0" w:line="240" w:lineRule="auto"/>
              <w:rPr>
                <w:rFonts w:cs="Calibri"/>
                <w:sz w:val="20"/>
                <w:szCs w:val="20"/>
              </w:rPr>
            </w:pPr>
            <w:r w:rsidRPr="00A61290">
              <w:rPr>
                <w:rFonts w:cs="Calibri"/>
                <w:sz w:val="20"/>
                <w:szCs w:val="20"/>
              </w:rPr>
              <w:t>16.11.2024 r.</w:t>
            </w:r>
          </w:p>
        </w:tc>
        <w:tc>
          <w:tcPr>
            <w:tcW w:w="1393" w:type="dxa"/>
          </w:tcPr>
          <w:p w14:paraId="4F9F8589" w14:textId="7EAF0EF8" w:rsidR="00E456C3" w:rsidRPr="00E456C3" w:rsidRDefault="003758D0" w:rsidP="00E456C3">
            <w:pPr>
              <w:pStyle w:val="Nagwek"/>
              <w:spacing w:after="0" w:line="240" w:lineRule="auto"/>
              <w:rPr>
                <w:rFonts w:cs="Calibri"/>
                <w:sz w:val="20"/>
                <w:szCs w:val="20"/>
              </w:rPr>
            </w:pPr>
            <w:r w:rsidRPr="00A61290">
              <w:rPr>
                <w:rFonts w:cs="Calibri"/>
                <w:sz w:val="20"/>
                <w:szCs w:val="20"/>
              </w:rPr>
              <w:t>18.09.2024 r.</w:t>
            </w:r>
          </w:p>
        </w:tc>
        <w:tc>
          <w:tcPr>
            <w:tcW w:w="2601" w:type="dxa"/>
          </w:tcPr>
          <w:p w14:paraId="7AEE31EA" w14:textId="3BBE7233" w:rsidR="00E456C3" w:rsidRPr="00E456C3" w:rsidRDefault="009B7153" w:rsidP="00E456C3">
            <w:pPr>
              <w:pStyle w:val="Nagwek"/>
              <w:spacing w:after="0" w:line="240" w:lineRule="auto"/>
              <w:rPr>
                <w:rFonts w:cs="Calibri"/>
                <w:sz w:val="20"/>
                <w:szCs w:val="20"/>
              </w:rPr>
            </w:pPr>
            <w:r>
              <w:rPr>
                <w:rFonts w:cs="Calibri"/>
                <w:sz w:val="20"/>
                <w:szCs w:val="20"/>
              </w:rPr>
              <w:t>Dz. U. z 2024 r. poz. 1659</w:t>
            </w:r>
          </w:p>
        </w:tc>
      </w:tr>
      <w:tr w:rsidR="00E456C3" w:rsidRPr="00E456C3" w14:paraId="2B0B93AF" w14:textId="1EFDE6C1" w:rsidTr="00C80714">
        <w:trPr>
          <w:jc w:val="center"/>
        </w:trPr>
        <w:tc>
          <w:tcPr>
            <w:tcW w:w="889" w:type="dxa"/>
            <w:vAlign w:val="center"/>
          </w:tcPr>
          <w:p w14:paraId="15E7FE35" w14:textId="3919450C" w:rsidR="00E456C3" w:rsidRPr="00E456C3" w:rsidRDefault="00E456C3" w:rsidP="00BE6D75">
            <w:pPr>
              <w:pStyle w:val="Nagwek"/>
              <w:spacing w:after="0" w:line="240" w:lineRule="auto"/>
              <w:jc w:val="center"/>
              <w:rPr>
                <w:rFonts w:cs="Calibri"/>
                <w:b/>
                <w:bCs/>
                <w:sz w:val="20"/>
                <w:szCs w:val="20"/>
              </w:rPr>
            </w:pPr>
            <w:r w:rsidRPr="00E456C3">
              <w:rPr>
                <w:rFonts w:cs="Calibri"/>
                <w:b/>
                <w:bCs/>
                <w:sz w:val="20"/>
                <w:szCs w:val="20"/>
              </w:rPr>
              <w:t>A534</w:t>
            </w:r>
          </w:p>
        </w:tc>
        <w:tc>
          <w:tcPr>
            <w:tcW w:w="2537" w:type="dxa"/>
          </w:tcPr>
          <w:p w14:paraId="000FE198" w14:textId="0E103C97" w:rsidR="00E456C3" w:rsidRPr="00E456C3" w:rsidRDefault="00C42CCC" w:rsidP="00E456C3">
            <w:pPr>
              <w:pStyle w:val="Nagwek"/>
              <w:spacing w:after="0" w:line="240" w:lineRule="auto"/>
              <w:rPr>
                <w:rFonts w:cs="Calibri"/>
                <w:sz w:val="20"/>
                <w:szCs w:val="20"/>
              </w:rPr>
            </w:pPr>
            <w:r w:rsidRPr="00C42CCC">
              <w:rPr>
                <w:rFonts w:cs="Calibri"/>
                <w:sz w:val="20"/>
                <w:szCs w:val="20"/>
              </w:rPr>
              <w:t>Projekt rozporządzenia Ministra Sprawiedliwości w sprawie określenia wzoru pisemnego pouczenia o uprawnieniach zatrzymanego na podstawie europejskiego nakazu aresztowania oraz wzorów pisemnych wyjaśnień co do zakresu uprawnień tego zatrzymanego</w:t>
            </w:r>
          </w:p>
        </w:tc>
        <w:tc>
          <w:tcPr>
            <w:tcW w:w="3299" w:type="dxa"/>
          </w:tcPr>
          <w:p w14:paraId="7C4E2961" w14:textId="10EA3BE9" w:rsidR="00E456C3" w:rsidRPr="00E456C3" w:rsidRDefault="00C42CCC" w:rsidP="00E456C3">
            <w:pPr>
              <w:pStyle w:val="Nagwek"/>
              <w:spacing w:after="0" w:line="240" w:lineRule="auto"/>
              <w:rPr>
                <w:rFonts w:cs="Calibri"/>
                <w:sz w:val="20"/>
                <w:szCs w:val="20"/>
              </w:rPr>
            </w:pPr>
            <w:r w:rsidRPr="00C42CCC">
              <w:rPr>
                <w:rFonts w:cs="Calibri"/>
                <w:sz w:val="20"/>
                <w:szCs w:val="20"/>
              </w:rPr>
              <w:t>Konieczność wydania nowego rozporządzenia wynika ze zmian wprowadzonych ustawą z dnia 26 lipca 2024 r. o zmianie niektórych ustaw w celu usprawnienia działań Sił Zbrojnych Rzeczypospolitej Polskiej, Policji oraz Straży Granicznej na wypadek zagrożenia bezpieczeństwa państwa (Dz. U. poz. 1248). Na mocy tej ustawy został dodany art. 78a k.p.k. regulujący prawo do obrony w zakresie korzystania z obrońcy z urzędu przez oskarżonych będących żołnierzami, funkcjonariuszami Policji lub funkcjonariuszami Straży Granicznej. Jednocześnie zmianie uległ zakres pouczeń podejrzanego określony w art. 607l § 3a k.p.k.</w:t>
            </w:r>
          </w:p>
        </w:tc>
        <w:tc>
          <w:tcPr>
            <w:tcW w:w="2786" w:type="dxa"/>
          </w:tcPr>
          <w:p w14:paraId="587F6A83" w14:textId="77777777" w:rsidR="00EF5F54" w:rsidRDefault="00EF5F54" w:rsidP="00C42CCC">
            <w:pPr>
              <w:pStyle w:val="Nagwek"/>
              <w:spacing w:after="0" w:line="240" w:lineRule="auto"/>
              <w:rPr>
                <w:rFonts w:cs="Calibri"/>
                <w:sz w:val="20"/>
                <w:szCs w:val="20"/>
              </w:rPr>
            </w:pPr>
            <w:r w:rsidRPr="00EF5F54">
              <w:rPr>
                <w:rFonts w:cs="Calibri"/>
                <w:sz w:val="20"/>
                <w:szCs w:val="20"/>
              </w:rPr>
              <w:t>Arkadiusz Myrcha</w:t>
            </w:r>
            <w:r>
              <w:rPr>
                <w:rFonts w:cs="Calibri"/>
                <w:sz w:val="20"/>
                <w:szCs w:val="20"/>
              </w:rPr>
              <w:t>,</w:t>
            </w:r>
            <w:r w:rsidRPr="00EF5F54">
              <w:rPr>
                <w:rFonts w:cs="Calibri"/>
                <w:sz w:val="20"/>
                <w:szCs w:val="20"/>
              </w:rPr>
              <w:t xml:space="preserve"> </w:t>
            </w:r>
          </w:p>
          <w:p w14:paraId="5D967209" w14:textId="6AEE53D7" w:rsidR="00E456C3" w:rsidRPr="00E456C3" w:rsidRDefault="00EF5F54" w:rsidP="00C42CCC">
            <w:pPr>
              <w:pStyle w:val="Nagwek"/>
              <w:spacing w:after="0" w:line="240" w:lineRule="auto"/>
              <w:rPr>
                <w:rFonts w:cs="Calibri"/>
                <w:sz w:val="20"/>
                <w:szCs w:val="20"/>
              </w:rPr>
            </w:pPr>
            <w:r w:rsidRPr="00EF5F54">
              <w:rPr>
                <w:rFonts w:cs="Calibri"/>
                <w:sz w:val="20"/>
                <w:szCs w:val="20"/>
              </w:rPr>
              <w:t>Sekretarz Stanu w</w:t>
            </w:r>
            <w:r>
              <w:rPr>
                <w:rFonts w:cs="Calibri"/>
                <w:sz w:val="20"/>
                <w:szCs w:val="20"/>
              </w:rPr>
              <w:t> </w:t>
            </w:r>
            <w:r w:rsidRPr="00EF5F54">
              <w:rPr>
                <w:rFonts w:cs="Calibri"/>
                <w:sz w:val="20"/>
                <w:szCs w:val="20"/>
              </w:rPr>
              <w:t>Ministerstwie Sprawiedliwości</w:t>
            </w:r>
          </w:p>
        </w:tc>
        <w:tc>
          <w:tcPr>
            <w:tcW w:w="1832" w:type="dxa"/>
          </w:tcPr>
          <w:p w14:paraId="6FA1BE39" w14:textId="17188B15" w:rsidR="00E456C3" w:rsidRPr="00E456C3" w:rsidRDefault="00C42CCC" w:rsidP="00E456C3">
            <w:pPr>
              <w:pStyle w:val="Nagwek"/>
              <w:spacing w:after="0" w:line="240" w:lineRule="auto"/>
              <w:rPr>
                <w:rFonts w:cs="Calibri"/>
                <w:sz w:val="20"/>
                <w:szCs w:val="20"/>
              </w:rPr>
            </w:pPr>
            <w:r>
              <w:rPr>
                <w:rFonts w:cs="Calibri"/>
                <w:sz w:val="20"/>
                <w:szCs w:val="20"/>
              </w:rPr>
              <w:t>16.11.2024 r.</w:t>
            </w:r>
          </w:p>
        </w:tc>
        <w:tc>
          <w:tcPr>
            <w:tcW w:w="1393" w:type="dxa"/>
          </w:tcPr>
          <w:p w14:paraId="6DA52D27" w14:textId="4CDDCAC4" w:rsidR="00E456C3" w:rsidRPr="00E456C3" w:rsidRDefault="00C42CCC" w:rsidP="00E456C3">
            <w:pPr>
              <w:pStyle w:val="Nagwek"/>
              <w:spacing w:after="0" w:line="240" w:lineRule="auto"/>
              <w:rPr>
                <w:rFonts w:cs="Calibri"/>
                <w:sz w:val="20"/>
                <w:szCs w:val="20"/>
              </w:rPr>
            </w:pPr>
            <w:r>
              <w:rPr>
                <w:rFonts w:cs="Calibri"/>
                <w:sz w:val="20"/>
                <w:szCs w:val="20"/>
              </w:rPr>
              <w:t>19.09.2024 r.</w:t>
            </w:r>
          </w:p>
        </w:tc>
        <w:tc>
          <w:tcPr>
            <w:tcW w:w="2601" w:type="dxa"/>
          </w:tcPr>
          <w:p w14:paraId="0D8A40A0" w14:textId="323F0CAE" w:rsidR="00E456C3" w:rsidRPr="00E456C3" w:rsidRDefault="00145F32" w:rsidP="00E456C3">
            <w:pPr>
              <w:pStyle w:val="Nagwek"/>
              <w:spacing w:after="0" w:line="240" w:lineRule="auto"/>
              <w:rPr>
                <w:rFonts w:cs="Calibri"/>
                <w:sz w:val="20"/>
                <w:szCs w:val="20"/>
              </w:rPr>
            </w:pPr>
            <w:r w:rsidRPr="00145F32">
              <w:rPr>
                <w:rFonts w:cs="Calibri"/>
                <w:sz w:val="20"/>
                <w:szCs w:val="20"/>
              </w:rPr>
              <w:t>Dz.</w:t>
            </w:r>
            <w:r>
              <w:rPr>
                <w:rFonts w:cs="Calibri"/>
                <w:sz w:val="20"/>
                <w:szCs w:val="20"/>
              </w:rPr>
              <w:t xml:space="preserve"> </w:t>
            </w:r>
            <w:r w:rsidRPr="00145F32">
              <w:rPr>
                <w:rFonts w:cs="Calibri"/>
                <w:sz w:val="20"/>
                <w:szCs w:val="20"/>
              </w:rPr>
              <w:t>U. z 2024 r. poz. 1660</w:t>
            </w:r>
          </w:p>
        </w:tc>
      </w:tr>
      <w:tr w:rsidR="00E456C3" w:rsidRPr="00E456C3" w14:paraId="1DAE3309" w14:textId="0BDDEAAF" w:rsidTr="00C80714">
        <w:trPr>
          <w:jc w:val="center"/>
        </w:trPr>
        <w:tc>
          <w:tcPr>
            <w:tcW w:w="889" w:type="dxa"/>
            <w:vAlign w:val="center"/>
          </w:tcPr>
          <w:p w14:paraId="20B894F4" w14:textId="5CC96582" w:rsidR="00E456C3" w:rsidRPr="00E456C3" w:rsidRDefault="00E456C3" w:rsidP="00BE6D75">
            <w:pPr>
              <w:pStyle w:val="Nagwek"/>
              <w:spacing w:after="0" w:line="240" w:lineRule="auto"/>
              <w:jc w:val="center"/>
              <w:rPr>
                <w:rFonts w:cs="Calibri"/>
                <w:b/>
                <w:bCs/>
                <w:sz w:val="20"/>
                <w:szCs w:val="20"/>
              </w:rPr>
            </w:pPr>
            <w:r>
              <w:rPr>
                <w:rFonts w:cs="Calibri"/>
                <w:b/>
                <w:bCs/>
                <w:sz w:val="20"/>
                <w:szCs w:val="20"/>
              </w:rPr>
              <w:t>A535</w:t>
            </w:r>
          </w:p>
        </w:tc>
        <w:tc>
          <w:tcPr>
            <w:tcW w:w="2537" w:type="dxa"/>
          </w:tcPr>
          <w:p w14:paraId="64371CCB" w14:textId="43B8D756" w:rsidR="00E456C3" w:rsidRPr="00DF1ACB" w:rsidRDefault="00DF1ACB" w:rsidP="00E456C3">
            <w:pPr>
              <w:pStyle w:val="Nagwek"/>
              <w:spacing w:after="0" w:line="240" w:lineRule="auto"/>
              <w:rPr>
                <w:rFonts w:cs="Calibri"/>
                <w:sz w:val="20"/>
                <w:szCs w:val="20"/>
              </w:rPr>
            </w:pPr>
            <w:r w:rsidRPr="00DF1ACB">
              <w:rPr>
                <w:rFonts w:cs="Calibri"/>
                <w:sz w:val="20"/>
                <w:szCs w:val="20"/>
              </w:rPr>
              <w:t xml:space="preserve">Projekt rozporządzenia Ministra Sprawiedliwości w sprawie określenia wzorów pisemnych pouczeń o uprawnieniach i </w:t>
            </w:r>
            <w:r w:rsidRPr="00DF1ACB">
              <w:rPr>
                <w:rFonts w:cs="Calibri"/>
                <w:sz w:val="20"/>
                <w:szCs w:val="20"/>
              </w:rPr>
              <w:lastRenderedPageBreak/>
              <w:t>obowiązkach podejrzanego, pokrzywdzonego i świadka</w:t>
            </w:r>
          </w:p>
        </w:tc>
        <w:tc>
          <w:tcPr>
            <w:tcW w:w="3299" w:type="dxa"/>
          </w:tcPr>
          <w:p w14:paraId="315894E1" w14:textId="422BD12C" w:rsidR="00E456C3" w:rsidRPr="00DF1ACB" w:rsidRDefault="00DF1ACB" w:rsidP="00E456C3">
            <w:pPr>
              <w:pStyle w:val="Nagwek"/>
              <w:spacing w:after="0" w:line="240" w:lineRule="auto"/>
              <w:rPr>
                <w:rFonts w:cs="Calibri"/>
                <w:sz w:val="20"/>
                <w:szCs w:val="20"/>
              </w:rPr>
            </w:pPr>
            <w:r w:rsidRPr="00DF1ACB">
              <w:rPr>
                <w:rFonts w:cs="Calibri"/>
                <w:sz w:val="20"/>
                <w:szCs w:val="20"/>
              </w:rPr>
              <w:lastRenderedPageBreak/>
              <w:t xml:space="preserve">Konieczność wydania nowego rozporządzenia wynika ze zmian wprowadzonych ustawą z dnia 26 lipca 2024 r. o zmianie niektórych ustaw w celu usprawnienia działań Sił Zbrojnych Rzeczypospolitej Polskiej, </w:t>
            </w:r>
            <w:r w:rsidRPr="00DF1ACB">
              <w:rPr>
                <w:rFonts w:cs="Calibri"/>
                <w:sz w:val="20"/>
                <w:szCs w:val="20"/>
              </w:rPr>
              <w:lastRenderedPageBreak/>
              <w:t>Policji oraz Straży Granicznej na wypadek zagrożenia bezpieczeństwa państwa (Dz. U. poz. 1248). Na mocy tej ustawy został dodany art. 78a k.p.k. regulujący prawo do obrony w zakresie korzystania z obrońcy z urzędu przez oskarżonych będących żołnierzami, funkcjonariuszami Policji lub funkcjonariuszami Straży Granicznej. Jednocześnie zmianie uległ zakres pouczeń podejrzanego określony w art. 300 § 1 k.p.k.</w:t>
            </w:r>
          </w:p>
        </w:tc>
        <w:tc>
          <w:tcPr>
            <w:tcW w:w="2786" w:type="dxa"/>
          </w:tcPr>
          <w:p w14:paraId="05EC892B" w14:textId="77777777" w:rsidR="00A61290" w:rsidRPr="00A61290" w:rsidRDefault="00A61290" w:rsidP="00A61290">
            <w:pPr>
              <w:pStyle w:val="Nagwek"/>
              <w:spacing w:after="0" w:line="240" w:lineRule="auto"/>
              <w:rPr>
                <w:rFonts w:cs="Calibri"/>
                <w:sz w:val="20"/>
                <w:szCs w:val="20"/>
              </w:rPr>
            </w:pPr>
            <w:r w:rsidRPr="00A61290">
              <w:rPr>
                <w:rFonts w:cs="Calibri"/>
                <w:sz w:val="20"/>
                <w:szCs w:val="20"/>
              </w:rPr>
              <w:lastRenderedPageBreak/>
              <w:t xml:space="preserve">Arkadiusz Myrcha, </w:t>
            </w:r>
          </w:p>
          <w:p w14:paraId="2E543C41" w14:textId="5E56D843" w:rsidR="00E456C3" w:rsidRPr="00E456C3" w:rsidRDefault="00A61290" w:rsidP="00A61290">
            <w:pPr>
              <w:pStyle w:val="Nagwek"/>
              <w:spacing w:after="0" w:line="240" w:lineRule="auto"/>
              <w:rPr>
                <w:rFonts w:cs="Calibri"/>
                <w:sz w:val="20"/>
                <w:szCs w:val="20"/>
              </w:rPr>
            </w:pPr>
            <w:r w:rsidRPr="00A61290">
              <w:rPr>
                <w:rFonts w:cs="Calibri"/>
                <w:sz w:val="20"/>
                <w:szCs w:val="20"/>
              </w:rPr>
              <w:t>Sekretarz Stanu w Ministerstwie Sprawiedliwości</w:t>
            </w:r>
          </w:p>
        </w:tc>
        <w:tc>
          <w:tcPr>
            <w:tcW w:w="1832" w:type="dxa"/>
          </w:tcPr>
          <w:p w14:paraId="70984C26" w14:textId="492948A0" w:rsidR="00E456C3" w:rsidRPr="00E456C3" w:rsidRDefault="00DF1ACB" w:rsidP="00E456C3">
            <w:pPr>
              <w:pStyle w:val="Nagwek"/>
              <w:spacing w:after="0" w:line="240" w:lineRule="auto"/>
              <w:rPr>
                <w:rFonts w:cs="Calibri"/>
                <w:sz w:val="20"/>
                <w:szCs w:val="20"/>
              </w:rPr>
            </w:pPr>
            <w:r>
              <w:rPr>
                <w:rFonts w:cs="Calibri"/>
                <w:sz w:val="20"/>
                <w:szCs w:val="20"/>
              </w:rPr>
              <w:t>16.11.2024 r.</w:t>
            </w:r>
          </w:p>
        </w:tc>
        <w:tc>
          <w:tcPr>
            <w:tcW w:w="1393" w:type="dxa"/>
          </w:tcPr>
          <w:p w14:paraId="58A7DE5C" w14:textId="1B7A153F" w:rsidR="00E456C3" w:rsidRPr="00E456C3" w:rsidRDefault="00DF1ACB" w:rsidP="00E456C3">
            <w:pPr>
              <w:pStyle w:val="Nagwek"/>
              <w:spacing w:after="0" w:line="240" w:lineRule="auto"/>
              <w:rPr>
                <w:rFonts w:cs="Calibri"/>
                <w:sz w:val="20"/>
                <w:szCs w:val="20"/>
              </w:rPr>
            </w:pPr>
            <w:r>
              <w:rPr>
                <w:rFonts w:cs="Calibri"/>
                <w:sz w:val="20"/>
                <w:szCs w:val="20"/>
              </w:rPr>
              <w:t>19.09.2024 r.</w:t>
            </w:r>
          </w:p>
        </w:tc>
        <w:tc>
          <w:tcPr>
            <w:tcW w:w="2601" w:type="dxa"/>
          </w:tcPr>
          <w:p w14:paraId="5B80E3A9" w14:textId="6B9FA51B" w:rsidR="00E456C3" w:rsidRPr="00E456C3" w:rsidRDefault="00F35B81" w:rsidP="00E456C3">
            <w:pPr>
              <w:pStyle w:val="Nagwek"/>
              <w:spacing w:after="0" w:line="240" w:lineRule="auto"/>
              <w:rPr>
                <w:rFonts w:cs="Calibri"/>
                <w:sz w:val="20"/>
                <w:szCs w:val="20"/>
              </w:rPr>
            </w:pPr>
            <w:r>
              <w:rPr>
                <w:rFonts w:cs="Calibri"/>
                <w:sz w:val="20"/>
                <w:szCs w:val="20"/>
              </w:rPr>
              <w:t>Dz. U. z 2024 r. poz. 1658</w:t>
            </w:r>
          </w:p>
        </w:tc>
      </w:tr>
      <w:tr w:rsidR="00E456C3" w:rsidRPr="00E456C3" w14:paraId="3F416BD5" w14:textId="7AAAAB0C" w:rsidTr="00C80714">
        <w:trPr>
          <w:jc w:val="center"/>
        </w:trPr>
        <w:tc>
          <w:tcPr>
            <w:tcW w:w="889" w:type="dxa"/>
            <w:vAlign w:val="center"/>
          </w:tcPr>
          <w:p w14:paraId="71C2BBA1" w14:textId="58085776" w:rsidR="00E456C3" w:rsidRPr="00E456C3" w:rsidRDefault="00E456C3" w:rsidP="00BE6D75">
            <w:pPr>
              <w:pStyle w:val="Nagwek"/>
              <w:spacing w:after="0" w:line="240" w:lineRule="auto"/>
              <w:jc w:val="center"/>
              <w:rPr>
                <w:rFonts w:cs="Calibri"/>
                <w:b/>
                <w:bCs/>
                <w:sz w:val="20"/>
                <w:szCs w:val="20"/>
              </w:rPr>
            </w:pPr>
            <w:r>
              <w:rPr>
                <w:rFonts w:cs="Calibri"/>
                <w:b/>
                <w:bCs/>
                <w:sz w:val="20"/>
                <w:szCs w:val="20"/>
              </w:rPr>
              <w:t>A536</w:t>
            </w:r>
          </w:p>
        </w:tc>
        <w:tc>
          <w:tcPr>
            <w:tcW w:w="2537" w:type="dxa"/>
          </w:tcPr>
          <w:p w14:paraId="56A5159C" w14:textId="6A3DC356" w:rsidR="00E456C3" w:rsidRPr="00E456C3" w:rsidRDefault="00C80714" w:rsidP="00E456C3">
            <w:pPr>
              <w:pStyle w:val="Nagwek"/>
              <w:spacing w:after="0" w:line="240" w:lineRule="auto"/>
              <w:rPr>
                <w:rFonts w:cs="Calibri"/>
                <w:sz w:val="20"/>
                <w:szCs w:val="20"/>
              </w:rPr>
            </w:pPr>
            <w:r w:rsidRPr="00DF1ACB">
              <w:rPr>
                <w:rFonts w:cs="Calibri"/>
                <w:sz w:val="20"/>
                <w:szCs w:val="20"/>
              </w:rPr>
              <w:t xml:space="preserve">Projekt rozporządzenia Ministra Sprawiedliwości </w:t>
            </w:r>
            <w:r w:rsidRPr="00C80714">
              <w:rPr>
                <w:rFonts w:cs="Calibri"/>
                <w:sz w:val="20"/>
                <w:szCs w:val="20"/>
              </w:rPr>
              <w:t>w sprawie szczegółowego trybu przeprowadzania kontroli i postępowania pokontrolnego przez Prezesa Urzędu Komunikacji Elektronicznej jednostek organizacyjnych Służby Więziennej</w:t>
            </w:r>
          </w:p>
        </w:tc>
        <w:tc>
          <w:tcPr>
            <w:tcW w:w="3299" w:type="dxa"/>
          </w:tcPr>
          <w:p w14:paraId="2305591C" w14:textId="77777777" w:rsidR="00C80714" w:rsidRPr="00C80714" w:rsidRDefault="00C80714" w:rsidP="0036429A">
            <w:pPr>
              <w:pStyle w:val="Nagwek"/>
              <w:spacing w:after="0" w:line="240" w:lineRule="auto"/>
              <w:rPr>
                <w:rFonts w:cs="Calibri"/>
                <w:sz w:val="20"/>
                <w:szCs w:val="20"/>
              </w:rPr>
            </w:pPr>
            <w:r w:rsidRPr="00C80714">
              <w:rPr>
                <w:rFonts w:cs="Calibri"/>
                <w:sz w:val="20"/>
                <w:szCs w:val="20"/>
              </w:rPr>
              <w:t>Podstawę prawną projektowanego aktu wykonawczego stanowi art. 439 ust. 4 ustawy z dnia 12 lipca 2024 r. – Prawo komunikacji elektronicznej (Dz. U. poz. 1221), stosownie do którego Minister Sprawiedliwości został zobowiązany do określenia w porozumieniu z ministrem właściwym do spraw informatyzacji w drodze rozporządzenia szczegółowego trybu przeprowadzania kontroli i postępowania pokontrolnego przez Prezesa UKE jednostek organizacyjnych Służby Więziennej, przy uwzględnieniu charakteru zadań realizowanych przez te jednostki oraz słusznego interesu użytkowników urządzeń, których praca jest zakłócana albo może być zakłócana.</w:t>
            </w:r>
          </w:p>
          <w:p w14:paraId="163AE0E9" w14:textId="500B7A5D" w:rsidR="00E456C3" w:rsidRPr="00E456C3" w:rsidRDefault="00C80714" w:rsidP="0036429A">
            <w:pPr>
              <w:pStyle w:val="Nagwek"/>
              <w:spacing w:after="0" w:line="240" w:lineRule="auto"/>
              <w:rPr>
                <w:rFonts w:cs="Calibri"/>
                <w:sz w:val="20"/>
                <w:szCs w:val="20"/>
              </w:rPr>
            </w:pPr>
            <w:r w:rsidRPr="00C80714">
              <w:rPr>
                <w:rFonts w:cs="Calibri"/>
                <w:sz w:val="20"/>
                <w:szCs w:val="20"/>
              </w:rPr>
              <w:t xml:space="preserve">Projektowane rozporządzenie co do zasady recypuje regulacje obecnie obowiązujące. Proponowane zmiany obejmują aktualizację przepisów </w:t>
            </w:r>
            <w:r w:rsidRPr="00C80714">
              <w:rPr>
                <w:rFonts w:cs="Calibri"/>
                <w:sz w:val="20"/>
                <w:szCs w:val="20"/>
              </w:rPr>
              <w:lastRenderedPageBreak/>
              <w:t>rangi ustawowej, do których odnoszą się poszczególne przepisy rozporządzenia.</w:t>
            </w:r>
          </w:p>
        </w:tc>
        <w:tc>
          <w:tcPr>
            <w:tcW w:w="2786" w:type="dxa"/>
          </w:tcPr>
          <w:p w14:paraId="0610EE24" w14:textId="77777777" w:rsidR="00A61290" w:rsidRPr="00A61290" w:rsidRDefault="00A61290" w:rsidP="00A61290">
            <w:pPr>
              <w:pStyle w:val="Nagwek"/>
              <w:spacing w:after="0" w:line="240" w:lineRule="auto"/>
              <w:rPr>
                <w:rFonts w:cs="Calibri"/>
                <w:sz w:val="20"/>
                <w:szCs w:val="20"/>
              </w:rPr>
            </w:pPr>
            <w:r w:rsidRPr="00A61290">
              <w:rPr>
                <w:rFonts w:cs="Calibri"/>
                <w:sz w:val="20"/>
                <w:szCs w:val="20"/>
              </w:rPr>
              <w:lastRenderedPageBreak/>
              <w:t xml:space="preserve">Arkadiusz Myrcha, </w:t>
            </w:r>
          </w:p>
          <w:p w14:paraId="6BD2F8F3" w14:textId="57D736B7" w:rsidR="00E456C3" w:rsidRPr="00E456C3" w:rsidRDefault="00A61290" w:rsidP="00A61290">
            <w:pPr>
              <w:pStyle w:val="Nagwek"/>
              <w:spacing w:after="0" w:line="240" w:lineRule="auto"/>
              <w:rPr>
                <w:rFonts w:cs="Calibri"/>
                <w:sz w:val="20"/>
                <w:szCs w:val="20"/>
              </w:rPr>
            </w:pPr>
            <w:r w:rsidRPr="00A61290">
              <w:rPr>
                <w:rFonts w:cs="Calibri"/>
                <w:sz w:val="20"/>
                <w:szCs w:val="20"/>
              </w:rPr>
              <w:t>Sekretarz Stanu w</w:t>
            </w:r>
            <w:r>
              <w:rPr>
                <w:rFonts w:cs="Calibri"/>
                <w:sz w:val="20"/>
                <w:szCs w:val="20"/>
              </w:rPr>
              <w:t> </w:t>
            </w:r>
            <w:r w:rsidRPr="00A61290">
              <w:rPr>
                <w:rFonts w:cs="Calibri"/>
                <w:sz w:val="20"/>
                <w:szCs w:val="20"/>
              </w:rPr>
              <w:t>Ministerstwie Sprawiedliwości</w:t>
            </w:r>
          </w:p>
        </w:tc>
        <w:tc>
          <w:tcPr>
            <w:tcW w:w="1832" w:type="dxa"/>
          </w:tcPr>
          <w:p w14:paraId="17A565DC" w14:textId="74051D3C" w:rsidR="00E456C3" w:rsidRPr="00A61290" w:rsidRDefault="00C80714" w:rsidP="00E456C3">
            <w:pPr>
              <w:pStyle w:val="Nagwek"/>
              <w:spacing w:after="0" w:line="240" w:lineRule="auto"/>
              <w:rPr>
                <w:rFonts w:cs="Calibri"/>
                <w:sz w:val="20"/>
                <w:szCs w:val="20"/>
              </w:rPr>
            </w:pPr>
            <w:r w:rsidRPr="00A61290">
              <w:rPr>
                <w:rFonts w:cs="Calibri"/>
                <w:sz w:val="20"/>
                <w:szCs w:val="20"/>
              </w:rPr>
              <w:t>14 dni od dnia ogłoszenia/I kwartał 2025</w:t>
            </w:r>
            <w:r w:rsidR="00526882">
              <w:rPr>
                <w:rFonts w:cs="Calibri"/>
                <w:sz w:val="20"/>
                <w:szCs w:val="20"/>
              </w:rPr>
              <w:t xml:space="preserve"> r.</w:t>
            </w:r>
          </w:p>
        </w:tc>
        <w:tc>
          <w:tcPr>
            <w:tcW w:w="1393" w:type="dxa"/>
          </w:tcPr>
          <w:p w14:paraId="18F92F5A" w14:textId="2D8E6575" w:rsidR="00E456C3" w:rsidRPr="00A61290" w:rsidRDefault="00C80714" w:rsidP="00E456C3">
            <w:pPr>
              <w:pStyle w:val="Nagwek"/>
              <w:spacing w:after="0" w:line="240" w:lineRule="auto"/>
              <w:rPr>
                <w:rFonts w:cs="Calibri"/>
                <w:sz w:val="20"/>
                <w:szCs w:val="20"/>
              </w:rPr>
            </w:pPr>
            <w:r w:rsidRPr="00A61290">
              <w:rPr>
                <w:rFonts w:cs="Calibri"/>
                <w:sz w:val="20"/>
                <w:szCs w:val="20"/>
              </w:rPr>
              <w:t>24.09.2024</w:t>
            </w:r>
            <w:r w:rsidR="00526882">
              <w:rPr>
                <w:rFonts w:cs="Calibri"/>
                <w:sz w:val="20"/>
                <w:szCs w:val="20"/>
              </w:rPr>
              <w:t xml:space="preserve"> r.</w:t>
            </w:r>
          </w:p>
        </w:tc>
        <w:tc>
          <w:tcPr>
            <w:tcW w:w="2601" w:type="dxa"/>
          </w:tcPr>
          <w:p w14:paraId="0070F7B4" w14:textId="77777777" w:rsidR="00E456C3" w:rsidRPr="00E456C3" w:rsidRDefault="00E456C3" w:rsidP="00E456C3">
            <w:pPr>
              <w:pStyle w:val="Nagwek"/>
              <w:spacing w:after="0" w:line="240" w:lineRule="auto"/>
              <w:rPr>
                <w:rFonts w:cs="Calibri"/>
                <w:sz w:val="20"/>
                <w:szCs w:val="20"/>
              </w:rPr>
            </w:pPr>
          </w:p>
        </w:tc>
      </w:tr>
      <w:tr w:rsidR="00E456C3" w:rsidRPr="00E456C3" w14:paraId="79A1A2AE" w14:textId="08DB701D" w:rsidTr="00C80714">
        <w:trPr>
          <w:jc w:val="center"/>
        </w:trPr>
        <w:tc>
          <w:tcPr>
            <w:tcW w:w="889" w:type="dxa"/>
            <w:vAlign w:val="center"/>
          </w:tcPr>
          <w:p w14:paraId="140B216C" w14:textId="1C623F81" w:rsidR="00E456C3" w:rsidRPr="00E456C3" w:rsidRDefault="00E456C3" w:rsidP="00BE6D75">
            <w:pPr>
              <w:pStyle w:val="Nagwek"/>
              <w:spacing w:after="0" w:line="240" w:lineRule="auto"/>
              <w:jc w:val="center"/>
              <w:rPr>
                <w:rFonts w:cs="Calibri"/>
                <w:b/>
                <w:bCs/>
                <w:sz w:val="20"/>
                <w:szCs w:val="20"/>
              </w:rPr>
            </w:pPr>
            <w:r>
              <w:rPr>
                <w:rFonts w:cs="Calibri"/>
                <w:b/>
                <w:bCs/>
                <w:sz w:val="20"/>
                <w:szCs w:val="20"/>
              </w:rPr>
              <w:t>A537</w:t>
            </w:r>
          </w:p>
        </w:tc>
        <w:tc>
          <w:tcPr>
            <w:tcW w:w="2537" w:type="dxa"/>
          </w:tcPr>
          <w:p w14:paraId="0A0DEA5B" w14:textId="77777777" w:rsidR="00E456C3" w:rsidRPr="00E456C3" w:rsidRDefault="00E456C3" w:rsidP="00E456C3">
            <w:pPr>
              <w:pStyle w:val="Nagwek"/>
              <w:spacing w:after="0" w:line="240" w:lineRule="auto"/>
              <w:rPr>
                <w:rFonts w:cs="Calibri"/>
                <w:sz w:val="20"/>
                <w:szCs w:val="20"/>
              </w:rPr>
            </w:pPr>
          </w:p>
        </w:tc>
        <w:tc>
          <w:tcPr>
            <w:tcW w:w="3299" w:type="dxa"/>
          </w:tcPr>
          <w:p w14:paraId="52E4486D" w14:textId="77777777" w:rsidR="00E456C3" w:rsidRPr="00E456C3" w:rsidRDefault="00E456C3" w:rsidP="00E456C3">
            <w:pPr>
              <w:pStyle w:val="Nagwek"/>
              <w:spacing w:after="0" w:line="240" w:lineRule="auto"/>
              <w:rPr>
                <w:rFonts w:cs="Calibri"/>
                <w:sz w:val="20"/>
                <w:szCs w:val="20"/>
              </w:rPr>
            </w:pPr>
          </w:p>
        </w:tc>
        <w:tc>
          <w:tcPr>
            <w:tcW w:w="2786" w:type="dxa"/>
          </w:tcPr>
          <w:p w14:paraId="1ABB4D40" w14:textId="77777777" w:rsidR="00E456C3" w:rsidRPr="00E456C3" w:rsidRDefault="00E456C3" w:rsidP="00E456C3">
            <w:pPr>
              <w:pStyle w:val="Nagwek"/>
              <w:spacing w:after="0" w:line="240" w:lineRule="auto"/>
              <w:rPr>
                <w:rFonts w:cs="Calibri"/>
                <w:sz w:val="20"/>
                <w:szCs w:val="20"/>
              </w:rPr>
            </w:pPr>
          </w:p>
        </w:tc>
        <w:tc>
          <w:tcPr>
            <w:tcW w:w="1832" w:type="dxa"/>
          </w:tcPr>
          <w:p w14:paraId="1E8F46F3" w14:textId="77777777" w:rsidR="00E456C3" w:rsidRPr="00E456C3" w:rsidRDefault="00E456C3" w:rsidP="00E456C3">
            <w:pPr>
              <w:pStyle w:val="Nagwek"/>
              <w:spacing w:after="0" w:line="240" w:lineRule="auto"/>
              <w:rPr>
                <w:rFonts w:cs="Calibri"/>
                <w:sz w:val="20"/>
                <w:szCs w:val="20"/>
              </w:rPr>
            </w:pPr>
          </w:p>
        </w:tc>
        <w:tc>
          <w:tcPr>
            <w:tcW w:w="1393" w:type="dxa"/>
          </w:tcPr>
          <w:p w14:paraId="7F4E4FC4" w14:textId="77777777" w:rsidR="00E456C3" w:rsidRPr="00E456C3" w:rsidRDefault="00E456C3" w:rsidP="00E456C3">
            <w:pPr>
              <w:pStyle w:val="Nagwek"/>
              <w:spacing w:after="0" w:line="240" w:lineRule="auto"/>
              <w:rPr>
                <w:rFonts w:cs="Calibri"/>
                <w:sz w:val="20"/>
                <w:szCs w:val="20"/>
              </w:rPr>
            </w:pPr>
          </w:p>
        </w:tc>
        <w:tc>
          <w:tcPr>
            <w:tcW w:w="2601" w:type="dxa"/>
          </w:tcPr>
          <w:p w14:paraId="6568B318" w14:textId="77777777" w:rsidR="00E456C3" w:rsidRPr="00E456C3" w:rsidRDefault="00E456C3" w:rsidP="00E456C3">
            <w:pPr>
              <w:pStyle w:val="Nagwek"/>
              <w:spacing w:after="0" w:line="240" w:lineRule="auto"/>
              <w:rPr>
                <w:rFonts w:cs="Calibri"/>
                <w:sz w:val="20"/>
                <w:szCs w:val="20"/>
              </w:rPr>
            </w:pPr>
          </w:p>
        </w:tc>
      </w:tr>
      <w:tr w:rsidR="00E456C3" w:rsidRPr="00E456C3" w14:paraId="1B5E690A" w14:textId="7CAB8BA6" w:rsidTr="00C80714">
        <w:trPr>
          <w:jc w:val="center"/>
        </w:trPr>
        <w:tc>
          <w:tcPr>
            <w:tcW w:w="889" w:type="dxa"/>
            <w:vAlign w:val="center"/>
          </w:tcPr>
          <w:p w14:paraId="248561CF" w14:textId="4D45D0F1" w:rsidR="00E456C3" w:rsidRPr="00E456C3" w:rsidRDefault="00E456C3" w:rsidP="00BE6D75">
            <w:pPr>
              <w:pStyle w:val="Nagwek"/>
              <w:spacing w:after="0" w:line="240" w:lineRule="auto"/>
              <w:jc w:val="center"/>
              <w:rPr>
                <w:rFonts w:cs="Calibri"/>
                <w:b/>
                <w:bCs/>
                <w:sz w:val="20"/>
                <w:szCs w:val="20"/>
              </w:rPr>
            </w:pPr>
            <w:r>
              <w:rPr>
                <w:rFonts w:cs="Calibri"/>
                <w:b/>
                <w:bCs/>
                <w:sz w:val="20"/>
                <w:szCs w:val="20"/>
              </w:rPr>
              <w:t>A538</w:t>
            </w:r>
          </w:p>
        </w:tc>
        <w:tc>
          <w:tcPr>
            <w:tcW w:w="2537" w:type="dxa"/>
          </w:tcPr>
          <w:p w14:paraId="2C060257" w14:textId="77777777" w:rsidR="00E456C3" w:rsidRPr="00E456C3" w:rsidRDefault="00E456C3" w:rsidP="00E456C3">
            <w:pPr>
              <w:pStyle w:val="Nagwek"/>
              <w:spacing w:after="0" w:line="240" w:lineRule="auto"/>
              <w:rPr>
                <w:rFonts w:cs="Calibri"/>
                <w:sz w:val="20"/>
                <w:szCs w:val="20"/>
              </w:rPr>
            </w:pPr>
          </w:p>
        </w:tc>
        <w:tc>
          <w:tcPr>
            <w:tcW w:w="3299" w:type="dxa"/>
          </w:tcPr>
          <w:p w14:paraId="7D9489A9" w14:textId="77777777" w:rsidR="00E456C3" w:rsidRPr="00E456C3" w:rsidRDefault="00E456C3" w:rsidP="00E456C3">
            <w:pPr>
              <w:pStyle w:val="Nagwek"/>
              <w:spacing w:after="0" w:line="240" w:lineRule="auto"/>
              <w:rPr>
                <w:rFonts w:cs="Calibri"/>
                <w:sz w:val="20"/>
                <w:szCs w:val="20"/>
              </w:rPr>
            </w:pPr>
          </w:p>
        </w:tc>
        <w:tc>
          <w:tcPr>
            <w:tcW w:w="2786" w:type="dxa"/>
          </w:tcPr>
          <w:p w14:paraId="4672123A" w14:textId="77777777" w:rsidR="00E456C3" w:rsidRPr="00E456C3" w:rsidRDefault="00E456C3" w:rsidP="00E456C3">
            <w:pPr>
              <w:pStyle w:val="Nagwek"/>
              <w:spacing w:after="0" w:line="240" w:lineRule="auto"/>
              <w:rPr>
                <w:rFonts w:cs="Calibri"/>
                <w:sz w:val="20"/>
                <w:szCs w:val="20"/>
              </w:rPr>
            </w:pPr>
          </w:p>
        </w:tc>
        <w:tc>
          <w:tcPr>
            <w:tcW w:w="1832" w:type="dxa"/>
          </w:tcPr>
          <w:p w14:paraId="21322266" w14:textId="77777777" w:rsidR="00E456C3" w:rsidRPr="00E456C3" w:rsidRDefault="00E456C3" w:rsidP="00E456C3">
            <w:pPr>
              <w:pStyle w:val="Nagwek"/>
              <w:spacing w:after="0" w:line="240" w:lineRule="auto"/>
              <w:rPr>
                <w:rFonts w:cs="Calibri"/>
                <w:sz w:val="20"/>
                <w:szCs w:val="20"/>
              </w:rPr>
            </w:pPr>
          </w:p>
        </w:tc>
        <w:tc>
          <w:tcPr>
            <w:tcW w:w="1393" w:type="dxa"/>
          </w:tcPr>
          <w:p w14:paraId="7B9D582D" w14:textId="77777777" w:rsidR="00E456C3" w:rsidRPr="00E456C3" w:rsidRDefault="00E456C3" w:rsidP="00E456C3">
            <w:pPr>
              <w:pStyle w:val="Nagwek"/>
              <w:spacing w:after="0" w:line="240" w:lineRule="auto"/>
              <w:rPr>
                <w:rFonts w:cs="Calibri"/>
                <w:sz w:val="20"/>
                <w:szCs w:val="20"/>
              </w:rPr>
            </w:pPr>
          </w:p>
        </w:tc>
        <w:tc>
          <w:tcPr>
            <w:tcW w:w="2601" w:type="dxa"/>
          </w:tcPr>
          <w:p w14:paraId="5C19656D" w14:textId="77777777" w:rsidR="00E456C3" w:rsidRPr="00E456C3" w:rsidRDefault="00E456C3" w:rsidP="00E456C3">
            <w:pPr>
              <w:pStyle w:val="Nagwek"/>
              <w:spacing w:after="0" w:line="240" w:lineRule="auto"/>
              <w:rPr>
                <w:rFonts w:cs="Calibri"/>
                <w:sz w:val="20"/>
                <w:szCs w:val="20"/>
              </w:rPr>
            </w:pPr>
          </w:p>
        </w:tc>
      </w:tr>
      <w:tr w:rsidR="00E456C3" w:rsidRPr="00E456C3" w14:paraId="7F590114" w14:textId="77777777" w:rsidTr="00C80714">
        <w:trPr>
          <w:jc w:val="center"/>
        </w:trPr>
        <w:tc>
          <w:tcPr>
            <w:tcW w:w="889" w:type="dxa"/>
            <w:vAlign w:val="center"/>
          </w:tcPr>
          <w:p w14:paraId="5334FAAD" w14:textId="6FD6EE6D" w:rsidR="00E456C3" w:rsidRDefault="00A61290" w:rsidP="00BE6D75">
            <w:pPr>
              <w:pStyle w:val="Nagwek"/>
              <w:spacing w:after="0" w:line="240" w:lineRule="auto"/>
              <w:jc w:val="center"/>
              <w:rPr>
                <w:rFonts w:cs="Calibri"/>
                <w:b/>
                <w:bCs/>
                <w:sz w:val="20"/>
                <w:szCs w:val="20"/>
              </w:rPr>
            </w:pPr>
            <w:r>
              <w:rPr>
                <w:rFonts w:cs="Calibri"/>
                <w:b/>
                <w:bCs/>
                <w:sz w:val="20"/>
                <w:szCs w:val="20"/>
              </w:rPr>
              <w:t>A539</w:t>
            </w:r>
          </w:p>
        </w:tc>
        <w:tc>
          <w:tcPr>
            <w:tcW w:w="2537" w:type="dxa"/>
          </w:tcPr>
          <w:p w14:paraId="3281A068" w14:textId="77777777" w:rsidR="00E456C3" w:rsidRPr="00E456C3" w:rsidRDefault="00E456C3" w:rsidP="00E456C3">
            <w:pPr>
              <w:pStyle w:val="Nagwek"/>
              <w:spacing w:after="0" w:line="240" w:lineRule="auto"/>
              <w:rPr>
                <w:rFonts w:cs="Calibri"/>
                <w:sz w:val="20"/>
                <w:szCs w:val="20"/>
              </w:rPr>
            </w:pPr>
          </w:p>
        </w:tc>
        <w:tc>
          <w:tcPr>
            <w:tcW w:w="3299" w:type="dxa"/>
          </w:tcPr>
          <w:p w14:paraId="31F37C4A" w14:textId="77777777" w:rsidR="00E456C3" w:rsidRPr="00E456C3" w:rsidRDefault="00E456C3" w:rsidP="00E456C3">
            <w:pPr>
              <w:pStyle w:val="Nagwek"/>
              <w:spacing w:after="0" w:line="240" w:lineRule="auto"/>
              <w:rPr>
                <w:rFonts w:cs="Calibri"/>
                <w:sz w:val="20"/>
                <w:szCs w:val="20"/>
              </w:rPr>
            </w:pPr>
          </w:p>
        </w:tc>
        <w:tc>
          <w:tcPr>
            <w:tcW w:w="2786" w:type="dxa"/>
          </w:tcPr>
          <w:p w14:paraId="64F3F9CC" w14:textId="77777777" w:rsidR="00E456C3" w:rsidRPr="00E456C3" w:rsidRDefault="00E456C3" w:rsidP="00E456C3">
            <w:pPr>
              <w:pStyle w:val="Nagwek"/>
              <w:spacing w:after="0" w:line="240" w:lineRule="auto"/>
              <w:rPr>
                <w:rFonts w:cs="Calibri"/>
                <w:sz w:val="20"/>
                <w:szCs w:val="20"/>
              </w:rPr>
            </w:pPr>
          </w:p>
        </w:tc>
        <w:tc>
          <w:tcPr>
            <w:tcW w:w="1832" w:type="dxa"/>
          </w:tcPr>
          <w:p w14:paraId="7EC2FBEB" w14:textId="77777777" w:rsidR="00E456C3" w:rsidRPr="00E456C3" w:rsidRDefault="00E456C3" w:rsidP="00E456C3">
            <w:pPr>
              <w:pStyle w:val="Nagwek"/>
              <w:spacing w:after="0" w:line="240" w:lineRule="auto"/>
              <w:rPr>
                <w:rFonts w:cs="Calibri"/>
                <w:sz w:val="20"/>
                <w:szCs w:val="20"/>
              </w:rPr>
            </w:pPr>
          </w:p>
        </w:tc>
        <w:tc>
          <w:tcPr>
            <w:tcW w:w="1393" w:type="dxa"/>
          </w:tcPr>
          <w:p w14:paraId="19476D65" w14:textId="77777777" w:rsidR="00E456C3" w:rsidRPr="00E456C3" w:rsidRDefault="00E456C3" w:rsidP="00E456C3">
            <w:pPr>
              <w:pStyle w:val="Nagwek"/>
              <w:spacing w:after="0" w:line="240" w:lineRule="auto"/>
              <w:rPr>
                <w:rFonts w:cs="Calibri"/>
                <w:sz w:val="20"/>
                <w:szCs w:val="20"/>
              </w:rPr>
            </w:pPr>
          </w:p>
        </w:tc>
        <w:tc>
          <w:tcPr>
            <w:tcW w:w="2601" w:type="dxa"/>
          </w:tcPr>
          <w:p w14:paraId="643C7B74" w14:textId="77777777" w:rsidR="00E456C3" w:rsidRPr="00E456C3" w:rsidRDefault="00E456C3" w:rsidP="00E456C3">
            <w:pPr>
              <w:pStyle w:val="Nagwek"/>
              <w:spacing w:after="0" w:line="240" w:lineRule="auto"/>
              <w:rPr>
                <w:rFonts w:cs="Calibri"/>
                <w:sz w:val="20"/>
                <w:szCs w:val="20"/>
              </w:rPr>
            </w:pPr>
          </w:p>
        </w:tc>
      </w:tr>
      <w:tr w:rsidR="00E456C3" w:rsidRPr="00E456C3" w14:paraId="333AC36D" w14:textId="77777777" w:rsidTr="00C80714">
        <w:trPr>
          <w:jc w:val="center"/>
        </w:trPr>
        <w:tc>
          <w:tcPr>
            <w:tcW w:w="889" w:type="dxa"/>
            <w:vAlign w:val="center"/>
          </w:tcPr>
          <w:p w14:paraId="78073ADF" w14:textId="48300467" w:rsidR="00E456C3" w:rsidRDefault="00A61290" w:rsidP="00BE6D75">
            <w:pPr>
              <w:pStyle w:val="Nagwek"/>
              <w:spacing w:after="0" w:line="240" w:lineRule="auto"/>
              <w:jc w:val="center"/>
              <w:rPr>
                <w:rFonts w:cs="Calibri"/>
                <w:b/>
                <w:bCs/>
                <w:sz w:val="20"/>
                <w:szCs w:val="20"/>
              </w:rPr>
            </w:pPr>
            <w:r>
              <w:rPr>
                <w:rFonts w:cs="Calibri"/>
                <w:b/>
                <w:bCs/>
                <w:sz w:val="20"/>
                <w:szCs w:val="20"/>
              </w:rPr>
              <w:t>A540</w:t>
            </w:r>
          </w:p>
        </w:tc>
        <w:tc>
          <w:tcPr>
            <w:tcW w:w="2537" w:type="dxa"/>
          </w:tcPr>
          <w:p w14:paraId="486A83F5" w14:textId="77777777" w:rsidR="00E456C3" w:rsidRPr="00E456C3" w:rsidRDefault="00E456C3" w:rsidP="00E456C3">
            <w:pPr>
              <w:pStyle w:val="Nagwek"/>
              <w:spacing w:after="0" w:line="240" w:lineRule="auto"/>
              <w:rPr>
                <w:rFonts w:cs="Calibri"/>
                <w:sz w:val="20"/>
                <w:szCs w:val="20"/>
              </w:rPr>
            </w:pPr>
          </w:p>
        </w:tc>
        <w:tc>
          <w:tcPr>
            <w:tcW w:w="3299" w:type="dxa"/>
          </w:tcPr>
          <w:p w14:paraId="39552D17" w14:textId="77777777" w:rsidR="00E456C3" w:rsidRPr="00E456C3" w:rsidRDefault="00E456C3" w:rsidP="00E456C3">
            <w:pPr>
              <w:pStyle w:val="Nagwek"/>
              <w:spacing w:after="0" w:line="240" w:lineRule="auto"/>
              <w:rPr>
                <w:rFonts w:cs="Calibri"/>
                <w:sz w:val="20"/>
                <w:szCs w:val="20"/>
              </w:rPr>
            </w:pPr>
          </w:p>
        </w:tc>
        <w:tc>
          <w:tcPr>
            <w:tcW w:w="2786" w:type="dxa"/>
          </w:tcPr>
          <w:p w14:paraId="13AF9217" w14:textId="77777777" w:rsidR="00E456C3" w:rsidRPr="00E456C3" w:rsidRDefault="00E456C3" w:rsidP="00E456C3">
            <w:pPr>
              <w:pStyle w:val="Nagwek"/>
              <w:spacing w:after="0" w:line="240" w:lineRule="auto"/>
              <w:rPr>
                <w:rFonts w:cs="Calibri"/>
                <w:sz w:val="20"/>
                <w:szCs w:val="20"/>
              </w:rPr>
            </w:pPr>
          </w:p>
        </w:tc>
        <w:tc>
          <w:tcPr>
            <w:tcW w:w="1832" w:type="dxa"/>
          </w:tcPr>
          <w:p w14:paraId="518441D0" w14:textId="77777777" w:rsidR="00E456C3" w:rsidRPr="00E456C3" w:rsidRDefault="00E456C3" w:rsidP="00E456C3">
            <w:pPr>
              <w:pStyle w:val="Nagwek"/>
              <w:spacing w:after="0" w:line="240" w:lineRule="auto"/>
              <w:rPr>
                <w:rFonts w:cs="Calibri"/>
                <w:sz w:val="20"/>
                <w:szCs w:val="20"/>
              </w:rPr>
            </w:pPr>
          </w:p>
        </w:tc>
        <w:tc>
          <w:tcPr>
            <w:tcW w:w="1393" w:type="dxa"/>
          </w:tcPr>
          <w:p w14:paraId="59DDB103" w14:textId="77777777" w:rsidR="00E456C3" w:rsidRPr="00E456C3" w:rsidRDefault="00E456C3" w:rsidP="00E456C3">
            <w:pPr>
              <w:pStyle w:val="Nagwek"/>
              <w:spacing w:after="0" w:line="240" w:lineRule="auto"/>
              <w:rPr>
                <w:rFonts w:cs="Calibri"/>
                <w:sz w:val="20"/>
                <w:szCs w:val="20"/>
              </w:rPr>
            </w:pPr>
          </w:p>
        </w:tc>
        <w:tc>
          <w:tcPr>
            <w:tcW w:w="2601" w:type="dxa"/>
          </w:tcPr>
          <w:p w14:paraId="28DCA1DF" w14:textId="77777777" w:rsidR="00E456C3" w:rsidRPr="00E456C3" w:rsidRDefault="00E456C3" w:rsidP="00E456C3">
            <w:pPr>
              <w:pStyle w:val="Nagwek"/>
              <w:spacing w:after="0" w:line="240" w:lineRule="auto"/>
              <w:rPr>
                <w:rFonts w:cs="Calibri"/>
                <w:sz w:val="20"/>
                <w:szCs w:val="20"/>
              </w:rPr>
            </w:pPr>
          </w:p>
        </w:tc>
      </w:tr>
      <w:tr w:rsidR="00E456C3" w:rsidRPr="00E456C3" w14:paraId="004A207D" w14:textId="77777777" w:rsidTr="00C80714">
        <w:trPr>
          <w:jc w:val="center"/>
        </w:trPr>
        <w:tc>
          <w:tcPr>
            <w:tcW w:w="889" w:type="dxa"/>
            <w:vAlign w:val="center"/>
          </w:tcPr>
          <w:p w14:paraId="2FA1C2AA" w14:textId="137F8BF0" w:rsidR="00E456C3" w:rsidRDefault="00A61290" w:rsidP="00BE6D75">
            <w:pPr>
              <w:pStyle w:val="Nagwek"/>
              <w:spacing w:after="0" w:line="240" w:lineRule="auto"/>
              <w:jc w:val="center"/>
              <w:rPr>
                <w:rFonts w:cs="Calibri"/>
                <w:b/>
                <w:bCs/>
                <w:sz w:val="20"/>
                <w:szCs w:val="20"/>
              </w:rPr>
            </w:pPr>
            <w:r>
              <w:rPr>
                <w:rFonts w:cs="Calibri"/>
                <w:b/>
                <w:bCs/>
                <w:sz w:val="20"/>
                <w:szCs w:val="20"/>
              </w:rPr>
              <w:t>A541</w:t>
            </w:r>
          </w:p>
        </w:tc>
        <w:tc>
          <w:tcPr>
            <w:tcW w:w="2537" w:type="dxa"/>
          </w:tcPr>
          <w:p w14:paraId="6BB5D04B" w14:textId="77777777" w:rsidR="00E456C3" w:rsidRPr="00E456C3" w:rsidRDefault="00E456C3" w:rsidP="00E456C3">
            <w:pPr>
              <w:pStyle w:val="Nagwek"/>
              <w:spacing w:after="0" w:line="240" w:lineRule="auto"/>
              <w:rPr>
                <w:rFonts w:cs="Calibri"/>
                <w:sz w:val="20"/>
                <w:szCs w:val="20"/>
              </w:rPr>
            </w:pPr>
          </w:p>
        </w:tc>
        <w:tc>
          <w:tcPr>
            <w:tcW w:w="3299" w:type="dxa"/>
          </w:tcPr>
          <w:p w14:paraId="3904B399" w14:textId="77777777" w:rsidR="00E456C3" w:rsidRPr="00E456C3" w:rsidRDefault="00E456C3" w:rsidP="00E456C3">
            <w:pPr>
              <w:pStyle w:val="Nagwek"/>
              <w:spacing w:after="0" w:line="240" w:lineRule="auto"/>
              <w:rPr>
                <w:rFonts w:cs="Calibri"/>
                <w:sz w:val="20"/>
                <w:szCs w:val="20"/>
              </w:rPr>
            </w:pPr>
          </w:p>
        </w:tc>
        <w:tc>
          <w:tcPr>
            <w:tcW w:w="2786" w:type="dxa"/>
          </w:tcPr>
          <w:p w14:paraId="046AD338" w14:textId="77777777" w:rsidR="00E456C3" w:rsidRPr="00E456C3" w:rsidRDefault="00E456C3" w:rsidP="00E456C3">
            <w:pPr>
              <w:pStyle w:val="Nagwek"/>
              <w:spacing w:after="0" w:line="240" w:lineRule="auto"/>
              <w:rPr>
                <w:rFonts w:cs="Calibri"/>
                <w:sz w:val="20"/>
                <w:szCs w:val="20"/>
              </w:rPr>
            </w:pPr>
          </w:p>
        </w:tc>
        <w:tc>
          <w:tcPr>
            <w:tcW w:w="1832" w:type="dxa"/>
          </w:tcPr>
          <w:p w14:paraId="1135CEA2" w14:textId="77777777" w:rsidR="00E456C3" w:rsidRPr="00E456C3" w:rsidRDefault="00E456C3" w:rsidP="00E456C3">
            <w:pPr>
              <w:pStyle w:val="Nagwek"/>
              <w:spacing w:after="0" w:line="240" w:lineRule="auto"/>
              <w:rPr>
                <w:rFonts w:cs="Calibri"/>
                <w:sz w:val="20"/>
                <w:szCs w:val="20"/>
              </w:rPr>
            </w:pPr>
          </w:p>
        </w:tc>
        <w:tc>
          <w:tcPr>
            <w:tcW w:w="1393" w:type="dxa"/>
          </w:tcPr>
          <w:p w14:paraId="5844D4AC" w14:textId="77777777" w:rsidR="00E456C3" w:rsidRPr="00E456C3" w:rsidRDefault="00E456C3" w:rsidP="00E456C3">
            <w:pPr>
              <w:pStyle w:val="Nagwek"/>
              <w:spacing w:after="0" w:line="240" w:lineRule="auto"/>
              <w:rPr>
                <w:rFonts w:cs="Calibri"/>
                <w:sz w:val="20"/>
                <w:szCs w:val="20"/>
              </w:rPr>
            </w:pPr>
          </w:p>
        </w:tc>
        <w:tc>
          <w:tcPr>
            <w:tcW w:w="2601" w:type="dxa"/>
          </w:tcPr>
          <w:p w14:paraId="639FB0AF" w14:textId="77777777" w:rsidR="00E456C3" w:rsidRPr="00E456C3" w:rsidRDefault="00E456C3" w:rsidP="00E456C3">
            <w:pPr>
              <w:pStyle w:val="Nagwek"/>
              <w:spacing w:after="0" w:line="240" w:lineRule="auto"/>
              <w:rPr>
                <w:rFonts w:cs="Calibri"/>
                <w:sz w:val="20"/>
                <w:szCs w:val="20"/>
              </w:rPr>
            </w:pPr>
          </w:p>
        </w:tc>
      </w:tr>
      <w:tr w:rsidR="00E456C3" w:rsidRPr="00E456C3" w14:paraId="4CB3BEDC" w14:textId="77777777" w:rsidTr="00C80714">
        <w:trPr>
          <w:jc w:val="center"/>
        </w:trPr>
        <w:tc>
          <w:tcPr>
            <w:tcW w:w="889" w:type="dxa"/>
            <w:vAlign w:val="center"/>
          </w:tcPr>
          <w:p w14:paraId="20F207B4" w14:textId="7349406A" w:rsidR="00E456C3" w:rsidRDefault="00A61290" w:rsidP="00BE6D75">
            <w:pPr>
              <w:pStyle w:val="Nagwek"/>
              <w:spacing w:after="0" w:line="240" w:lineRule="auto"/>
              <w:jc w:val="center"/>
              <w:rPr>
                <w:rFonts w:cs="Calibri"/>
                <w:b/>
                <w:bCs/>
                <w:sz w:val="20"/>
                <w:szCs w:val="20"/>
              </w:rPr>
            </w:pPr>
            <w:r>
              <w:rPr>
                <w:rFonts w:cs="Calibri"/>
                <w:b/>
                <w:bCs/>
                <w:sz w:val="20"/>
                <w:szCs w:val="20"/>
              </w:rPr>
              <w:t>A542</w:t>
            </w:r>
          </w:p>
        </w:tc>
        <w:tc>
          <w:tcPr>
            <w:tcW w:w="2537" w:type="dxa"/>
          </w:tcPr>
          <w:p w14:paraId="001E547E" w14:textId="77777777" w:rsidR="00E456C3" w:rsidRPr="00E456C3" w:rsidRDefault="00E456C3" w:rsidP="00E456C3">
            <w:pPr>
              <w:pStyle w:val="Nagwek"/>
              <w:spacing w:after="0" w:line="240" w:lineRule="auto"/>
              <w:rPr>
                <w:rFonts w:cs="Calibri"/>
                <w:sz w:val="20"/>
                <w:szCs w:val="20"/>
              </w:rPr>
            </w:pPr>
          </w:p>
        </w:tc>
        <w:tc>
          <w:tcPr>
            <w:tcW w:w="3299" w:type="dxa"/>
          </w:tcPr>
          <w:p w14:paraId="269C1FEB" w14:textId="77777777" w:rsidR="00E456C3" w:rsidRPr="00E456C3" w:rsidRDefault="00E456C3" w:rsidP="00E456C3">
            <w:pPr>
              <w:pStyle w:val="Nagwek"/>
              <w:spacing w:after="0" w:line="240" w:lineRule="auto"/>
              <w:rPr>
                <w:rFonts w:cs="Calibri"/>
                <w:sz w:val="20"/>
                <w:szCs w:val="20"/>
              </w:rPr>
            </w:pPr>
          </w:p>
        </w:tc>
        <w:tc>
          <w:tcPr>
            <w:tcW w:w="2786" w:type="dxa"/>
          </w:tcPr>
          <w:p w14:paraId="4E81526A" w14:textId="77777777" w:rsidR="00E456C3" w:rsidRPr="00E456C3" w:rsidRDefault="00E456C3" w:rsidP="00E456C3">
            <w:pPr>
              <w:pStyle w:val="Nagwek"/>
              <w:spacing w:after="0" w:line="240" w:lineRule="auto"/>
              <w:rPr>
                <w:rFonts w:cs="Calibri"/>
                <w:sz w:val="20"/>
                <w:szCs w:val="20"/>
              </w:rPr>
            </w:pPr>
          </w:p>
        </w:tc>
        <w:tc>
          <w:tcPr>
            <w:tcW w:w="1832" w:type="dxa"/>
          </w:tcPr>
          <w:p w14:paraId="52437EC7" w14:textId="77777777" w:rsidR="00E456C3" w:rsidRPr="00E456C3" w:rsidRDefault="00E456C3" w:rsidP="00E456C3">
            <w:pPr>
              <w:pStyle w:val="Nagwek"/>
              <w:spacing w:after="0" w:line="240" w:lineRule="auto"/>
              <w:rPr>
                <w:rFonts w:cs="Calibri"/>
                <w:sz w:val="20"/>
                <w:szCs w:val="20"/>
              </w:rPr>
            </w:pPr>
          </w:p>
        </w:tc>
        <w:tc>
          <w:tcPr>
            <w:tcW w:w="1393" w:type="dxa"/>
          </w:tcPr>
          <w:p w14:paraId="02638312" w14:textId="77777777" w:rsidR="00E456C3" w:rsidRPr="00E456C3" w:rsidRDefault="00E456C3" w:rsidP="00E456C3">
            <w:pPr>
              <w:pStyle w:val="Nagwek"/>
              <w:spacing w:after="0" w:line="240" w:lineRule="auto"/>
              <w:rPr>
                <w:rFonts w:cs="Calibri"/>
                <w:sz w:val="20"/>
                <w:szCs w:val="20"/>
              </w:rPr>
            </w:pPr>
          </w:p>
        </w:tc>
        <w:tc>
          <w:tcPr>
            <w:tcW w:w="2601" w:type="dxa"/>
          </w:tcPr>
          <w:p w14:paraId="3EA7F6CC" w14:textId="77777777" w:rsidR="00E456C3" w:rsidRPr="00E456C3" w:rsidRDefault="00E456C3" w:rsidP="00E456C3">
            <w:pPr>
              <w:pStyle w:val="Nagwek"/>
              <w:spacing w:after="0" w:line="240" w:lineRule="auto"/>
              <w:rPr>
                <w:rFonts w:cs="Calibri"/>
                <w:sz w:val="20"/>
                <w:szCs w:val="20"/>
              </w:rPr>
            </w:pPr>
          </w:p>
        </w:tc>
      </w:tr>
      <w:tr w:rsidR="00E456C3" w:rsidRPr="00E456C3" w14:paraId="54207A67" w14:textId="77777777" w:rsidTr="00C80714">
        <w:trPr>
          <w:jc w:val="center"/>
        </w:trPr>
        <w:tc>
          <w:tcPr>
            <w:tcW w:w="889" w:type="dxa"/>
            <w:vAlign w:val="center"/>
          </w:tcPr>
          <w:p w14:paraId="4E44C342" w14:textId="11630E67" w:rsidR="00E456C3" w:rsidRDefault="00A61290" w:rsidP="00BE6D75">
            <w:pPr>
              <w:pStyle w:val="Nagwek"/>
              <w:spacing w:after="0" w:line="240" w:lineRule="auto"/>
              <w:jc w:val="center"/>
              <w:rPr>
                <w:rFonts w:cs="Calibri"/>
                <w:b/>
                <w:bCs/>
                <w:sz w:val="20"/>
                <w:szCs w:val="20"/>
              </w:rPr>
            </w:pPr>
            <w:r>
              <w:rPr>
                <w:rFonts w:cs="Calibri"/>
                <w:b/>
                <w:bCs/>
                <w:sz w:val="20"/>
                <w:szCs w:val="20"/>
              </w:rPr>
              <w:t>A543</w:t>
            </w:r>
          </w:p>
        </w:tc>
        <w:tc>
          <w:tcPr>
            <w:tcW w:w="2537" w:type="dxa"/>
          </w:tcPr>
          <w:p w14:paraId="3F039BB6" w14:textId="77777777" w:rsidR="00E456C3" w:rsidRPr="00E456C3" w:rsidRDefault="00E456C3" w:rsidP="00E456C3">
            <w:pPr>
              <w:pStyle w:val="Nagwek"/>
              <w:spacing w:after="0" w:line="240" w:lineRule="auto"/>
              <w:rPr>
                <w:rFonts w:cs="Calibri"/>
                <w:sz w:val="20"/>
                <w:szCs w:val="20"/>
              </w:rPr>
            </w:pPr>
          </w:p>
        </w:tc>
        <w:tc>
          <w:tcPr>
            <w:tcW w:w="3299" w:type="dxa"/>
          </w:tcPr>
          <w:p w14:paraId="08795BB4" w14:textId="77777777" w:rsidR="00E456C3" w:rsidRPr="00E456C3" w:rsidRDefault="00E456C3" w:rsidP="00E456C3">
            <w:pPr>
              <w:pStyle w:val="Nagwek"/>
              <w:spacing w:after="0" w:line="240" w:lineRule="auto"/>
              <w:rPr>
                <w:rFonts w:cs="Calibri"/>
                <w:sz w:val="20"/>
                <w:szCs w:val="20"/>
              </w:rPr>
            </w:pPr>
          </w:p>
        </w:tc>
        <w:tc>
          <w:tcPr>
            <w:tcW w:w="2786" w:type="dxa"/>
          </w:tcPr>
          <w:p w14:paraId="32BFBFEA" w14:textId="77777777" w:rsidR="00E456C3" w:rsidRPr="00E456C3" w:rsidRDefault="00E456C3" w:rsidP="00E456C3">
            <w:pPr>
              <w:pStyle w:val="Nagwek"/>
              <w:spacing w:after="0" w:line="240" w:lineRule="auto"/>
              <w:rPr>
                <w:rFonts w:cs="Calibri"/>
                <w:sz w:val="20"/>
                <w:szCs w:val="20"/>
              </w:rPr>
            </w:pPr>
          </w:p>
        </w:tc>
        <w:tc>
          <w:tcPr>
            <w:tcW w:w="1832" w:type="dxa"/>
          </w:tcPr>
          <w:p w14:paraId="01323E57" w14:textId="77777777" w:rsidR="00E456C3" w:rsidRPr="00E456C3" w:rsidRDefault="00E456C3" w:rsidP="00E456C3">
            <w:pPr>
              <w:pStyle w:val="Nagwek"/>
              <w:spacing w:after="0" w:line="240" w:lineRule="auto"/>
              <w:rPr>
                <w:rFonts w:cs="Calibri"/>
                <w:sz w:val="20"/>
                <w:szCs w:val="20"/>
              </w:rPr>
            </w:pPr>
          </w:p>
        </w:tc>
        <w:tc>
          <w:tcPr>
            <w:tcW w:w="1393" w:type="dxa"/>
          </w:tcPr>
          <w:p w14:paraId="7F8E4A45" w14:textId="77777777" w:rsidR="00E456C3" w:rsidRPr="00E456C3" w:rsidRDefault="00E456C3" w:rsidP="00E456C3">
            <w:pPr>
              <w:pStyle w:val="Nagwek"/>
              <w:spacing w:after="0" w:line="240" w:lineRule="auto"/>
              <w:rPr>
                <w:rFonts w:cs="Calibri"/>
                <w:sz w:val="20"/>
                <w:szCs w:val="20"/>
              </w:rPr>
            </w:pPr>
          </w:p>
        </w:tc>
        <w:tc>
          <w:tcPr>
            <w:tcW w:w="2601" w:type="dxa"/>
          </w:tcPr>
          <w:p w14:paraId="10C441E4" w14:textId="77777777" w:rsidR="00E456C3" w:rsidRPr="00E456C3" w:rsidRDefault="00E456C3" w:rsidP="00E456C3">
            <w:pPr>
              <w:pStyle w:val="Nagwek"/>
              <w:spacing w:after="0" w:line="240" w:lineRule="auto"/>
              <w:rPr>
                <w:rFonts w:cs="Calibri"/>
                <w:sz w:val="20"/>
                <w:szCs w:val="20"/>
              </w:rPr>
            </w:pPr>
          </w:p>
        </w:tc>
      </w:tr>
      <w:tr w:rsidR="00E456C3" w:rsidRPr="00E456C3" w14:paraId="0C749F50" w14:textId="77777777" w:rsidTr="00C80714">
        <w:trPr>
          <w:jc w:val="center"/>
        </w:trPr>
        <w:tc>
          <w:tcPr>
            <w:tcW w:w="889" w:type="dxa"/>
            <w:vAlign w:val="center"/>
          </w:tcPr>
          <w:p w14:paraId="64AAF4F0" w14:textId="1311425E" w:rsidR="00E456C3" w:rsidRDefault="00A61290" w:rsidP="00BE6D75">
            <w:pPr>
              <w:pStyle w:val="Nagwek"/>
              <w:spacing w:after="0" w:line="240" w:lineRule="auto"/>
              <w:jc w:val="center"/>
              <w:rPr>
                <w:rFonts w:cs="Calibri"/>
                <w:b/>
                <w:bCs/>
                <w:sz w:val="20"/>
                <w:szCs w:val="20"/>
              </w:rPr>
            </w:pPr>
            <w:r>
              <w:rPr>
                <w:rFonts w:cs="Calibri"/>
                <w:b/>
                <w:bCs/>
                <w:sz w:val="20"/>
                <w:szCs w:val="20"/>
              </w:rPr>
              <w:t>A544</w:t>
            </w:r>
          </w:p>
        </w:tc>
        <w:tc>
          <w:tcPr>
            <w:tcW w:w="2537" w:type="dxa"/>
          </w:tcPr>
          <w:p w14:paraId="0D8390D4" w14:textId="77777777" w:rsidR="00E456C3" w:rsidRPr="00E456C3" w:rsidRDefault="00E456C3" w:rsidP="00E456C3">
            <w:pPr>
              <w:pStyle w:val="Nagwek"/>
              <w:spacing w:after="0" w:line="240" w:lineRule="auto"/>
              <w:rPr>
                <w:rFonts w:cs="Calibri"/>
                <w:sz w:val="20"/>
                <w:szCs w:val="20"/>
              </w:rPr>
            </w:pPr>
          </w:p>
        </w:tc>
        <w:tc>
          <w:tcPr>
            <w:tcW w:w="3299" w:type="dxa"/>
          </w:tcPr>
          <w:p w14:paraId="0B57CF3D" w14:textId="77777777" w:rsidR="00E456C3" w:rsidRPr="00E456C3" w:rsidRDefault="00E456C3" w:rsidP="00E456C3">
            <w:pPr>
              <w:pStyle w:val="Nagwek"/>
              <w:spacing w:after="0" w:line="240" w:lineRule="auto"/>
              <w:rPr>
                <w:rFonts w:cs="Calibri"/>
                <w:sz w:val="20"/>
                <w:szCs w:val="20"/>
              </w:rPr>
            </w:pPr>
          </w:p>
        </w:tc>
        <w:tc>
          <w:tcPr>
            <w:tcW w:w="2786" w:type="dxa"/>
          </w:tcPr>
          <w:p w14:paraId="42B60FCE" w14:textId="77777777" w:rsidR="00E456C3" w:rsidRPr="00E456C3" w:rsidRDefault="00E456C3" w:rsidP="00E456C3">
            <w:pPr>
              <w:pStyle w:val="Nagwek"/>
              <w:spacing w:after="0" w:line="240" w:lineRule="auto"/>
              <w:rPr>
                <w:rFonts w:cs="Calibri"/>
                <w:sz w:val="20"/>
                <w:szCs w:val="20"/>
              </w:rPr>
            </w:pPr>
          </w:p>
        </w:tc>
        <w:tc>
          <w:tcPr>
            <w:tcW w:w="1832" w:type="dxa"/>
          </w:tcPr>
          <w:p w14:paraId="5D8937F6" w14:textId="77777777" w:rsidR="00E456C3" w:rsidRPr="00E456C3" w:rsidRDefault="00E456C3" w:rsidP="00E456C3">
            <w:pPr>
              <w:pStyle w:val="Nagwek"/>
              <w:spacing w:after="0" w:line="240" w:lineRule="auto"/>
              <w:rPr>
                <w:rFonts w:cs="Calibri"/>
                <w:sz w:val="20"/>
                <w:szCs w:val="20"/>
              </w:rPr>
            </w:pPr>
          </w:p>
        </w:tc>
        <w:tc>
          <w:tcPr>
            <w:tcW w:w="1393" w:type="dxa"/>
          </w:tcPr>
          <w:p w14:paraId="7434C84F" w14:textId="77777777" w:rsidR="00E456C3" w:rsidRPr="00E456C3" w:rsidRDefault="00E456C3" w:rsidP="00E456C3">
            <w:pPr>
              <w:pStyle w:val="Nagwek"/>
              <w:spacing w:after="0" w:line="240" w:lineRule="auto"/>
              <w:rPr>
                <w:rFonts w:cs="Calibri"/>
                <w:sz w:val="20"/>
                <w:szCs w:val="20"/>
              </w:rPr>
            </w:pPr>
          </w:p>
        </w:tc>
        <w:tc>
          <w:tcPr>
            <w:tcW w:w="2601" w:type="dxa"/>
          </w:tcPr>
          <w:p w14:paraId="27F566C7" w14:textId="77777777" w:rsidR="00E456C3" w:rsidRPr="00E456C3" w:rsidRDefault="00E456C3" w:rsidP="00E456C3">
            <w:pPr>
              <w:pStyle w:val="Nagwek"/>
              <w:spacing w:after="0" w:line="240" w:lineRule="auto"/>
              <w:rPr>
                <w:rFonts w:cs="Calibri"/>
                <w:sz w:val="20"/>
                <w:szCs w:val="20"/>
              </w:rPr>
            </w:pPr>
          </w:p>
        </w:tc>
      </w:tr>
      <w:tr w:rsidR="00E456C3" w:rsidRPr="00E456C3" w14:paraId="62313742" w14:textId="77777777" w:rsidTr="00C80714">
        <w:trPr>
          <w:jc w:val="center"/>
        </w:trPr>
        <w:tc>
          <w:tcPr>
            <w:tcW w:w="889" w:type="dxa"/>
            <w:vAlign w:val="center"/>
          </w:tcPr>
          <w:p w14:paraId="162D50DD" w14:textId="66FCE873" w:rsidR="00E456C3" w:rsidRDefault="00A61290" w:rsidP="00BE6D75">
            <w:pPr>
              <w:pStyle w:val="Nagwek"/>
              <w:spacing w:after="0" w:line="240" w:lineRule="auto"/>
              <w:jc w:val="center"/>
              <w:rPr>
                <w:rFonts w:cs="Calibri"/>
                <w:b/>
                <w:bCs/>
                <w:sz w:val="20"/>
                <w:szCs w:val="20"/>
              </w:rPr>
            </w:pPr>
            <w:r>
              <w:rPr>
                <w:rFonts w:cs="Calibri"/>
                <w:b/>
                <w:bCs/>
                <w:sz w:val="20"/>
                <w:szCs w:val="20"/>
              </w:rPr>
              <w:t>A545</w:t>
            </w:r>
          </w:p>
        </w:tc>
        <w:tc>
          <w:tcPr>
            <w:tcW w:w="2537" w:type="dxa"/>
          </w:tcPr>
          <w:p w14:paraId="6383FA7C" w14:textId="77777777" w:rsidR="00E456C3" w:rsidRPr="00E456C3" w:rsidRDefault="00E456C3" w:rsidP="00E456C3">
            <w:pPr>
              <w:pStyle w:val="Nagwek"/>
              <w:spacing w:after="0" w:line="240" w:lineRule="auto"/>
              <w:rPr>
                <w:rFonts w:cs="Calibri"/>
                <w:sz w:val="20"/>
                <w:szCs w:val="20"/>
              </w:rPr>
            </w:pPr>
          </w:p>
        </w:tc>
        <w:tc>
          <w:tcPr>
            <w:tcW w:w="3299" w:type="dxa"/>
          </w:tcPr>
          <w:p w14:paraId="592D5CD5" w14:textId="77777777" w:rsidR="00E456C3" w:rsidRPr="00E456C3" w:rsidRDefault="00E456C3" w:rsidP="00E456C3">
            <w:pPr>
              <w:pStyle w:val="Nagwek"/>
              <w:spacing w:after="0" w:line="240" w:lineRule="auto"/>
              <w:rPr>
                <w:rFonts w:cs="Calibri"/>
                <w:sz w:val="20"/>
                <w:szCs w:val="20"/>
              </w:rPr>
            </w:pPr>
          </w:p>
        </w:tc>
        <w:tc>
          <w:tcPr>
            <w:tcW w:w="2786" w:type="dxa"/>
          </w:tcPr>
          <w:p w14:paraId="3C4F45E6" w14:textId="77777777" w:rsidR="00E456C3" w:rsidRPr="00E456C3" w:rsidRDefault="00E456C3" w:rsidP="00E456C3">
            <w:pPr>
              <w:pStyle w:val="Nagwek"/>
              <w:spacing w:after="0" w:line="240" w:lineRule="auto"/>
              <w:rPr>
                <w:rFonts w:cs="Calibri"/>
                <w:sz w:val="20"/>
                <w:szCs w:val="20"/>
              </w:rPr>
            </w:pPr>
          </w:p>
        </w:tc>
        <w:tc>
          <w:tcPr>
            <w:tcW w:w="1832" w:type="dxa"/>
          </w:tcPr>
          <w:p w14:paraId="48395F52" w14:textId="77777777" w:rsidR="00E456C3" w:rsidRPr="00E456C3" w:rsidRDefault="00E456C3" w:rsidP="00E456C3">
            <w:pPr>
              <w:pStyle w:val="Nagwek"/>
              <w:spacing w:after="0" w:line="240" w:lineRule="auto"/>
              <w:rPr>
                <w:rFonts w:cs="Calibri"/>
                <w:sz w:val="20"/>
                <w:szCs w:val="20"/>
              </w:rPr>
            </w:pPr>
          </w:p>
        </w:tc>
        <w:tc>
          <w:tcPr>
            <w:tcW w:w="1393" w:type="dxa"/>
          </w:tcPr>
          <w:p w14:paraId="5C0AB3AA" w14:textId="77777777" w:rsidR="00E456C3" w:rsidRPr="00E456C3" w:rsidRDefault="00E456C3" w:rsidP="00E456C3">
            <w:pPr>
              <w:pStyle w:val="Nagwek"/>
              <w:spacing w:after="0" w:line="240" w:lineRule="auto"/>
              <w:rPr>
                <w:rFonts w:cs="Calibri"/>
                <w:sz w:val="20"/>
                <w:szCs w:val="20"/>
              </w:rPr>
            </w:pPr>
          </w:p>
        </w:tc>
        <w:tc>
          <w:tcPr>
            <w:tcW w:w="2601" w:type="dxa"/>
          </w:tcPr>
          <w:p w14:paraId="219B69A9" w14:textId="77777777" w:rsidR="00E456C3" w:rsidRPr="00E456C3" w:rsidRDefault="00E456C3" w:rsidP="00E456C3">
            <w:pPr>
              <w:pStyle w:val="Nagwek"/>
              <w:spacing w:after="0" w:line="240" w:lineRule="auto"/>
              <w:rPr>
                <w:rFonts w:cs="Calibri"/>
                <w:sz w:val="20"/>
                <w:szCs w:val="20"/>
              </w:rPr>
            </w:pPr>
          </w:p>
        </w:tc>
      </w:tr>
    </w:tbl>
    <w:p w14:paraId="51C1E314" w14:textId="4BE9924B" w:rsidR="009928CF" w:rsidRPr="00420202" w:rsidRDefault="009928CF" w:rsidP="009928CF">
      <w:pPr>
        <w:pStyle w:val="Nagwek"/>
        <w:rPr>
          <w:rFonts w:ascii="Arial" w:hAnsi="Arial" w:cs="Arial"/>
          <w:sz w:val="32"/>
          <w:szCs w:val="32"/>
        </w:rPr>
      </w:pPr>
    </w:p>
    <w:p w14:paraId="05DBBE5C" w14:textId="77777777" w:rsidR="0037511F" w:rsidRDefault="0037511F" w:rsidP="00BE6D75"/>
    <w:sectPr w:rsidR="0037511F" w:rsidSect="00183852">
      <w:headerReference w:type="default" r:id="rId7"/>
      <w:pgSz w:w="16838" w:h="11906" w:orient="landscape"/>
      <w:pgMar w:top="1418" w:right="737" w:bottom="1418"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267760" w14:textId="77777777" w:rsidR="009928CF" w:rsidRDefault="009928CF" w:rsidP="009928CF">
      <w:pPr>
        <w:spacing w:after="0" w:line="240" w:lineRule="auto"/>
      </w:pPr>
      <w:r>
        <w:separator/>
      </w:r>
    </w:p>
  </w:endnote>
  <w:endnote w:type="continuationSeparator" w:id="0">
    <w:p w14:paraId="62DD494A" w14:textId="77777777" w:rsidR="009928CF" w:rsidRDefault="009928CF" w:rsidP="00992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E79AF" w14:textId="77777777" w:rsidR="009928CF" w:rsidRDefault="009928CF" w:rsidP="009928CF">
      <w:pPr>
        <w:spacing w:after="0" w:line="240" w:lineRule="auto"/>
      </w:pPr>
      <w:r>
        <w:separator/>
      </w:r>
    </w:p>
  </w:footnote>
  <w:footnote w:type="continuationSeparator" w:id="0">
    <w:p w14:paraId="6A5B2634" w14:textId="77777777" w:rsidR="009928CF" w:rsidRDefault="009928CF" w:rsidP="009928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9511A" w14:textId="4D205D98" w:rsidR="009928CF" w:rsidRDefault="009928CF" w:rsidP="009928CF">
    <w:pPr>
      <w:pStyle w:val="Nagwek"/>
      <w:jc w:val="center"/>
      <w:rPr>
        <w:b/>
        <w:bCs/>
        <w:sz w:val="28"/>
        <w:szCs w:val="28"/>
      </w:rPr>
    </w:pPr>
    <w:r w:rsidRPr="009928CF">
      <w:rPr>
        <w:b/>
        <w:bCs/>
        <w:sz w:val="28"/>
        <w:szCs w:val="28"/>
      </w:rPr>
      <w:t>Wykaz prac legislacyjnych Ministra Sprawiedliwości</w:t>
    </w:r>
  </w:p>
  <w:p w14:paraId="784B2B9E" w14:textId="22F48BA6" w:rsidR="009928CF" w:rsidRPr="009928CF" w:rsidRDefault="00401B45" w:rsidP="009928CF">
    <w:pPr>
      <w:pStyle w:val="Nagwek"/>
      <w:jc w:val="center"/>
      <w:rPr>
        <w:b/>
        <w:bCs/>
        <w:sz w:val="28"/>
        <w:szCs w:val="28"/>
      </w:rPr>
    </w:pPr>
    <w:r>
      <w:rPr>
        <w:b/>
        <w:bCs/>
        <w:sz w:val="28"/>
        <w:szCs w:val="28"/>
      </w:rPr>
      <w:t>A</w:t>
    </w:r>
    <w:r w:rsidR="009928CF" w:rsidRPr="009928CF">
      <w:rPr>
        <w:b/>
        <w:bCs/>
        <w:sz w:val="28"/>
        <w:szCs w:val="28"/>
      </w:rPr>
      <w:t xml:space="preserve">. </w:t>
    </w:r>
    <w:r w:rsidRPr="00401B45">
      <w:rPr>
        <w:b/>
        <w:bCs/>
        <w:sz w:val="28"/>
        <w:szCs w:val="28"/>
      </w:rPr>
      <w:t>Projekty rozporządzeń wykonujących nowe lub zmienione upoważnienia ustawowe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7B31CB"/>
    <w:multiLevelType w:val="hybridMultilevel"/>
    <w:tmpl w:val="D84460A4"/>
    <w:lvl w:ilvl="0" w:tplc="0C80CFE2">
      <w:start w:val="1"/>
      <w:numFmt w:val="decimal"/>
      <w:lvlText w:val="%1."/>
      <w:lvlJc w:val="left"/>
      <w:pPr>
        <w:ind w:left="644"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1695621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999"/>
    <w:rsid w:val="00132745"/>
    <w:rsid w:val="00145F32"/>
    <w:rsid w:val="00183852"/>
    <w:rsid w:val="00217999"/>
    <w:rsid w:val="002464B6"/>
    <w:rsid w:val="00275A73"/>
    <w:rsid w:val="0028740A"/>
    <w:rsid w:val="00326E60"/>
    <w:rsid w:val="0036429A"/>
    <w:rsid w:val="0037511F"/>
    <w:rsid w:val="003758D0"/>
    <w:rsid w:val="00401B45"/>
    <w:rsid w:val="00421A2C"/>
    <w:rsid w:val="00526882"/>
    <w:rsid w:val="00531C89"/>
    <w:rsid w:val="00556B44"/>
    <w:rsid w:val="007729AE"/>
    <w:rsid w:val="0079560E"/>
    <w:rsid w:val="008435B0"/>
    <w:rsid w:val="00971BAA"/>
    <w:rsid w:val="009928CF"/>
    <w:rsid w:val="009A61C2"/>
    <w:rsid w:val="009B7153"/>
    <w:rsid w:val="009D3198"/>
    <w:rsid w:val="00A02FCA"/>
    <w:rsid w:val="00A105FB"/>
    <w:rsid w:val="00A61073"/>
    <w:rsid w:val="00A61290"/>
    <w:rsid w:val="00A80996"/>
    <w:rsid w:val="00AA4636"/>
    <w:rsid w:val="00B65442"/>
    <w:rsid w:val="00BC579E"/>
    <w:rsid w:val="00BE6D75"/>
    <w:rsid w:val="00C42CCC"/>
    <w:rsid w:val="00C80714"/>
    <w:rsid w:val="00CA3956"/>
    <w:rsid w:val="00CA6F08"/>
    <w:rsid w:val="00CB7379"/>
    <w:rsid w:val="00CE0B9C"/>
    <w:rsid w:val="00DE454C"/>
    <w:rsid w:val="00DF1ACB"/>
    <w:rsid w:val="00E15A7E"/>
    <w:rsid w:val="00E456C3"/>
    <w:rsid w:val="00E71420"/>
    <w:rsid w:val="00EF5F54"/>
    <w:rsid w:val="00F35B81"/>
    <w:rsid w:val="00FA63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17623"/>
  <w15:chartTrackingRefBased/>
  <w15:docId w15:val="{3C03F176-907E-492B-A067-AA710F638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928CF"/>
    <w:pPr>
      <w:spacing w:after="200" w:line="276" w:lineRule="auto"/>
    </w:pPr>
    <w:rPr>
      <w:rFonts w:ascii="Calibri" w:eastAsia="Calibri" w:hAnsi="Calibri" w:cs="Times New Roman"/>
      <w:kern w:val="0"/>
      <w14:ligatures w14:val="none"/>
    </w:rPr>
  </w:style>
  <w:style w:type="paragraph" w:styleId="Nagwek1">
    <w:name w:val="heading 1"/>
    <w:basedOn w:val="Normalny"/>
    <w:next w:val="Normalny"/>
    <w:link w:val="Nagwek1Znak"/>
    <w:qFormat/>
    <w:rsid w:val="002179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2179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217999"/>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217999"/>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217999"/>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21799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1799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1799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1799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1799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217999"/>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217999"/>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217999"/>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217999"/>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21799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1799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1799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17999"/>
    <w:rPr>
      <w:rFonts w:eastAsiaTheme="majorEastAsia" w:cstheme="majorBidi"/>
      <w:color w:val="272727" w:themeColor="text1" w:themeTint="D8"/>
    </w:rPr>
  </w:style>
  <w:style w:type="paragraph" w:styleId="Tytu">
    <w:name w:val="Title"/>
    <w:basedOn w:val="Normalny"/>
    <w:next w:val="Normalny"/>
    <w:link w:val="TytuZnak"/>
    <w:uiPriority w:val="10"/>
    <w:qFormat/>
    <w:rsid w:val="002179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1799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1799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1799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17999"/>
    <w:pPr>
      <w:spacing w:before="160"/>
      <w:jc w:val="center"/>
    </w:pPr>
    <w:rPr>
      <w:i/>
      <w:iCs/>
      <w:color w:val="404040" w:themeColor="text1" w:themeTint="BF"/>
    </w:rPr>
  </w:style>
  <w:style w:type="character" w:customStyle="1" w:styleId="CytatZnak">
    <w:name w:val="Cytat Znak"/>
    <w:basedOn w:val="Domylnaczcionkaakapitu"/>
    <w:link w:val="Cytat"/>
    <w:uiPriority w:val="29"/>
    <w:rsid w:val="00217999"/>
    <w:rPr>
      <w:i/>
      <w:iCs/>
      <w:color w:val="404040" w:themeColor="text1" w:themeTint="BF"/>
    </w:rPr>
  </w:style>
  <w:style w:type="paragraph" w:styleId="Akapitzlist">
    <w:name w:val="List Paragraph"/>
    <w:basedOn w:val="Normalny"/>
    <w:uiPriority w:val="34"/>
    <w:qFormat/>
    <w:rsid w:val="00217999"/>
    <w:pPr>
      <w:ind w:left="720"/>
      <w:contextualSpacing/>
    </w:pPr>
  </w:style>
  <w:style w:type="character" w:styleId="Wyrnienieintensywne">
    <w:name w:val="Intense Emphasis"/>
    <w:basedOn w:val="Domylnaczcionkaakapitu"/>
    <w:uiPriority w:val="21"/>
    <w:qFormat/>
    <w:rsid w:val="00217999"/>
    <w:rPr>
      <w:i/>
      <w:iCs/>
      <w:color w:val="0F4761" w:themeColor="accent1" w:themeShade="BF"/>
    </w:rPr>
  </w:style>
  <w:style w:type="paragraph" w:styleId="Cytatintensywny">
    <w:name w:val="Intense Quote"/>
    <w:basedOn w:val="Normalny"/>
    <w:next w:val="Normalny"/>
    <w:link w:val="CytatintensywnyZnak"/>
    <w:uiPriority w:val="30"/>
    <w:qFormat/>
    <w:rsid w:val="002179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217999"/>
    <w:rPr>
      <w:i/>
      <w:iCs/>
      <w:color w:val="0F4761" w:themeColor="accent1" w:themeShade="BF"/>
    </w:rPr>
  </w:style>
  <w:style w:type="character" w:styleId="Odwoanieintensywne">
    <w:name w:val="Intense Reference"/>
    <w:basedOn w:val="Domylnaczcionkaakapitu"/>
    <w:uiPriority w:val="32"/>
    <w:qFormat/>
    <w:rsid w:val="00217999"/>
    <w:rPr>
      <w:b/>
      <w:bCs/>
      <w:smallCaps/>
      <w:color w:val="0F4761" w:themeColor="accent1" w:themeShade="BF"/>
      <w:spacing w:val="5"/>
    </w:rPr>
  </w:style>
  <w:style w:type="paragraph" w:styleId="Nagwek">
    <w:name w:val="header"/>
    <w:basedOn w:val="Normalny"/>
    <w:link w:val="NagwekZnak"/>
    <w:uiPriority w:val="99"/>
    <w:unhideWhenUsed/>
    <w:rsid w:val="009928CF"/>
    <w:pPr>
      <w:tabs>
        <w:tab w:val="center" w:pos="4536"/>
        <w:tab w:val="right" w:pos="9072"/>
      </w:tabs>
    </w:pPr>
  </w:style>
  <w:style w:type="character" w:customStyle="1" w:styleId="NagwekZnak">
    <w:name w:val="Nagłówek Znak"/>
    <w:basedOn w:val="Domylnaczcionkaakapitu"/>
    <w:link w:val="Nagwek"/>
    <w:uiPriority w:val="99"/>
    <w:rsid w:val="009928CF"/>
    <w:rPr>
      <w:rFonts w:ascii="Calibri" w:eastAsia="Calibri" w:hAnsi="Calibri" w:cs="Times New Roman"/>
      <w:kern w:val="0"/>
      <w14:ligatures w14:val="none"/>
    </w:rPr>
  </w:style>
  <w:style w:type="paragraph" w:styleId="Stopka">
    <w:name w:val="footer"/>
    <w:basedOn w:val="Normalny"/>
    <w:link w:val="StopkaZnak"/>
    <w:uiPriority w:val="99"/>
    <w:unhideWhenUsed/>
    <w:rsid w:val="009928C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28CF"/>
    <w:rPr>
      <w:rFonts w:ascii="Calibri" w:eastAsia="Calibri" w:hAnsi="Calibri" w:cs="Times New Roman"/>
      <w:kern w:val="0"/>
      <w14:ligatures w14:val="none"/>
    </w:rPr>
  </w:style>
  <w:style w:type="table" w:styleId="Tabela-Siatka">
    <w:name w:val="Table Grid"/>
    <w:basedOn w:val="Standardowy"/>
    <w:uiPriority w:val="39"/>
    <w:rsid w:val="00BE6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5</Pages>
  <Words>987</Words>
  <Characters>5922</Characters>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2024-07-22T10:39:00Z</dcterms:created>
  <dcterms:modified xsi:type="dcterms:W3CDTF">2024-11-15T07:35:00Z</dcterms:modified>
</cp:coreProperties>
</file>