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0639EDD" w:rsidR="008A332F" w:rsidRDefault="00DA534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06868C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E22572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D54C1B" w:rsidR="00CA516B" w:rsidRPr="006F36F8" w:rsidRDefault="006F36F8" w:rsidP="004A532C">
            <w:pPr>
              <w:spacing w:line="276" w:lineRule="auto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F36F8">
              <w:rPr>
                <w:rFonts w:ascii="Arial" w:hAnsi="Arial" w:cs="Arial"/>
                <w:sz w:val="24"/>
                <w:szCs w:val="24"/>
              </w:rPr>
              <w:t>e-CzasPL- system niezawodnej i wiarygodnej dystrybucji czasu urzędowego na obszarze RP</w:t>
            </w:r>
            <w:r w:rsidRPr="006F36F8">
              <w:rPr>
                <w:rFonts w:ascii="Arial" w:eastAsiaTheme="minorEastAsia" w:hAnsi="Arial" w:cs="Arial"/>
                <w:b/>
                <w:bCs/>
                <w:sz w:val="24"/>
                <w:szCs w:val="24"/>
              </w:rPr>
              <w:t>”</w:t>
            </w:r>
          </w:p>
        </w:tc>
      </w:tr>
      <w:tr w:rsidR="00CA516B" w:rsidRPr="002B50C0" w14:paraId="05B59807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65CD0A" w:rsidR="00CA516B" w:rsidRPr="00141A92" w:rsidRDefault="00A17AD3" w:rsidP="00A17A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7AD3">
              <w:rPr>
                <w:rFonts w:ascii="Arial" w:hAnsi="Arial" w:cs="Arial"/>
                <w:sz w:val="24"/>
                <w:szCs w:val="24"/>
              </w:rPr>
              <w:t>Minister Rozwoju, Pracy i Technologii</w:t>
            </w:r>
          </w:p>
        </w:tc>
      </w:tr>
      <w:tr w:rsidR="00CA516B" w:rsidRPr="0030196F" w14:paraId="719B01E2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6822BC" w:rsidRDefault="006F36F8" w:rsidP="004A532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Główny Urząd Miar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B333AC6" w:rsidR="00CA516B" w:rsidRPr="00D55883" w:rsidRDefault="00C85AF2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D55883">
              <w:rPr>
                <w:rFonts w:ascii="Arial" w:hAnsi="Arial" w:cs="Arial"/>
                <w:iCs/>
                <w:sz w:val="18"/>
                <w:szCs w:val="18"/>
              </w:rPr>
              <w:t>___________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E23CE4" w:rsidRDefault="00E23CE4" w:rsidP="009D2F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 xml:space="preserve">Budżet państwa: część budżetowa - 64 </w:t>
            </w:r>
          </w:p>
          <w:p w14:paraId="55582688" w14:textId="60F7A4BA" w:rsidR="00CA516B" w:rsidRPr="00141A92" w:rsidRDefault="00E23CE4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>Budżet środków europejskich: Program Operacyjny Polska Cyfrowa II oś priorytetowa E-administracja i otwarty rząd Działanie 2.1 „Wysoka dostępność i jakość e-usług p</w:t>
            </w:r>
            <w:r w:rsidRPr="00E23CE4">
              <w:rPr>
                <w:rFonts w:ascii="Arial" w:hAnsi="Arial" w:cs="Arial"/>
                <w:sz w:val="24"/>
                <w:szCs w:val="24"/>
              </w:rPr>
              <w:t>u</w:t>
            </w:r>
            <w:r w:rsidRPr="00E23CE4">
              <w:rPr>
                <w:rFonts w:ascii="Arial" w:hAnsi="Arial" w:cs="Arial"/>
                <w:sz w:val="24"/>
                <w:szCs w:val="24"/>
              </w:rPr>
              <w:t>blicznych"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D51B9C2" w:rsidR="00CA516B" w:rsidRPr="004A532C" w:rsidRDefault="004A532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11 898 429,00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78149C0" w:rsidR="005212C8" w:rsidRPr="004A532C" w:rsidRDefault="004A532C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11 898 429,00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A270" w14:textId="578B4147" w:rsidR="00E23CE4" w:rsidRPr="00E23CE4" w:rsidRDefault="00E23CE4" w:rsidP="00E23CE4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B41459" w14:textId="47627860" w:rsidR="00E23CE4" w:rsidRPr="00E23CE4" w:rsidRDefault="00E23CE4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 xml:space="preserve">data rozpoczęcia realizacji projektu: </w:t>
            </w:r>
            <w:r w:rsidR="00C85AF2">
              <w:rPr>
                <w:rFonts w:ascii="Arial" w:hAnsi="Arial" w:cs="Arial"/>
                <w:sz w:val="24"/>
                <w:szCs w:val="24"/>
              </w:rPr>
              <w:t>0</w:t>
            </w:r>
            <w:r w:rsidRPr="00E23CE4">
              <w:rPr>
                <w:rFonts w:ascii="Arial" w:hAnsi="Arial" w:cs="Arial"/>
                <w:sz w:val="24"/>
                <w:szCs w:val="24"/>
              </w:rPr>
              <w:t>1.0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23CE4">
              <w:rPr>
                <w:rFonts w:ascii="Arial" w:hAnsi="Arial" w:cs="Arial"/>
                <w:sz w:val="24"/>
                <w:szCs w:val="24"/>
              </w:rPr>
              <w:t>.20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  <w:p w14:paraId="50945D56" w14:textId="10797B0C" w:rsidR="00CA516B" w:rsidRDefault="00E23CE4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 xml:space="preserve">data zakończenia realizacji projektu: </w:t>
            </w:r>
            <w:r w:rsidR="0047542D">
              <w:rPr>
                <w:rFonts w:ascii="Arial" w:hAnsi="Arial" w:cs="Arial"/>
                <w:sz w:val="24"/>
                <w:szCs w:val="24"/>
              </w:rPr>
              <w:t>29</w:t>
            </w:r>
            <w:r w:rsidRPr="00E23CE4">
              <w:rPr>
                <w:rFonts w:ascii="Arial" w:hAnsi="Arial" w:cs="Arial"/>
                <w:sz w:val="24"/>
                <w:szCs w:val="24"/>
              </w:rPr>
              <w:t>.06.20</w:t>
            </w: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  <w:p w14:paraId="1F722459" w14:textId="512726DB" w:rsidR="00C363F7" w:rsidRDefault="00C363F7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C363F7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C794E">
              <w:rPr>
                <w:rFonts w:ascii="Arial" w:hAnsi="Arial" w:cs="Arial"/>
                <w:sz w:val="24"/>
                <w:szCs w:val="24"/>
              </w:rPr>
              <w:t xml:space="preserve">pierwotna </w:t>
            </w:r>
            <w:r w:rsidRPr="00C363F7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  <w:r w:rsidR="00FC794E">
              <w:rPr>
                <w:rFonts w:ascii="Arial" w:hAnsi="Arial" w:cs="Arial"/>
                <w:sz w:val="24"/>
                <w:szCs w:val="24"/>
              </w:rPr>
              <w:t xml:space="preserve"> (sprzed zmiany)</w:t>
            </w:r>
            <w:r w:rsidRPr="00C363F7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>31.03.2023</w:t>
            </w:r>
          </w:p>
          <w:p w14:paraId="55CE9679" w14:textId="19EB63DA" w:rsidR="00573BED" w:rsidRPr="00D330AF" w:rsidRDefault="00573BED" w:rsidP="00E23CE4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(W ramach </w:t>
            </w:r>
            <w:r w:rsidRPr="00AD28EC">
              <w:rPr>
                <w:rFonts w:ascii="Arial" w:hAnsi="Arial" w:cs="Arial"/>
                <w:sz w:val="18"/>
                <w:szCs w:val="20"/>
              </w:rPr>
              <w:t>realizacji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 e-CzasPL 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dni.)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4D90EE5" w:rsidR="004C1D48" w:rsidRPr="00AD28E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D28EC">
        <w:rPr>
          <w:rFonts w:ascii="Arial" w:hAnsi="Arial" w:cs="Arial"/>
          <w:color w:val="auto"/>
        </w:rPr>
        <w:t xml:space="preserve"> </w:t>
      </w:r>
      <w:r w:rsidR="00F2008A" w:rsidRPr="00AD28EC">
        <w:rPr>
          <w:rFonts w:ascii="Arial" w:hAnsi="Arial" w:cs="Arial"/>
          <w:color w:val="auto"/>
        </w:rPr>
        <w:tab/>
      </w:r>
      <w:r w:rsidR="000C32FA" w:rsidRPr="00AD28EC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AD28EC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31681A8" w:rsidR="00907F6D" w:rsidRPr="00AD28EC" w:rsidRDefault="007738BB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23,08</w:t>
            </w:r>
            <w:r w:rsidR="00836502" w:rsidRPr="00AD28EC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622FFD33" w:rsidR="006948D3" w:rsidRPr="00D330AF" w:rsidRDefault="007738BB" w:rsidP="00D330A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2,04</w:t>
            </w:r>
            <w:r w:rsidR="00836502" w:rsidRPr="00D330A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AC79DA7" w14:textId="37E4FDA6" w:rsidR="00071880" w:rsidRDefault="0064641A" w:rsidP="00DA534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7738BB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D26BC4">
              <w:rPr>
                <w:rFonts w:ascii="Arial" w:hAnsi="Arial" w:cs="Arial"/>
                <w:sz w:val="18"/>
                <w:szCs w:val="20"/>
              </w:rPr>
              <w:t>6</w:t>
            </w:r>
            <w:r w:rsidR="0047542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330A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C2F5EFF" w14:textId="61C2F65E" w:rsidR="00D330AF" w:rsidRPr="00D330AF" w:rsidRDefault="00D330AF" w:rsidP="00D330A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Nie dotyczy</w:t>
            </w:r>
          </w:p>
          <w:p w14:paraId="4929DAC9" w14:textId="77D5919E" w:rsidR="00907F6D" w:rsidRPr="00AD28EC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7DB1369C" w14:textId="087AFD77" w:rsidR="00D330AF" w:rsidRPr="00321711" w:rsidRDefault="0064641A" w:rsidP="0064641A">
            <w:pPr>
              <w:pStyle w:val="Akapitzlis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2</w:t>
            </w:r>
            <w:r w:rsidR="00FE25BD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D26BC4">
              <w:rPr>
                <w:rFonts w:ascii="Arial" w:hAnsi="Arial" w:cs="Arial"/>
                <w:sz w:val="18"/>
                <w:szCs w:val="20"/>
              </w:rPr>
              <w:t>6</w:t>
            </w:r>
            <w:r w:rsidR="00321711" w:rsidRPr="0032171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330AF" w:rsidRPr="00321711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36FD5E21" w:rsidR="00907F6D" w:rsidRPr="00AD28EC" w:rsidRDefault="00907F6D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0DEBC408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28CC2493" w14:textId="22B77F85" w:rsidR="00E9234B" w:rsidRPr="009264CB" w:rsidRDefault="00E9234B" w:rsidP="009264CB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UWAGA: W ramach </w:t>
      </w:r>
      <w:r w:rsidRPr="00AD28EC">
        <w:rPr>
          <w:rFonts w:ascii="Arial" w:hAnsi="Arial" w:cs="Arial"/>
          <w:sz w:val="18"/>
          <w:szCs w:val="20"/>
        </w:rPr>
        <w:t>realizacji</w:t>
      </w:r>
      <w:r>
        <w:rPr>
          <w:rFonts w:ascii="Arial" w:hAnsi="Arial" w:cs="Arial"/>
          <w:sz w:val="18"/>
          <w:szCs w:val="20"/>
        </w:rPr>
        <w:t xml:space="preserve"> projektu e-CzasPL </w:t>
      </w:r>
      <w:r w:rsidRPr="00AD28EC">
        <w:rPr>
          <w:rFonts w:ascii="Arial" w:hAnsi="Arial" w:cs="Arial"/>
          <w:sz w:val="18"/>
          <w:szCs w:val="20"/>
        </w:rPr>
        <w:t xml:space="preserve">Główny Urząd Miar zwrócił się do </w:t>
      </w:r>
      <w:r>
        <w:rPr>
          <w:rFonts w:ascii="Arial" w:hAnsi="Arial" w:cs="Arial"/>
          <w:sz w:val="18"/>
          <w:szCs w:val="20"/>
        </w:rPr>
        <w:t>I</w:t>
      </w:r>
      <w:r w:rsidRPr="00AD28EC">
        <w:rPr>
          <w:rFonts w:ascii="Arial" w:hAnsi="Arial" w:cs="Arial"/>
          <w:sz w:val="18"/>
          <w:szCs w:val="20"/>
        </w:rPr>
        <w:t xml:space="preserve">nstytucji Pośredniczącej </w:t>
      </w:r>
      <w:r>
        <w:rPr>
          <w:rFonts w:ascii="Arial" w:hAnsi="Arial" w:cs="Arial"/>
          <w:sz w:val="18"/>
          <w:szCs w:val="20"/>
        </w:rPr>
        <w:t>z prośbą o przesunięcie terminu realizacji projektu. Zgodnie z obowiązującymi przepisami Ustawy COVID-19 termin zakończenia realizacji projektu został przesunięty o 90 dni. Następstwem uzyskania zgody jest konsekwentne przesuniecie terminów osiągniecia wsz</w:t>
      </w:r>
      <w:r w:rsidR="00CC03F2">
        <w:rPr>
          <w:rFonts w:ascii="Arial" w:hAnsi="Arial" w:cs="Arial"/>
          <w:sz w:val="18"/>
          <w:szCs w:val="20"/>
        </w:rPr>
        <w:t>ystkich</w:t>
      </w:r>
      <w:r>
        <w:rPr>
          <w:rFonts w:ascii="Arial" w:hAnsi="Arial" w:cs="Arial"/>
          <w:sz w:val="18"/>
          <w:szCs w:val="20"/>
        </w:rPr>
        <w:t xml:space="preserve"> kamieni milowych w projekcie o 3 miesiące.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405"/>
        <w:gridCol w:w="1239"/>
        <w:gridCol w:w="1328"/>
        <w:gridCol w:w="1417"/>
        <w:gridCol w:w="3250"/>
      </w:tblGrid>
      <w:tr w:rsidR="004350B8" w:rsidRPr="002B50C0" w14:paraId="55961592" w14:textId="77777777" w:rsidTr="00D55883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2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lowego</w:t>
            </w:r>
          </w:p>
        </w:tc>
      </w:tr>
      <w:tr w:rsidR="00C85AF2" w:rsidRPr="002B50C0" w14:paraId="3B9A3DA2" w14:textId="77777777" w:rsidTr="00D55883">
        <w:tc>
          <w:tcPr>
            <w:tcW w:w="2410" w:type="dxa"/>
          </w:tcPr>
          <w:p w14:paraId="16E25BA3" w14:textId="273B3B4E" w:rsidR="00C85AF2" w:rsidRPr="00141A92" w:rsidRDefault="00C85AF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Zakończenie postępowania przetargowego na specjal</w:t>
            </w:r>
            <w:r w:rsidRPr="00AD28EC"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>styczny sprzęt do gener</w:t>
            </w:r>
            <w:r w:rsidRPr="00AD28EC">
              <w:rPr>
                <w:rFonts w:ascii="Arial" w:hAnsi="Arial" w:cs="Arial"/>
                <w:sz w:val="18"/>
                <w:szCs w:val="20"/>
              </w:rPr>
              <w:t>o</w:t>
            </w:r>
            <w:r w:rsidRPr="00AD28EC">
              <w:rPr>
                <w:rFonts w:ascii="Arial" w:hAnsi="Arial" w:cs="Arial"/>
                <w:sz w:val="18"/>
                <w:szCs w:val="20"/>
              </w:rPr>
              <w:t>wania i dystrybucji czasu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05240" w14:textId="2BFF8F9F" w:rsidR="00C85AF2" w:rsidRPr="001E595C" w:rsidRDefault="006D5034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KPI1</w:t>
            </w:r>
          </w:p>
          <w:p w14:paraId="7123EAF3" w14:textId="072B4D5D" w:rsidR="006D5034" w:rsidRPr="001E595C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</w:t>
            </w:r>
          </w:p>
          <w:p w14:paraId="04E241AD" w14:textId="617A5A8A" w:rsidR="006D5034" w:rsidRPr="001E595C" w:rsidRDefault="006D5034" w:rsidP="002372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76FE4BEE" w14:textId="4026ECDD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02-2021</w:t>
            </w:r>
          </w:p>
        </w:tc>
        <w:tc>
          <w:tcPr>
            <w:tcW w:w="1417" w:type="dxa"/>
          </w:tcPr>
          <w:p w14:paraId="14B3F19C" w14:textId="44E5D4DC" w:rsidR="00C85AF2" w:rsidRPr="00AD28EC" w:rsidRDefault="00C85AF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260" w:type="dxa"/>
            <w:vAlign w:val="center"/>
          </w:tcPr>
          <w:p w14:paraId="61757FAB" w14:textId="1A9F3B8C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69BC1DDB" w14:textId="64D0B2E7" w:rsidR="00E9234B" w:rsidRDefault="00E9234B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Zespół projektowy </w:t>
            </w:r>
            <w:r w:rsidRPr="00E9234B">
              <w:rPr>
                <w:rFonts w:ascii="Arial" w:hAnsi="Arial" w:cs="Arial"/>
                <w:sz w:val="18"/>
                <w:szCs w:val="20"/>
              </w:rPr>
              <w:t>zakończył prace obejmujące analizy związane z wyb</w:t>
            </w:r>
            <w:r w:rsidRPr="00E9234B">
              <w:rPr>
                <w:rFonts w:ascii="Arial" w:hAnsi="Arial" w:cs="Arial"/>
                <w:sz w:val="18"/>
                <w:szCs w:val="20"/>
              </w:rPr>
              <w:t>o</w:t>
            </w:r>
            <w:r w:rsidRPr="00E9234B">
              <w:rPr>
                <w:rFonts w:ascii="Arial" w:hAnsi="Arial" w:cs="Arial"/>
                <w:sz w:val="18"/>
                <w:szCs w:val="20"/>
              </w:rPr>
              <w:t>rem najbardziej optymalnej technol</w:t>
            </w:r>
            <w:r w:rsidRPr="00E9234B">
              <w:rPr>
                <w:rFonts w:ascii="Arial" w:hAnsi="Arial" w:cs="Arial"/>
                <w:sz w:val="18"/>
                <w:szCs w:val="20"/>
              </w:rPr>
              <w:t>o</w:t>
            </w:r>
            <w:r w:rsidRPr="00E9234B">
              <w:rPr>
                <w:rFonts w:ascii="Arial" w:hAnsi="Arial" w:cs="Arial"/>
                <w:sz w:val="18"/>
                <w:szCs w:val="20"/>
              </w:rPr>
              <w:t>gii wpisującej się w założenia tec</w:t>
            </w:r>
            <w:r w:rsidRPr="00E9234B">
              <w:rPr>
                <w:rFonts w:ascii="Arial" w:hAnsi="Arial" w:cs="Arial"/>
                <w:sz w:val="18"/>
                <w:szCs w:val="20"/>
              </w:rPr>
              <w:t>h</w:t>
            </w:r>
            <w:r w:rsidRPr="00E9234B">
              <w:rPr>
                <w:rFonts w:ascii="Arial" w:hAnsi="Arial" w:cs="Arial"/>
                <w:sz w:val="18"/>
                <w:szCs w:val="20"/>
              </w:rPr>
              <w:t>niczne dot. nabywanego sprzętu opisane w Studium Wykonalności projektu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E9234B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E9234B">
              <w:rPr>
                <w:rFonts w:ascii="Arial" w:hAnsi="Arial" w:cs="Arial"/>
                <w:sz w:val="18"/>
                <w:szCs w:val="20"/>
              </w:rPr>
              <w:t>yniki prac zostały zebrane w formie raportu z badań dostępnych rozwiązań.</w:t>
            </w:r>
            <w:r w:rsidR="001B4C59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5648A2CC" w14:textId="24DA681F" w:rsidR="00C948F8" w:rsidRPr="00AD28EC" w:rsidRDefault="008466BF" w:rsidP="00E9234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31.12.2020 </w:t>
            </w:r>
            <w:r w:rsidR="001B4C59">
              <w:rPr>
                <w:rFonts w:ascii="Arial" w:hAnsi="Arial" w:cs="Arial"/>
                <w:sz w:val="18"/>
                <w:szCs w:val="20"/>
              </w:rPr>
              <w:t>opublikowano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B4C59">
              <w:rPr>
                <w:rFonts w:ascii="Arial" w:hAnsi="Arial" w:cs="Arial"/>
                <w:sz w:val="18"/>
                <w:szCs w:val="20"/>
              </w:rPr>
              <w:t>dokume</w:t>
            </w:r>
            <w:r w:rsidR="001B4C59">
              <w:rPr>
                <w:rFonts w:ascii="Arial" w:hAnsi="Arial" w:cs="Arial"/>
                <w:sz w:val="18"/>
                <w:szCs w:val="20"/>
              </w:rPr>
              <w:t>n</w:t>
            </w:r>
            <w:r w:rsidR="001B4C59">
              <w:rPr>
                <w:rFonts w:ascii="Arial" w:hAnsi="Arial" w:cs="Arial"/>
                <w:sz w:val="18"/>
                <w:szCs w:val="20"/>
              </w:rPr>
              <w:t xml:space="preserve">tację </w:t>
            </w:r>
            <w:r w:rsidR="00407B0B">
              <w:rPr>
                <w:rFonts w:ascii="Arial" w:hAnsi="Arial" w:cs="Arial"/>
                <w:sz w:val="18"/>
                <w:szCs w:val="20"/>
              </w:rPr>
              <w:t>związaną z zamówieniem p</w:t>
            </w:r>
            <w:r w:rsidR="00407B0B">
              <w:rPr>
                <w:rFonts w:ascii="Arial" w:hAnsi="Arial" w:cs="Arial"/>
                <w:sz w:val="18"/>
                <w:szCs w:val="20"/>
              </w:rPr>
              <w:t>u</w:t>
            </w:r>
            <w:r w:rsidR="00407B0B">
              <w:rPr>
                <w:rFonts w:ascii="Arial" w:hAnsi="Arial" w:cs="Arial"/>
                <w:sz w:val="18"/>
                <w:szCs w:val="20"/>
              </w:rPr>
              <w:t>blicznym</w:t>
            </w:r>
            <w:r>
              <w:rPr>
                <w:rFonts w:ascii="Arial" w:hAnsi="Arial" w:cs="Arial"/>
                <w:sz w:val="18"/>
                <w:szCs w:val="20"/>
              </w:rPr>
              <w:t xml:space="preserve"> na </w:t>
            </w:r>
            <w:r w:rsidRPr="008466BF">
              <w:rPr>
                <w:rFonts w:ascii="Arial" w:hAnsi="Arial" w:cs="Arial"/>
                <w:sz w:val="18"/>
                <w:szCs w:val="20"/>
              </w:rPr>
              <w:t>Dostaw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 w:rsidRPr="008466BF">
              <w:rPr>
                <w:rFonts w:ascii="Arial" w:hAnsi="Arial" w:cs="Arial"/>
                <w:sz w:val="18"/>
                <w:szCs w:val="20"/>
              </w:rPr>
              <w:t xml:space="preserve"> infrastruktury specjalistycznej – aktywnego masera wodorowego, atomowych wzorców częstotliwości (zegarów), precyzyjn</w:t>
            </w:r>
            <w:r w:rsidRPr="008466BF">
              <w:rPr>
                <w:rFonts w:ascii="Arial" w:hAnsi="Arial" w:cs="Arial"/>
                <w:sz w:val="18"/>
                <w:szCs w:val="20"/>
              </w:rPr>
              <w:t>e</w:t>
            </w:r>
            <w:r w:rsidRPr="008466BF">
              <w:rPr>
                <w:rFonts w:ascii="Arial" w:hAnsi="Arial" w:cs="Arial"/>
                <w:sz w:val="18"/>
                <w:szCs w:val="20"/>
              </w:rPr>
              <w:t>go przesuwnika częstotliwości, dy</w:t>
            </w:r>
            <w:r w:rsidRPr="008466BF">
              <w:rPr>
                <w:rFonts w:ascii="Arial" w:hAnsi="Arial" w:cs="Arial"/>
                <w:sz w:val="18"/>
                <w:szCs w:val="20"/>
              </w:rPr>
              <w:t>s</w:t>
            </w:r>
            <w:r w:rsidRPr="008466BF">
              <w:rPr>
                <w:rFonts w:ascii="Arial" w:hAnsi="Arial" w:cs="Arial"/>
                <w:sz w:val="18"/>
                <w:szCs w:val="20"/>
              </w:rPr>
              <w:t>trybutorów częstotliwości.</w:t>
            </w:r>
          </w:p>
        </w:tc>
      </w:tr>
      <w:tr w:rsidR="00C85AF2" w:rsidRPr="002B50C0" w14:paraId="510AD042" w14:textId="77777777" w:rsidTr="00D55883">
        <w:tc>
          <w:tcPr>
            <w:tcW w:w="2410" w:type="dxa"/>
          </w:tcPr>
          <w:p w14:paraId="0B502785" w14:textId="33BB78F3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procedury wyboru wykonawcy Sy</w:t>
            </w:r>
            <w:r w:rsidRPr="008F5402">
              <w:rPr>
                <w:rFonts w:ascii="Arial" w:hAnsi="Arial" w:cs="Arial"/>
                <w:sz w:val="18"/>
                <w:szCs w:val="20"/>
              </w:rPr>
              <w:t>s</w:t>
            </w:r>
            <w:r w:rsidRPr="008F5402">
              <w:rPr>
                <w:rFonts w:ascii="Arial" w:hAnsi="Arial" w:cs="Arial"/>
                <w:sz w:val="18"/>
                <w:szCs w:val="20"/>
              </w:rPr>
              <w:t>temu Dystrybucji Czasu za pomocą kodowanych s</w:t>
            </w:r>
            <w:r w:rsidRPr="008F5402">
              <w:rPr>
                <w:rFonts w:ascii="Arial" w:hAnsi="Arial" w:cs="Arial"/>
                <w:sz w:val="18"/>
                <w:szCs w:val="20"/>
              </w:rPr>
              <w:t>y</w:t>
            </w:r>
            <w:r w:rsidRPr="008F5402">
              <w:rPr>
                <w:rFonts w:ascii="Arial" w:hAnsi="Arial" w:cs="Arial"/>
                <w:sz w:val="18"/>
                <w:szCs w:val="20"/>
              </w:rPr>
              <w:t>gnałów radiowych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B23E" w14:textId="221DF353" w:rsidR="006D5034" w:rsidRPr="001E595C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KPI1</w:t>
            </w:r>
          </w:p>
          <w:p w14:paraId="1D08C3E1" w14:textId="367E6F81" w:rsidR="00C85AF2" w:rsidRPr="001E595C" w:rsidRDefault="006D5034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</w:t>
            </w:r>
          </w:p>
        </w:tc>
        <w:tc>
          <w:tcPr>
            <w:tcW w:w="1328" w:type="dxa"/>
          </w:tcPr>
          <w:p w14:paraId="744F48CE" w14:textId="2852E63F" w:rsidR="00C85AF2" w:rsidRPr="00AD28EC" w:rsidRDefault="00C85AF2" w:rsidP="0023727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04-2021</w:t>
            </w:r>
          </w:p>
        </w:tc>
        <w:tc>
          <w:tcPr>
            <w:tcW w:w="1417" w:type="dxa"/>
          </w:tcPr>
          <w:p w14:paraId="20A8FE46" w14:textId="511E0B4F" w:rsidR="00C85AF2" w:rsidRPr="00AD28EC" w:rsidRDefault="00C85AF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260" w:type="dxa"/>
          </w:tcPr>
          <w:p w14:paraId="0C7A8FCD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0E2F8B97" w14:textId="331E120F" w:rsidR="00C948F8" w:rsidRPr="00AD28EC" w:rsidRDefault="00C948F8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We </w:t>
            </w:r>
            <w:r w:rsidRPr="00C948F8">
              <w:rPr>
                <w:rFonts w:ascii="Arial" w:hAnsi="Arial" w:cs="Arial"/>
                <w:sz w:val="18"/>
                <w:szCs w:val="20"/>
              </w:rPr>
              <w:t>wrześni</w:t>
            </w:r>
            <w:r w:rsidR="00E9234B">
              <w:rPr>
                <w:rFonts w:ascii="Arial" w:hAnsi="Arial" w:cs="Arial"/>
                <w:sz w:val="18"/>
                <w:szCs w:val="20"/>
              </w:rPr>
              <w:t>u</w:t>
            </w:r>
            <w:r w:rsidR="00407B0B">
              <w:rPr>
                <w:rFonts w:ascii="Arial" w:hAnsi="Arial" w:cs="Arial"/>
                <w:sz w:val="18"/>
                <w:szCs w:val="20"/>
              </w:rPr>
              <w:t xml:space="preserve"> 2020 r.</w:t>
            </w:r>
            <w:r w:rsidRPr="00C948F8">
              <w:rPr>
                <w:rFonts w:ascii="Arial" w:hAnsi="Arial" w:cs="Arial"/>
                <w:sz w:val="18"/>
                <w:szCs w:val="20"/>
              </w:rPr>
              <w:t xml:space="preserve"> uruchomiono Dialog Techniczny</w:t>
            </w:r>
            <w:r w:rsidR="00E9234B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W ramach dialogu finalizowany jest szczegółowy opis specyfikacji technicznej przedmiotu zamówienia oraz opracowywane są warunki realizacji zamówienia, które będą ujęte w projekcie umowy. Op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u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blikowanie dokumentacji związanej z zamówieniem publicznym zaplan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o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wano na I kwartał 2021 roku. Niez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a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leżni</w:t>
            </w:r>
            <w:r w:rsidR="006800D7">
              <w:rPr>
                <w:rFonts w:ascii="Arial" w:hAnsi="Arial" w:cs="Arial"/>
                <w:sz w:val="18"/>
                <w:szCs w:val="20"/>
              </w:rPr>
              <w:t>e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 xml:space="preserve"> od działań w ramach dialogu, kadra merytoryczna skupia się na przeprowadzaniu ustaleń i proced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o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waniu szczegółów technicznych p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o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rozumień z kluczowymi interesari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u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szami, którzy mają wpływ na uruch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o</w:t>
            </w:r>
            <w:r w:rsidR="001B4C59" w:rsidRPr="001B4C59">
              <w:rPr>
                <w:rFonts w:ascii="Arial" w:hAnsi="Arial" w:cs="Arial"/>
                <w:sz w:val="18"/>
                <w:szCs w:val="20"/>
              </w:rPr>
              <w:t>mienie usługi.</w:t>
            </w:r>
          </w:p>
        </w:tc>
      </w:tr>
      <w:tr w:rsidR="00C85AF2" w:rsidRPr="002B50C0" w14:paraId="67B64372" w14:textId="77777777" w:rsidTr="00D55883">
        <w:tc>
          <w:tcPr>
            <w:tcW w:w="2410" w:type="dxa"/>
          </w:tcPr>
          <w:p w14:paraId="49B52026" w14:textId="5C00921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Zakup i instalacja Infr</w:t>
            </w:r>
            <w:r w:rsidRPr="008F5402">
              <w:rPr>
                <w:rFonts w:ascii="Arial" w:hAnsi="Arial" w:cs="Arial"/>
                <w:sz w:val="18"/>
                <w:szCs w:val="20"/>
              </w:rPr>
              <w:t>a</w:t>
            </w:r>
            <w:r w:rsidRPr="008F5402">
              <w:rPr>
                <w:rFonts w:ascii="Arial" w:hAnsi="Arial" w:cs="Arial"/>
                <w:sz w:val="18"/>
                <w:szCs w:val="20"/>
              </w:rPr>
              <w:t>struktury sieciowo-serwerowej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ABD8B" w14:textId="6F703D0E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</w:t>
            </w:r>
            <w:r w:rsidR="008B4E0D">
              <w:rPr>
                <w:rFonts w:ascii="Arial" w:hAnsi="Arial" w:cs="Arial"/>
                <w:sz w:val="18"/>
                <w:szCs w:val="20"/>
              </w:rPr>
              <w:t>1</w:t>
            </w:r>
          </w:p>
          <w:p w14:paraId="210251BC" w14:textId="2B8868FA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KPI2</w:t>
            </w:r>
            <w:r w:rsidR="00207BF2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(10)</w:t>
            </w:r>
          </w:p>
          <w:p w14:paraId="10D07283" w14:textId="34600141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KPI3</w:t>
            </w:r>
          </w:p>
          <w:p w14:paraId="635C3899" w14:textId="013E1F6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KPI4</w:t>
            </w:r>
            <w:r w:rsidR="008B4E0D">
              <w:rPr>
                <w:rFonts w:ascii="Arial" w:hAnsi="Arial" w:cs="Arial"/>
                <w:sz w:val="18"/>
                <w:szCs w:val="20"/>
              </w:rPr>
              <w:t xml:space="preserve"> (3)</w:t>
            </w:r>
          </w:p>
          <w:p w14:paraId="63F439DE" w14:textId="4030AD4E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KPI5</w:t>
            </w:r>
            <w:r w:rsidR="008B4E0D">
              <w:rPr>
                <w:rFonts w:ascii="Arial" w:hAnsi="Arial" w:cs="Arial"/>
                <w:sz w:val="18"/>
                <w:szCs w:val="20"/>
              </w:rPr>
              <w:t xml:space="preserve"> (3)</w:t>
            </w:r>
          </w:p>
          <w:p w14:paraId="4AD109E6" w14:textId="2039DE98" w:rsidR="006D5034" w:rsidRPr="001E595C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</w:t>
            </w:r>
          </w:p>
          <w:p w14:paraId="1D50905B" w14:textId="2B3012BE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KPI7</w:t>
            </w:r>
            <w:r w:rsidR="00207BF2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(3,2)</w:t>
            </w:r>
          </w:p>
          <w:p w14:paraId="449F3157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2A34A0C9" w14:textId="6708E919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09-2021</w:t>
            </w:r>
          </w:p>
        </w:tc>
        <w:tc>
          <w:tcPr>
            <w:tcW w:w="1417" w:type="dxa"/>
          </w:tcPr>
          <w:p w14:paraId="4009121E" w14:textId="357A6372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B11F20">
              <w:t>Nie dotyczy</w:t>
            </w:r>
          </w:p>
        </w:tc>
        <w:tc>
          <w:tcPr>
            <w:tcW w:w="3260" w:type="dxa"/>
          </w:tcPr>
          <w:p w14:paraId="648C831C" w14:textId="77777777" w:rsidR="00DA534C" w:rsidRDefault="00DA534C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3708CD3C" w14:textId="4B37AEA7" w:rsidR="00C85AF2" w:rsidRPr="00AD28EC" w:rsidRDefault="00CC03F2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We </w:t>
            </w:r>
            <w:r w:rsidRPr="00C948F8">
              <w:rPr>
                <w:rFonts w:ascii="Arial" w:hAnsi="Arial" w:cs="Arial"/>
                <w:sz w:val="18"/>
                <w:szCs w:val="20"/>
              </w:rPr>
              <w:t>wrześni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C948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07B0B">
              <w:rPr>
                <w:rFonts w:ascii="Arial" w:hAnsi="Arial" w:cs="Arial"/>
                <w:sz w:val="18"/>
                <w:szCs w:val="20"/>
              </w:rPr>
              <w:t xml:space="preserve">2020 r. </w:t>
            </w:r>
            <w:r w:rsidRPr="00C948F8">
              <w:rPr>
                <w:rFonts w:ascii="Arial" w:hAnsi="Arial" w:cs="Arial"/>
                <w:sz w:val="18"/>
                <w:szCs w:val="20"/>
              </w:rPr>
              <w:t>uruchomiono Dialog Techniczny</w:t>
            </w:r>
            <w:r w:rsidR="00407B0B">
              <w:rPr>
                <w:rFonts w:ascii="Arial" w:hAnsi="Arial" w:cs="Arial"/>
                <w:sz w:val="18"/>
                <w:szCs w:val="20"/>
              </w:rPr>
              <w:t xml:space="preserve"> prowadzony ró</w:t>
            </w:r>
            <w:r w:rsidR="00407B0B">
              <w:rPr>
                <w:rFonts w:ascii="Arial" w:hAnsi="Arial" w:cs="Arial"/>
                <w:sz w:val="18"/>
                <w:szCs w:val="20"/>
              </w:rPr>
              <w:t>w</w:t>
            </w:r>
            <w:r w:rsidR="00407B0B">
              <w:rPr>
                <w:rFonts w:ascii="Arial" w:hAnsi="Arial" w:cs="Arial"/>
                <w:sz w:val="18"/>
                <w:szCs w:val="20"/>
              </w:rPr>
              <w:t xml:space="preserve">nolegle do dialogu związanego z częścią radiową. 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 xml:space="preserve">W ramach dialogu finalizowany jest szczegółowy opis specyfikacji technicznej przedmiotu zamówienia oraz opracowywane są warunki realizacji zamówienia, które 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lastRenderedPageBreak/>
              <w:t>będą ujęte w projekcie umowy. Niez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a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leżnie od dialogu technicznego kadra merytoryczna przystąpiła do pilot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a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żowego uruchomienia wersji testowej usługi dystrybucji czasu z wykorz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y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 xml:space="preserve">staniem techniki PTP we </w:t>
            </w:r>
            <w:proofErr w:type="spellStart"/>
            <w:r w:rsidR="00407B0B" w:rsidRPr="00407B0B">
              <w:rPr>
                <w:rFonts w:ascii="Arial" w:hAnsi="Arial" w:cs="Arial"/>
                <w:sz w:val="18"/>
                <w:szCs w:val="20"/>
              </w:rPr>
              <w:t>wspólpracy</w:t>
            </w:r>
            <w:proofErr w:type="spellEnd"/>
            <w:r w:rsidR="00407B0B" w:rsidRPr="00407B0B">
              <w:rPr>
                <w:rFonts w:ascii="Arial" w:hAnsi="Arial" w:cs="Arial"/>
                <w:sz w:val="18"/>
                <w:szCs w:val="20"/>
              </w:rPr>
              <w:t xml:space="preserve"> z 2 potencjalnymi użytkownikami usług docelowych. Przeprowadzenie pilotażu pozwoli lepiej technicznie przygotować się do właściwej realiz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a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cji usług i pozwoli odpowiednio 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a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bezpieczyć się przed potencjalnymi problemami technicznymi z wykorz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y</w:t>
            </w:r>
            <w:r w:rsidR="00407B0B" w:rsidRPr="00407B0B">
              <w:rPr>
                <w:rFonts w:ascii="Arial" w:hAnsi="Arial" w:cs="Arial"/>
                <w:sz w:val="18"/>
                <w:szCs w:val="20"/>
              </w:rPr>
              <w:t>staniem docelowej infrastruktury i oprogramowania.</w:t>
            </w:r>
          </w:p>
        </w:tc>
      </w:tr>
      <w:tr w:rsidR="00C85AF2" w:rsidRPr="002B50C0" w14:paraId="4A27863C" w14:textId="77777777" w:rsidTr="00D55883">
        <w:tc>
          <w:tcPr>
            <w:tcW w:w="2410" w:type="dxa"/>
          </w:tcPr>
          <w:p w14:paraId="0E4FCA1E" w14:textId="3E90615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lastRenderedPageBreak/>
              <w:t>Zakończenie testów i ko</w:t>
            </w:r>
            <w:r w:rsidRPr="008F5402">
              <w:rPr>
                <w:rFonts w:ascii="Arial" w:hAnsi="Arial" w:cs="Arial"/>
                <w:sz w:val="18"/>
                <w:szCs w:val="20"/>
              </w:rPr>
              <w:t>ń</w:t>
            </w:r>
            <w:r w:rsidRPr="008F5402">
              <w:rPr>
                <w:rFonts w:ascii="Arial" w:hAnsi="Arial" w:cs="Arial"/>
                <w:sz w:val="18"/>
                <w:szCs w:val="20"/>
              </w:rPr>
              <w:t>cowy odbiór Systemu Usługi PTP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DCEAF" w14:textId="77777777" w:rsidR="008B4E0D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</w:t>
            </w:r>
          </w:p>
          <w:p w14:paraId="090859CC" w14:textId="65E44812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</w:t>
            </w:r>
          </w:p>
          <w:p w14:paraId="2609876A" w14:textId="77777777" w:rsidR="00C85AF2" w:rsidRPr="001E595C" w:rsidRDefault="00C85AF2" w:rsidP="001E595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569CAEEB" w14:textId="7116B041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06-2022</w:t>
            </w:r>
          </w:p>
        </w:tc>
        <w:tc>
          <w:tcPr>
            <w:tcW w:w="1417" w:type="dxa"/>
          </w:tcPr>
          <w:p w14:paraId="53EF5D2A" w14:textId="200F6CB1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6E681C">
              <w:t>Nie dotyczy</w:t>
            </w:r>
          </w:p>
        </w:tc>
        <w:tc>
          <w:tcPr>
            <w:tcW w:w="3260" w:type="dxa"/>
          </w:tcPr>
          <w:p w14:paraId="20D5EE66" w14:textId="7C0CEDCF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85AF2" w:rsidRPr="002B50C0" w14:paraId="390EF177" w14:textId="77777777" w:rsidTr="00D55883">
        <w:tc>
          <w:tcPr>
            <w:tcW w:w="2410" w:type="dxa"/>
          </w:tcPr>
          <w:p w14:paraId="18903CFB" w14:textId="01058C2E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Uruchomienie Systemu serwerów NTP jako klastra wydajnościowego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44742" w14:textId="67B6CB70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</w:t>
            </w:r>
          </w:p>
          <w:p w14:paraId="337E8CA3" w14:textId="1A3B7DAB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</w:t>
            </w:r>
          </w:p>
          <w:p w14:paraId="7080354F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018A0686" w14:textId="6ADF58BC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10-2022</w:t>
            </w:r>
          </w:p>
        </w:tc>
        <w:tc>
          <w:tcPr>
            <w:tcW w:w="1417" w:type="dxa"/>
          </w:tcPr>
          <w:p w14:paraId="2728E8AC" w14:textId="7AD3C720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31595E">
              <w:t>Nie dotyczy</w:t>
            </w:r>
          </w:p>
        </w:tc>
        <w:tc>
          <w:tcPr>
            <w:tcW w:w="3260" w:type="dxa"/>
          </w:tcPr>
          <w:p w14:paraId="6772C57B" w14:textId="4F02AB25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85AF2" w:rsidRPr="002B50C0" w14:paraId="462317A1" w14:textId="77777777" w:rsidTr="00D55883">
        <w:tc>
          <w:tcPr>
            <w:tcW w:w="2410" w:type="dxa"/>
          </w:tcPr>
          <w:p w14:paraId="326CF537" w14:textId="35BDCCFD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sp</w:t>
            </w:r>
            <w:r w:rsidRPr="008F5402">
              <w:rPr>
                <w:rFonts w:ascii="Arial" w:hAnsi="Arial" w:cs="Arial"/>
                <w:sz w:val="18"/>
                <w:szCs w:val="20"/>
              </w:rPr>
              <w:t>e</w:t>
            </w:r>
            <w:r w:rsidRPr="008F5402">
              <w:rPr>
                <w:rFonts w:ascii="Arial" w:hAnsi="Arial" w:cs="Arial"/>
                <w:sz w:val="18"/>
                <w:szCs w:val="20"/>
              </w:rPr>
              <w:t>cjalistycznego dodatkow</w:t>
            </w:r>
            <w:r w:rsidRPr="008F5402">
              <w:rPr>
                <w:rFonts w:ascii="Arial" w:hAnsi="Arial" w:cs="Arial"/>
                <w:sz w:val="18"/>
                <w:szCs w:val="20"/>
              </w:rPr>
              <w:t>e</w:t>
            </w:r>
            <w:r w:rsidRPr="008F5402">
              <w:rPr>
                <w:rFonts w:ascii="Arial" w:hAnsi="Arial" w:cs="Arial"/>
                <w:sz w:val="18"/>
                <w:szCs w:val="20"/>
              </w:rPr>
              <w:t>go sprzętu dla procesów związanych z generow</w:t>
            </w:r>
            <w:r w:rsidRPr="008F5402">
              <w:rPr>
                <w:rFonts w:ascii="Arial" w:hAnsi="Arial" w:cs="Arial"/>
                <w:sz w:val="18"/>
                <w:szCs w:val="20"/>
              </w:rPr>
              <w:t>a</w:t>
            </w:r>
            <w:r w:rsidRPr="008F5402">
              <w:rPr>
                <w:rFonts w:ascii="Arial" w:hAnsi="Arial" w:cs="Arial"/>
                <w:sz w:val="18"/>
                <w:szCs w:val="20"/>
              </w:rPr>
              <w:t>niem skali czasu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62501" w14:textId="0546E2BC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</w:t>
            </w:r>
          </w:p>
          <w:p w14:paraId="50265E65" w14:textId="2F5275BC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</w:t>
            </w:r>
          </w:p>
          <w:p w14:paraId="19080C89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64D5972B" w14:textId="12EA4A8C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02-2023</w:t>
            </w:r>
          </w:p>
        </w:tc>
        <w:tc>
          <w:tcPr>
            <w:tcW w:w="1417" w:type="dxa"/>
          </w:tcPr>
          <w:p w14:paraId="71153DAF" w14:textId="524C754B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213BD">
              <w:t>Nie dotyczy</w:t>
            </w:r>
          </w:p>
        </w:tc>
        <w:tc>
          <w:tcPr>
            <w:tcW w:w="3260" w:type="dxa"/>
          </w:tcPr>
          <w:p w14:paraId="56EC6672" w14:textId="3B091B92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85AF2" w:rsidRPr="002B50C0" w14:paraId="2D2650E9" w14:textId="77777777" w:rsidTr="00D55883">
        <w:tc>
          <w:tcPr>
            <w:tcW w:w="2410" w:type="dxa"/>
          </w:tcPr>
          <w:p w14:paraId="6EC47971" w14:textId="38637EB9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Odbiór wielosystemowej aplikacji na potrzeby sy</w:t>
            </w:r>
            <w:r w:rsidRPr="008F5402">
              <w:rPr>
                <w:rFonts w:ascii="Arial" w:hAnsi="Arial" w:cs="Arial"/>
                <w:sz w:val="18"/>
                <w:szCs w:val="20"/>
              </w:rPr>
              <w:t>n</w:t>
            </w:r>
            <w:r w:rsidRPr="008F5402">
              <w:rPr>
                <w:rFonts w:ascii="Arial" w:hAnsi="Arial" w:cs="Arial"/>
                <w:sz w:val="18"/>
                <w:szCs w:val="20"/>
              </w:rPr>
              <w:t>chronizacji urządzeń (be</w:t>
            </w:r>
            <w:r w:rsidRPr="008F5402">
              <w:rPr>
                <w:rFonts w:ascii="Arial" w:hAnsi="Arial" w:cs="Arial"/>
                <w:sz w:val="18"/>
                <w:szCs w:val="20"/>
              </w:rPr>
              <w:t>z</w:t>
            </w:r>
            <w:r w:rsidRPr="008F5402">
              <w:rPr>
                <w:rFonts w:ascii="Arial" w:hAnsi="Arial" w:cs="Arial"/>
                <w:sz w:val="18"/>
                <w:szCs w:val="20"/>
              </w:rPr>
              <w:t>płatna, do pobrania przez użytkowników)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2A05" w14:textId="1A3B166E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</w:t>
            </w:r>
          </w:p>
          <w:p w14:paraId="00590026" w14:textId="06D04C99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 xml:space="preserve">KPI6 </w:t>
            </w:r>
          </w:p>
          <w:p w14:paraId="0273E049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32700A4A" w14:textId="18055F06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1417" w:type="dxa"/>
          </w:tcPr>
          <w:p w14:paraId="0F479473" w14:textId="4B58D1B1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D84ED6">
              <w:t>Nie dotyczy</w:t>
            </w:r>
          </w:p>
        </w:tc>
        <w:tc>
          <w:tcPr>
            <w:tcW w:w="3260" w:type="dxa"/>
          </w:tcPr>
          <w:p w14:paraId="4816C8E8" w14:textId="543B8867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85AF2" w:rsidRPr="002B50C0" w14:paraId="7D68F752" w14:textId="77777777" w:rsidTr="00D55883">
        <w:tc>
          <w:tcPr>
            <w:tcW w:w="2410" w:type="dxa"/>
          </w:tcPr>
          <w:p w14:paraId="54C03CCE" w14:textId="7B294338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Zakończenie testów wszystkich funkcjonalności usług projektu e-CzasPL, odbiór Portalu Czasu Urzędowego wraz z wiel</w:t>
            </w:r>
            <w:r w:rsidRPr="008F5402">
              <w:rPr>
                <w:rFonts w:ascii="Arial" w:hAnsi="Arial" w:cs="Arial"/>
                <w:sz w:val="18"/>
                <w:szCs w:val="20"/>
              </w:rPr>
              <w:t>o</w:t>
            </w:r>
            <w:r w:rsidRPr="008F5402">
              <w:rPr>
                <w:rFonts w:ascii="Arial" w:hAnsi="Arial" w:cs="Arial"/>
                <w:sz w:val="18"/>
                <w:szCs w:val="20"/>
              </w:rPr>
              <w:t>systemową aplikacją sy</w:t>
            </w:r>
            <w:r w:rsidRPr="008F5402">
              <w:rPr>
                <w:rFonts w:ascii="Arial" w:hAnsi="Arial" w:cs="Arial"/>
                <w:sz w:val="18"/>
                <w:szCs w:val="20"/>
              </w:rPr>
              <w:t>n</w:t>
            </w:r>
            <w:r w:rsidRPr="008F5402">
              <w:rPr>
                <w:rFonts w:ascii="Arial" w:hAnsi="Arial" w:cs="Arial"/>
                <w:sz w:val="18"/>
                <w:szCs w:val="20"/>
              </w:rPr>
              <w:t>chronizująca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339F" w14:textId="721146E7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</w:t>
            </w:r>
            <w:r w:rsidR="008B4E0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(1)</w:t>
            </w:r>
          </w:p>
          <w:p w14:paraId="42A006E5" w14:textId="40F32FA2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KPI2</w:t>
            </w:r>
          </w:p>
          <w:p w14:paraId="10355882" w14:textId="4C773FD4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KPI3</w:t>
            </w:r>
            <w:r w:rsidR="008B4E0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(1)</w:t>
            </w:r>
          </w:p>
          <w:p w14:paraId="69913A7B" w14:textId="77777777" w:rsidR="001E595C" w:rsidRP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 w:rsidRPr="001E595C">
              <w:rPr>
                <w:rFonts w:ascii="Arial" w:hAnsi="Arial" w:cs="Arial"/>
                <w:sz w:val="18"/>
                <w:szCs w:val="20"/>
              </w:rPr>
              <w:t>KPI6 (601)</w:t>
            </w:r>
          </w:p>
          <w:p w14:paraId="037D76ED" w14:textId="6E3E5A30" w:rsidR="001E595C" w:rsidRDefault="001E595C" w:rsidP="001E59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KPI7</w:t>
            </w:r>
          </w:p>
          <w:p w14:paraId="6DE99C20" w14:textId="77777777" w:rsidR="00C85AF2" w:rsidRPr="001E595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28" w:type="dxa"/>
          </w:tcPr>
          <w:p w14:paraId="36176A0B" w14:textId="7833E29F" w:rsidR="00C85AF2" w:rsidRPr="00AD28EC" w:rsidRDefault="00C85AF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1417" w:type="dxa"/>
          </w:tcPr>
          <w:p w14:paraId="3B4BE98F" w14:textId="6B3F19FD" w:rsidR="00C85AF2" w:rsidRPr="00AD28EC" w:rsidRDefault="00C85AF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FB3AA9">
              <w:t>Nie dotyczy</w:t>
            </w:r>
          </w:p>
        </w:tc>
        <w:tc>
          <w:tcPr>
            <w:tcW w:w="3260" w:type="dxa"/>
          </w:tcPr>
          <w:p w14:paraId="6A4BEA50" w14:textId="38AEBC3D" w:rsidR="00C85AF2" w:rsidRPr="00AD28EC" w:rsidRDefault="00A17AD3" w:rsidP="00DA53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51588173"/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7C66D563" w14:textId="0B570657" w:rsidR="006D5034" w:rsidRDefault="006D5034" w:rsidP="00FB48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KPI1</w:t>
            </w:r>
          </w:p>
          <w:p w14:paraId="1E5C0CB8" w14:textId="00F61A97" w:rsidR="00FB4804" w:rsidRPr="00FB4804" w:rsidRDefault="00FB4804" w:rsidP="00FB4804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</w:p>
          <w:p w14:paraId="0D680A0D" w14:textId="4C60A10C" w:rsidR="009F1DC8" w:rsidRPr="009F1DC8" w:rsidRDefault="00FB4804" w:rsidP="00FB480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C7F3934" w:rsidR="006A60AA" w:rsidRPr="00E36D70" w:rsidRDefault="00E36D70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E36D70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67FCFF9F" w14:textId="574117DD" w:rsidR="006A60AA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6FE75731" w14:textId="61F1628B" w:rsidR="006A60AA" w:rsidRPr="00E36D70" w:rsidRDefault="001E23A3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1908EA3D" w14:textId="056E9287" w:rsidR="006A60AA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617BECED" w14:textId="77777777" w:rsidTr="00047D9D">
        <w:tc>
          <w:tcPr>
            <w:tcW w:w="2545" w:type="dxa"/>
          </w:tcPr>
          <w:p w14:paraId="3C6D1552" w14:textId="7C4B4823" w:rsidR="006D5034" w:rsidRDefault="006D5034" w:rsidP="006D503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KPI2</w:t>
            </w:r>
          </w:p>
          <w:p w14:paraId="471B93A5" w14:textId="1BD907F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Przestrzeń dyskowa serw</w:t>
            </w:r>
            <w:r w:rsidRPr="00FB4804">
              <w:rPr>
                <w:rFonts w:ascii="Arial" w:hAnsi="Arial" w:cs="Arial"/>
                <w:sz w:val="18"/>
                <w:szCs w:val="20"/>
              </w:rPr>
              <w:t>e</w:t>
            </w:r>
            <w:r w:rsidRPr="00FB4804">
              <w:rPr>
                <w:rFonts w:ascii="Arial" w:hAnsi="Arial" w:cs="Arial"/>
                <w:sz w:val="18"/>
                <w:szCs w:val="20"/>
              </w:rPr>
              <w:t>rowni</w:t>
            </w:r>
          </w:p>
        </w:tc>
        <w:tc>
          <w:tcPr>
            <w:tcW w:w="1278" w:type="dxa"/>
          </w:tcPr>
          <w:p w14:paraId="07FBED5F" w14:textId="42AD3820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TB</w:t>
            </w:r>
          </w:p>
        </w:tc>
        <w:tc>
          <w:tcPr>
            <w:tcW w:w="1842" w:type="dxa"/>
          </w:tcPr>
          <w:p w14:paraId="66CE137A" w14:textId="106D71CA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10</w:t>
            </w:r>
          </w:p>
        </w:tc>
        <w:tc>
          <w:tcPr>
            <w:tcW w:w="1701" w:type="dxa"/>
          </w:tcPr>
          <w:p w14:paraId="0ACE117B" w14:textId="604F3FB0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1E814D37" w14:textId="1C8FB32D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21936FA2" w14:textId="77777777" w:rsidTr="00047D9D">
        <w:tc>
          <w:tcPr>
            <w:tcW w:w="2545" w:type="dxa"/>
          </w:tcPr>
          <w:p w14:paraId="0EECD521" w14:textId="09DE048E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KPI3</w:t>
            </w:r>
          </w:p>
          <w:p w14:paraId="7A774DFB" w14:textId="6F1B6F4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uruchomionych sy</w:t>
            </w:r>
            <w:r w:rsidRPr="00FB4804">
              <w:rPr>
                <w:rFonts w:ascii="Arial" w:hAnsi="Arial" w:cs="Arial"/>
                <w:sz w:val="18"/>
                <w:szCs w:val="20"/>
              </w:rPr>
              <w:t>s</w:t>
            </w:r>
            <w:r w:rsidRPr="00FB4804">
              <w:rPr>
                <w:rFonts w:ascii="Arial" w:hAnsi="Arial" w:cs="Arial"/>
                <w:sz w:val="18"/>
                <w:szCs w:val="20"/>
              </w:rPr>
              <w:t>temów teleinformatycznych w podmiotach</w:t>
            </w:r>
          </w:p>
          <w:p w14:paraId="02BC1E0A" w14:textId="4DF7903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wykonujących zadania p</w:t>
            </w:r>
            <w:r w:rsidRPr="00FB4804">
              <w:rPr>
                <w:rFonts w:ascii="Arial" w:hAnsi="Arial" w:cs="Arial"/>
                <w:sz w:val="18"/>
                <w:szCs w:val="20"/>
              </w:rPr>
              <w:t>u</w:t>
            </w:r>
            <w:r w:rsidRPr="00FB4804">
              <w:rPr>
                <w:rFonts w:ascii="Arial" w:hAnsi="Arial" w:cs="Arial"/>
                <w:sz w:val="18"/>
                <w:szCs w:val="20"/>
              </w:rPr>
              <w:t>bliczne</w:t>
            </w:r>
          </w:p>
        </w:tc>
        <w:tc>
          <w:tcPr>
            <w:tcW w:w="1278" w:type="dxa"/>
          </w:tcPr>
          <w:p w14:paraId="05D9216E" w14:textId="133DAE3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5E42A7D" w14:textId="40523832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4D3EF0B7" w14:textId="25F29CFA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02A57C05" w14:textId="2D42AE6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75D55092" w14:textId="77777777" w:rsidTr="00047D9D">
        <w:tc>
          <w:tcPr>
            <w:tcW w:w="2545" w:type="dxa"/>
          </w:tcPr>
          <w:p w14:paraId="25DA6B64" w14:textId="62F2B57E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KPI4</w:t>
            </w:r>
          </w:p>
          <w:p w14:paraId="2D1A21D1" w14:textId="25616E8A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pracowników podmi</w:t>
            </w:r>
            <w:r w:rsidRPr="00FB4804">
              <w:rPr>
                <w:rFonts w:ascii="Arial" w:hAnsi="Arial" w:cs="Arial"/>
                <w:sz w:val="18"/>
                <w:szCs w:val="20"/>
              </w:rPr>
              <w:t>o</w:t>
            </w:r>
            <w:r w:rsidRPr="00FB4804">
              <w:rPr>
                <w:rFonts w:ascii="Arial" w:hAnsi="Arial" w:cs="Arial"/>
                <w:sz w:val="18"/>
                <w:szCs w:val="20"/>
              </w:rPr>
              <w:t xml:space="preserve">tów wykonujących zadania </w:t>
            </w:r>
            <w:r w:rsidRPr="00FB4804">
              <w:rPr>
                <w:rFonts w:ascii="Arial" w:hAnsi="Arial" w:cs="Arial"/>
                <w:sz w:val="18"/>
                <w:szCs w:val="20"/>
              </w:rPr>
              <w:lastRenderedPageBreak/>
              <w:t>publiczne</w:t>
            </w:r>
          </w:p>
          <w:p w14:paraId="51B634C1" w14:textId="5E901CED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nie będących pracownikami IT, objętych wsparciem szk</w:t>
            </w:r>
            <w:r w:rsidRPr="00FB4804">
              <w:rPr>
                <w:rFonts w:ascii="Arial" w:hAnsi="Arial" w:cs="Arial"/>
                <w:sz w:val="18"/>
                <w:szCs w:val="20"/>
              </w:rPr>
              <w:t>o</w:t>
            </w:r>
            <w:r w:rsidRPr="00FB4804">
              <w:rPr>
                <w:rFonts w:ascii="Arial" w:hAnsi="Arial" w:cs="Arial"/>
                <w:sz w:val="18"/>
                <w:szCs w:val="20"/>
              </w:rPr>
              <w:t>leniowym</w:t>
            </w:r>
          </w:p>
        </w:tc>
        <w:tc>
          <w:tcPr>
            <w:tcW w:w="1278" w:type="dxa"/>
          </w:tcPr>
          <w:p w14:paraId="5612C3E0" w14:textId="533BCC29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28F15A91" w14:textId="67E7F3C8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701" w:type="dxa"/>
          </w:tcPr>
          <w:p w14:paraId="4E2C3F9F" w14:textId="2BFB87F2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12-2021</w:t>
            </w:r>
          </w:p>
        </w:tc>
        <w:tc>
          <w:tcPr>
            <w:tcW w:w="2268" w:type="dxa"/>
          </w:tcPr>
          <w:p w14:paraId="12919387" w14:textId="4880290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703D182A" w14:textId="77777777" w:rsidTr="00047D9D">
        <w:tc>
          <w:tcPr>
            <w:tcW w:w="2545" w:type="dxa"/>
          </w:tcPr>
          <w:p w14:paraId="1833B27A" w14:textId="06C67F43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KPI5</w:t>
            </w:r>
          </w:p>
          <w:p w14:paraId="66075588" w14:textId="1429872E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pracowników podmi</w:t>
            </w:r>
            <w:r w:rsidRPr="00FB4804">
              <w:rPr>
                <w:rFonts w:ascii="Arial" w:hAnsi="Arial" w:cs="Arial"/>
                <w:sz w:val="18"/>
                <w:szCs w:val="20"/>
              </w:rPr>
              <w:t>o</w:t>
            </w:r>
            <w:r w:rsidRPr="00FB4804">
              <w:rPr>
                <w:rFonts w:ascii="Arial" w:hAnsi="Arial" w:cs="Arial"/>
                <w:sz w:val="18"/>
                <w:szCs w:val="20"/>
              </w:rPr>
              <w:t>tów wykonujących zadania publiczne</w:t>
            </w:r>
          </w:p>
          <w:p w14:paraId="4269265C" w14:textId="77777777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niebędących pracownikami IT, objętych wsparciem szk</w:t>
            </w:r>
            <w:r w:rsidRPr="00FB4804">
              <w:rPr>
                <w:rFonts w:ascii="Arial" w:hAnsi="Arial" w:cs="Arial"/>
                <w:sz w:val="18"/>
                <w:szCs w:val="20"/>
              </w:rPr>
              <w:t>o</w:t>
            </w:r>
            <w:r w:rsidRPr="00FB4804">
              <w:rPr>
                <w:rFonts w:ascii="Arial" w:hAnsi="Arial" w:cs="Arial"/>
                <w:sz w:val="18"/>
                <w:szCs w:val="20"/>
              </w:rPr>
              <w:t>leniowym -</w:t>
            </w:r>
          </w:p>
          <w:p w14:paraId="4F89C1B4" w14:textId="56F17D1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72D8FC11" w14:textId="7777A2C6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094B04AD" w14:textId="57EEB2C7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1701" w:type="dxa"/>
          </w:tcPr>
          <w:p w14:paraId="1DFF14ED" w14:textId="7247845C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12-2021</w:t>
            </w:r>
          </w:p>
        </w:tc>
        <w:tc>
          <w:tcPr>
            <w:tcW w:w="2268" w:type="dxa"/>
          </w:tcPr>
          <w:p w14:paraId="5DD284CA" w14:textId="7B4D61D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6133C" w:rsidRPr="002B50C0" w14:paraId="0EA3731E" w14:textId="77777777" w:rsidTr="00047D9D">
        <w:tc>
          <w:tcPr>
            <w:tcW w:w="2545" w:type="dxa"/>
          </w:tcPr>
          <w:p w14:paraId="6F507828" w14:textId="19EE1798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KPI6</w:t>
            </w:r>
          </w:p>
          <w:p w14:paraId="46B23932" w14:textId="080CD4E8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</w:p>
          <w:p w14:paraId="71ECD865" w14:textId="3E49072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</w:tcPr>
          <w:p w14:paraId="2636A204" w14:textId="4CD09607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8F228BB" w14:textId="5C45148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601</w:t>
            </w:r>
          </w:p>
        </w:tc>
        <w:tc>
          <w:tcPr>
            <w:tcW w:w="1701" w:type="dxa"/>
          </w:tcPr>
          <w:p w14:paraId="1D114708" w14:textId="2D4C701F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06-2024</w:t>
            </w:r>
          </w:p>
        </w:tc>
        <w:tc>
          <w:tcPr>
            <w:tcW w:w="2268" w:type="dxa"/>
          </w:tcPr>
          <w:p w14:paraId="3ADEC11E" w14:textId="762350E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 (wskaźnik planowany do osiągnięcia w okresie trwałości projektu)</w:t>
            </w:r>
          </w:p>
        </w:tc>
      </w:tr>
      <w:tr w:rsidR="0056133C" w:rsidRPr="002B50C0" w14:paraId="14CEBB44" w14:textId="77777777" w:rsidTr="00047D9D">
        <w:tc>
          <w:tcPr>
            <w:tcW w:w="2545" w:type="dxa"/>
          </w:tcPr>
          <w:p w14:paraId="0A7BB806" w14:textId="4FB0B5B8" w:rsidR="006D5034" w:rsidRDefault="006D5034" w:rsidP="0056133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KPI7</w:t>
            </w:r>
          </w:p>
          <w:p w14:paraId="3A41B2F1" w14:textId="5E0BEC79" w:rsidR="0056133C" w:rsidRPr="00FB4804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FB4804">
              <w:rPr>
                <w:rFonts w:ascii="Arial" w:hAnsi="Arial" w:cs="Arial"/>
                <w:sz w:val="18"/>
                <w:szCs w:val="20"/>
              </w:rPr>
              <w:t>Moc obliczeniowa serw</w:t>
            </w:r>
            <w:r w:rsidRPr="00FB4804">
              <w:rPr>
                <w:rFonts w:ascii="Arial" w:hAnsi="Arial" w:cs="Arial"/>
                <w:sz w:val="18"/>
                <w:szCs w:val="20"/>
              </w:rPr>
              <w:t>e</w:t>
            </w:r>
            <w:r w:rsidRPr="00FB4804">
              <w:rPr>
                <w:rFonts w:ascii="Arial" w:hAnsi="Arial" w:cs="Arial"/>
                <w:sz w:val="18"/>
                <w:szCs w:val="20"/>
              </w:rPr>
              <w:t>rowni</w:t>
            </w:r>
          </w:p>
        </w:tc>
        <w:tc>
          <w:tcPr>
            <w:tcW w:w="1278" w:type="dxa"/>
          </w:tcPr>
          <w:p w14:paraId="057AA571" w14:textId="48C24B0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teraflops</w:t>
            </w:r>
          </w:p>
        </w:tc>
        <w:tc>
          <w:tcPr>
            <w:tcW w:w="1842" w:type="dxa"/>
          </w:tcPr>
          <w:p w14:paraId="4D298404" w14:textId="043CD85E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3.20</w:t>
            </w:r>
          </w:p>
        </w:tc>
        <w:tc>
          <w:tcPr>
            <w:tcW w:w="1701" w:type="dxa"/>
          </w:tcPr>
          <w:p w14:paraId="4CBA6E7C" w14:textId="35092D71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04-2023</w:t>
            </w:r>
          </w:p>
        </w:tc>
        <w:tc>
          <w:tcPr>
            <w:tcW w:w="2268" w:type="dxa"/>
          </w:tcPr>
          <w:p w14:paraId="272D6D81" w14:textId="2D453B55" w:rsidR="0056133C" w:rsidRPr="00E36D70" w:rsidRDefault="0056133C" w:rsidP="0056133C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bookmarkEnd w:id="1"/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63"/>
        <w:gridCol w:w="1261"/>
        <w:gridCol w:w="1395"/>
        <w:gridCol w:w="4115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4C64D5D7" w14:textId="4AB8A22B" w:rsidR="006E0E46" w:rsidRPr="001E23A3" w:rsidRDefault="006E0E46" w:rsidP="006E0E46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547AFC">
              <w:t>Usługa wiarygodnej i niez</w:t>
            </w:r>
            <w:r w:rsidRPr="00547AFC">
              <w:t>a</w:t>
            </w:r>
            <w:r w:rsidRPr="00547AFC">
              <w:t>wodnej dystrybucji sygnałów czasu urzędowego obowiąz</w:t>
            </w:r>
            <w:r w:rsidRPr="00547AFC">
              <w:t>u</w:t>
            </w:r>
            <w:r w:rsidRPr="00547AFC">
              <w:t>jącego na obszarze Rzeczyp</w:t>
            </w:r>
            <w:r w:rsidRPr="00547AFC">
              <w:t>o</w:t>
            </w:r>
            <w:r w:rsidRPr="00547AFC">
              <w:t>spolitej Polskiej i sygnałów polskiej realizacji międzyn</w:t>
            </w:r>
            <w:r w:rsidRPr="00547AFC">
              <w:t>a</w:t>
            </w:r>
            <w:r w:rsidRPr="00547AFC">
              <w:t>rodowego uniwersalnego czasu koordynowanego UTC(PL) oraz monitorowania synchronizacji</w:t>
            </w:r>
          </w:p>
          <w:p w14:paraId="21262D83" w14:textId="08836CFF" w:rsidR="007D38BD" w:rsidRPr="001E23A3" w:rsidRDefault="007D38BD" w:rsidP="006E0E4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AACC774" w14:textId="17BB23DD" w:rsidR="007D38BD" w:rsidRPr="001E23A3" w:rsidRDefault="001E23A3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04-2023</w:t>
            </w:r>
          </w:p>
          <w:p w14:paraId="016C9765" w14:textId="77777777" w:rsidR="007D38BD" w:rsidRPr="001E23A3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814D656" w:rsidR="007D38BD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77777777" w:rsidR="007D38BD" w:rsidRPr="001E23A3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D70" w:rsidRPr="002B50C0" w14:paraId="153EA8F3" w14:textId="77777777" w:rsidTr="00C6751B">
        <w:tc>
          <w:tcPr>
            <w:tcW w:w="2937" w:type="dxa"/>
          </w:tcPr>
          <w:p w14:paraId="46265E90" w14:textId="42DA8207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69" w:type="dxa"/>
          </w:tcPr>
          <w:p w14:paraId="6D7C5935" w14:textId="3B87141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34" w:type="dxa"/>
          </w:tcPr>
          <w:p w14:paraId="56773D50" w14:textId="481AA93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4394" w:type="dxa"/>
          </w:tcPr>
          <w:p w14:paraId="37781807" w14:textId="41DAB4A4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1842D450" w14:textId="77777777" w:rsidR="00E36D70" w:rsidRDefault="00E36D70" w:rsidP="00E36D70">
            <w:pPr>
              <w:pStyle w:val="Default"/>
            </w:pPr>
            <w:r>
              <w:rPr>
                <w:sz w:val="22"/>
                <w:szCs w:val="22"/>
              </w:rPr>
              <w:t>Serwery czasu (6x NTP i 3x PTP) z usługą opr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lastRenderedPageBreak/>
              <w:t xml:space="preserve">gramowania, konfiguracji i szkoleń użytkowników 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4DBC3499" w:rsidR="00A86449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lastRenderedPageBreak/>
              <w:t>0</w:t>
            </w:r>
            <w:r w:rsidR="0056133C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-</w:t>
            </w:r>
            <w:r w:rsidRPr="00E36D70"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</w:tcPr>
          <w:p w14:paraId="6882FECF" w14:textId="795114AD" w:rsidR="004C1D48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43CDFE6D" w14:textId="4B61038B" w:rsidR="004C1D48" w:rsidRPr="00E36D70" w:rsidRDefault="004C1D48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3623350" w14:textId="77777777" w:rsidTr="006251DB">
        <w:tc>
          <w:tcPr>
            <w:tcW w:w="2547" w:type="dxa"/>
          </w:tcPr>
          <w:p w14:paraId="1AA7928A" w14:textId="6280F13C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lastRenderedPageBreak/>
              <w:t>Infrastruktura sieciowo serwerowa ( router Fir</w:t>
            </w:r>
            <w:r w:rsidRPr="00E36D70">
              <w:rPr>
                <w:sz w:val="22"/>
                <w:szCs w:val="22"/>
              </w:rPr>
              <w:t>e</w:t>
            </w:r>
            <w:r w:rsidRPr="00E36D70">
              <w:rPr>
                <w:sz w:val="22"/>
                <w:szCs w:val="22"/>
              </w:rPr>
              <w:t>wall, serwery fizyczne wraz z oprogramow</w:t>
            </w:r>
            <w:r w:rsidRPr="00E36D70">
              <w:rPr>
                <w:sz w:val="22"/>
                <w:szCs w:val="22"/>
              </w:rPr>
              <w:t>a</w:t>
            </w:r>
            <w:r w:rsidRPr="00E36D70">
              <w:rPr>
                <w:sz w:val="22"/>
                <w:szCs w:val="22"/>
              </w:rPr>
              <w:t>niem)</w:t>
            </w:r>
          </w:p>
        </w:tc>
        <w:tc>
          <w:tcPr>
            <w:tcW w:w="1701" w:type="dxa"/>
          </w:tcPr>
          <w:p w14:paraId="29AD884F" w14:textId="0CB56C95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E36D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0152FFD1" w14:textId="65A42F8C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682CA27B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DC4E258" w14:textId="77777777" w:rsidTr="006251DB">
        <w:tc>
          <w:tcPr>
            <w:tcW w:w="2547" w:type="dxa"/>
          </w:tcPr>
          <w:p w14:paraId="74872238" w14:textId="06A7A740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Kompletny system PTP</w:t>
            </w:r>
          </w:p>
        </w:tc>
        <w:tc>
          <w:tcPr>
            <w:tcW w:w="1701" w:type="dxa"/>
          </w:tcPr>
          <w:p w14:paraId="7F38B208" w14:textId="27135763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3D12C821" w14:textId="45127E7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1494712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85A1E24" w14:textId="77777777" w:rsidTr="006251DB">
        <w:tc>
          <w:tcPr>
            <w:tcW w:w="2547" w:type="dxa"/>
          </w:tcPr>
          <w:p w14:paraId="59BE4183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Specjalistyczny sprzęt dla procesów związanych z generowaniem i</w:t>
            </w:r>
          </w:p>
          <w:p w14:paraId="72E41F9F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dystrybucją sygnałów czasu - Maser Wodorowy, Zegar Cezowy (2 szt.),</w:t>
            </w:r>
          </w:p>
          <w:p w14:paraId="1BFA0266" w14:textId="349DF938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Dystrybutory częstotliw</w:t>
            </w:r>
            <w:r w:rsidRPr="00E36D70">
              <w:rPr>
                <w:sz w:val="22"/>
                <w:szCs w:val="22"/>
              </w:rPr>
              <w:t>o</w:t>
            </w:r>
            <w:r w:rsidRPr="00E36D70">
              <w:rPr>
                <w:sz w:val="22"/>
                <w:szCs w:val="22"/>
              </w:rPr>
              <w:t>ści</w:t>
            </w:r>
          </w:p>
        </w:tc>
        <w:tc>
          <w:tcPr>
            <w:tcW w:w="1701" w:type="dxa"/>
          </w:tcPr>
          <w:p w14:paraId="613AC8F6" w14:textId="6D2043B5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  <w:r w:rsidR="00E36D7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</w:tcPr>
          <w:p w14:paraId="273C7144" w14:textId="1A58EE03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4D206C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5B9629D5" w14:textId="77777777" w:rsidTr="006251DB">
        <w:tc>
          <w:tcPr>
            <w:tcW w:w="2547" w:type="dxa"/>
          </w:tcPr>
          <w:p w14:paraId="2BE5639B" w14:textId="13BA7EB1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Wieloplatformowa apl</w:t>
            </w:r>
            <w:r w:rsidRPr="00E36D70">
              <w:rPr>
                <w:sz w:val="22"/>
                <w:szCs w:val="22"/>
              </w:rPr>
              <w:t>i</w:t>
            </w:r>
            <w:r w:rsidRPr="00E36D70">
              <w:rPr>
                <w:sz w:val="22"/>
                <w:szCs w:val="22"/>
              </w:rPr>
              <w:t>kacja na potrzeby sy</w:t>
            </w:r>
            <w:r w:rsidRPr="00E36D70">
              <w:rPr>
                <w:sz w:val="22"/>
                <w:szCs w:val="22"/>
              </w:rPr>
              <w:t>n</w:t>
            </w:r>
            <w:r w:rsidRPr="00E36D70">
              <w:rPr>
                <w:sz w:val="22"/>
                <w:szCs w:val="22"/>
              </w:rPr>
              <w:t>chronizacji urządzeń (bezpłatna, do pobrania przez użytkowników)</w:t>
            </w:r>
          </w:p>
        </w:tc>
        <w:tc>
          <w:tcPr>
            <w:tcW w:w="1701" w:type="dxa"/>
          </w:tcPr>
          <w:p w14:paraId="1A2B0D8C" w14:textId="09D25B2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6133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00B37E58" w14:textId="204DAD6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0102983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3F150C37" w14:textId="77777777" w:rsidTr="006251DB">
        <w:tc>
          <w:tcPr>
            <w:tcW w:w="2547" w:type="dxa"/>
          </w:tcPr>
          <w:p w14:paraId="2A1F9F54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Kompletny system dy</w:t>
            </w:r>
            <w:r w:rsidRPr="00E36D70">
              <w:rPr>
                <w:sz w:val="22"/>
                <w:szCs w:val="22"/>
              </w:rPr>
              <w:t>s</w:t>
            </w:r>
            <w:r w:rsidRPr="00E36D70">
              <w:rPr>
                <w:sz w:val="22"/>
                <w:szCs w:val="22"/>
              </w:rPr>
              <w:t>trybucji czasu za pomocą kodowanych sygnałów</w:t>
            </w:r>
          </w:p>
          <w:p w14:paraId="1A3010BE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radiowych w paśmie fal długich wraz z opublik</w:t>
            </w:r>
            <w:r w:rsidRPr="00E36D70">
              <w:rPr>
                <w:sz w:val="22"/>
                <w:szCs w:val="22"/>
              </w:rPr>
              <w:t>o</w:t>
            </w:r>
            <w:r w:rsidRPr="00E36D70">
              <w:rPr>
                <w:sz w:val="22"/>
                <w:szCs w:val="22"/>
              </w:rPr>
              <w:t>waniem dokumentacji</w:t>
            </w:r>
          </w:p>
          <w:p w14:paraId="00F06D97" w14:textId="40FEF77B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technicznej parametrów sygnału</w:t>
            </w:r>
          </w:p>
        </w:tc>
        <w:tc>
          <w:tcPr>
            <w:tcW w:w="1701" w:type="dxa"/>
          </w:tcPr>
          <w:p w14:paraId="22A8FCC5" w14:textId="65FFF6A7" w:rsidR="00E36D70" w:rsidRPr="00E36D70" w:rsidRDefault="0056133C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36D70"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47F5CCE9" w14:textId="49D68D2F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3BC2E69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0411EF42" w14:textId="77777777" w:rsidTr="006251DB">
        <w:tc>
          <w:tcPr>
            <w:tcW w:w="2547" w:type="dxa"/>
          </w:tcPr>
          <w:p w14:paraId="0BDFC196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Portal Czasu Urzędowego wraz z systemem monit</w:t>
            </w:r>
            <w:r w:rsidRPr="00E36D70">
              <w:rPr>
                <w:sz w:val="22"/>
                <w:szCs w:val="22"/>
              </w:rPr>
              <w:t>o</w:t>
            </w:r>
            <w:r w:rsidRPr="00E36D70">
              <w:rPr>
                <w:sz w:val="22"/>
                <w:szCs w:val="22"/>
              </w:rPr>
              <w:t>rowania przez NTP</w:t>
            </w:r>
          </w:p>
          <w:p w14:paraId="771634C5" w14:textId="221259E1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synchronizacji do czasu UTC(PL) z uwierzytelni</w:t>
            </w:r>
            <w:r w:rsidRPr="00E36D70">
              <w:rPr>
                <w:sz w:val="22"/>
                <w:szCs w:val="22"/>
              </w:rPr>
              <w:t>e</w:t>
            </w:r>
            <w:r w:rsidRPr="00E36D70">
              <w:rPr>
                <w:sz w:val="22"/>
                <w:szCs w:val="22"/>
              </w:rPr>
              <w:t>niem lub bez</w:t>
            </w:r>
          </w:p>
        </w:tc>
        <w:tc>
          <w:tcPr>
            <w:tcW w:w="1701" w:type="dxa"/>
          </w:tcPr>
          <w:p w14:paraId="29F36666" w14:textId="27A65ECE" w:rsidR="00E36D70" w:rsidRPr="001B6667" w:rsidRDefault="0056133C" w:rsidP="00E36D70">
            <w:pPr>
              <w:pStyle w:val="Default"/>
              <w:rPr>
                <w:rFonts w:cs="Arial"/>
                <w:color w:val="0070C0"/>
                <w:lang w:eastAsia="pl-PL"/>
              </w:rPr>
            </w:pPr>
            <w:r w:rsidRPr="00E36D7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="00E36D70" w:rsidRPr="00E36D70"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79AC2234" w14:textId="61FFDD00" w:rsidR="00E36D70" w:rsidRPr="001B6667" w:rsidRDefault="00E36D70" w:rsidP="00E36D70">
            <w:pPr>
              <w:pStyle w:val="Default"/>
              <w:rPr>
                <w:rFonts w:cs="Arial"/>
                <w:color w:val="0070C0"/>
                <w:lang w:eastAsia="pl-PL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BA92C36" w14:textId="77777777" w:rsidR="00E36D70" w:rsidRDefault="00E36D70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96"/>
        <w:gridCol w:w="1572"/>
        <w:gridCol w:w="2294"/>
        <w:gridCol w:w="3136"/>
      </w:tblGrid>
      <w:tr w:rsidR="00322614" w:rsidRPr="002B50C0" w14:paraId="1581B854" w14:textId="77777777" w:rsidTr="009F5EE5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9F5EE5">
        <w:tc>
          <w:tcPr>
            <w:tcW w:w="2977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0"/>
            </w:tblGrid>
            <w:tr w:rsidR="00DA534C" w:rsidRPr="00DA534C" w14:paraId="56E2567F" w14:textId="77777777">
              <w:trPr>
                <w:trHeight w:val="1185"/>
              </w:trPr>
              <w:tc>
                <w:tcPr>
                  <w:tcW w:w="0" w:type="auto"/>
                </w:tcPr>
                <w:p w14:paraId="366835BD" w14:textId="77777777" w:rsidR="00DA534C" w:rsidRPr="00DA534C" w:rsidRDefault="00DA534C" w:rsidP="00DA53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 w:rsidRPr="00DA534C">
                    <w:rPr>
                      <w:rFonts w:ascii="Calibri" w:hAnsi="Calibri" w:cs="Calibri"/>
                      <w:color w:val="000000"/>
                    </w:rPr>
                    <w:t>Ryzyko przekroczenia zakładanych kosztów realizacji Projektu w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y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nikające między inn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y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 xml:space="preserve">mi z nieprawidłowego oszacowania kosztów 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lastRenderedPageBreak/>
                    <w:t>(w tym kosztów os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o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bowych, usług, urz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ą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dzeń, czy oprogram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>o</w:t>
                  </w:r>
                  <w:r w:rsidRPr="00DA534C">
                    <w:rPr>
                      <w:rFonts w:ascii="Calibri" w:hAnsi="Calibri" w:cs="Calibri"/>
                      <w:color w:val="000000"/>
                    </w:rPr>
                    <w:t xml:space="preserve">wania) </w:t>
                  </w:r>
                </w:p>
              </w:tc>
            </w:tr>
          </w:tbl>
          <w:p w14:paraId="25374FF2" w14:textId="7849085C" w:rsidR="00322614" w:rsidRPr="00141A92" w:rsidRDefault="00322614" w:rsidP="00C2175B">
            <w:pPr>
              <w:pStyle w:val="Default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02BE9F" w14:textId="518DDEA8" w:rsidR="00322614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Średnia</w:t>
            </w:r>
          </w:p>
        </w:tc>
        <w:tc>
          <w:tcPr>
            <w:tcW w:w="1275" w:type="dxa"/>
            <w:vAlign w:val="center"/>
          </w:tcPr>
          <w:p w14:paraId="593D4C92" w14:textId="4AA3C020" w:rsidR="00322614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3828" w:type="dxa"/>
          </w:tcPr>
          <w:p w14:paraId="65D36358" w14:textId="7E31DD0B" w:rsidR="00DA534C" w:rsidRDefault="00207BF2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  <w:r w:rsidR="00DA534C" w:rsidRPr="00DA534C">
              <w:rPr>
                <w:rFonts w:ascii="Calibri" w:hAnsi="Calibri" w:cs="Calibri"/>
                <w:color w:val="000000"/>
              </w:rPr>
              <w:t>W celu minimalizacji ryzyka przekroczenia kosztów u benef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>cjenta będzie prowadzona stała kontrola pracochłonności w</w:t>
            </w:r>
            <w:r w:rsidR="00DA534C" w:rsidRPr="00DA534C">
              <w:rPr>
                <w:rFonts w:ascii="Calibri" w:hAnsi="Calibri" w:cs="Calibri"/>
                <w:color w:val="000000"/>
              </w:rPr>
              <w:t>y</w:t>
            </w:r>
            <w:r w:rsidR="00DA534C" w:rsidRPr="00DA534C">
              <w:rPr>
                <w:rFonts w:ascii="Calibri" w:hAnsi="Calibri" w:cs="Calibri"/>
                <w:color w:val="000000"/>
              </w:rPr>
              <w:t xml:space="preserve">twarzania oprogramowania. Wpływ tego ryzyka na projekt </w:t>
            </w:r>
            <w:r>
              <w:rPr>
                <w:rFonts w:ascii="Calibri" w:hAnsi="Calibri" w:cs="Calibri"/>
                <w:color w:val="000000"/>
              </w:rPr>
              <w:lastRenderedPageBreak/>
              <w:t>jest</w:t>
            </w:r>
            <w:r w:rsidR="00DA534C" w:rsidRPr="00DA534C">
              <w:rPr>
                <w:rFonts w:ascii="Calibri" w:hAnsi="Calibri" w:cs="Calibri"/>
                <w:color w:val="000000"/>
              </w:rPr>
              <w:t xml:space="preserve"> łagodzony poprzez możl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>wość wykorzystania doświa</w:t>
            </w:r>
            <w:r w:rsidR="00DA534C" w:rsidRPr="00DA534C">
              <w:rPr>
                <w:rFonts w:ascii="Calibri" w:hAnsi="Calibri" w:cs="Calibri"/>
                <w:color w:val="000000"/>
              </w:rPr>
              <w:t>d</w:t>
            </w:r>
            <w:r w:rsidR="00DA534C" w:rsidRPr="00DA534C">
              <w:rPr>
                <w:rFonts w:ascii="Calibri" w:hAnsi="Calibri" w:cs="Calibri"/>
                <w:color w:val="000000"/>
              </w:rPr>
              <w:t>czenia pracowników Laborat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rium oraz wsparcia pracown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>ków administracyjnych GUM, którzy brali udział w sporządz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niu dokumentacji zakupowej odnośnie zamówień publicznych na nietypowy sprzęt, który d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tychczas był wykorzystywany w Laboratorium.</w:t>
            </w:r>
          </w:p>
          <w:p w14:paraId="6013A92A" w14:textId="77777777" w:rsidR="00322614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działania zapobiegawcze i korygujące.</w:t>
            </w:r>
          </w:p>
          <w:p w14:paraId="6248503E" w14:textId="3B975A2F" w:rsidR="00366DB6" w:rsidRDefault="00207BF2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</w:t>
            </w:r>
            <w:r w:rsidR="00366DB6">
              <w:rPr>
                <w:rFonts w:ascii="Calibri" w:hAnsi="Calibri" w:cs="Calibri"/>
                <w:color w:val="000000"/>
              </w:rPr>
              <w:t>Faktycznym efektem działań korygujących jest aktualnie brak</w:t>
            </w:r>
            <w:r w:rsidR="00994055">
              <w:rPr>
                <w:rFonts w:ascii="Calibri" w:hAnsi="Calibri" w:cs="Calibri"/>
                <w:color w:val="000000"/>
              </w:rPr>
              <w:t xml:space="preserve"> zagrożenia związanego z nied</w:t>
            </w:r>
            <w:r w:rsidR="00994055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t>szacowaniem kosztów nabyw</w:t>
            </w:r>
            <w:r w:rsidR="00994055">
              <w:rPr>
                <w:rFonts w:ascii="Calibri" w:hAnsi="Calibri" w:cs="Calibri"/>
                <w:color w:val="000000"/>
              </w:rPr>
              <w:t>a</w:t>
            </w:r>
            <w:r w:rsidR="00994055">
              <w:rPr>
                <w:rFonts w:ascii="Calibri" w:hAnsi="Calibri" w:cs="Calibri"/>
                <w:color w:val="000000"/>
              </w:rPr>
              <w:t>nego sprzętu i usług oraz kos</w:t>
            </w:r>
            <w:r w:rsidR="00994055">
              <w:rPr>
                <w:rFonts w:ascii="Calibri" w:hAnsi="Calibri" w:cs="Calibri"/>
                <w:color w:val="000000"/>
              </w:rPr>
              <w:t>z</w:t>
            </w:r>
            <w:r w:rsidR="00994055">
              <w:rPr>
                <w:rFonts w:ascii="Calibri" w:hAnsi="Calibri" w:cs="Calibri"/>
                <w:color w:val="000000"/>
              </w:rPr>
              <w:t xml:space="preserve">tów osobowych. Kluczowym czynnikiem wpływającym na osiągnięcie tego efektu jest </w:t>
            </w:r>
            <w:r w:rsidR="006E0E46">
              <w:rPr>
                <w:rFonts w:ascii="Calibri" w:hAnsi="Calibri" w:cs="Calibri"/>
                <w:color w:val="000000"/>
              </w:rPr>
              <w:t>ci</w:t>
            </w:r>
            <w:r w:rsidR="006E0E46">
              <w:rPr>
                <w:rFonts w:ascii="Calibri" w:hAnsi="Calibri" w:cs="Calibri"/>
                <w:color w:val="000000"/>
              </w:rPr>
              <w:t>ą</w:t>
            </w:r>
            <w:r w:rsidR="006E0E46">
              <w:rPr>
                <w:rFonts w:ascii="Calibri" w:hAnsi="Calibri" w:cs="Calibri"/>
                <w:color w:val="000000"/>
              </w:rPr>
              <w:t xml:space="preserve">głe </w:t>
            </w:r>
            <w:r w:rsidR="00994055">
              <w:rPr>
                <w:rFonts w:ascii="Calibri" w:hAnsi="Calibri" w:cs="Calibri"/>
                <w:color w:val="000000"/>
              </w:rPr>
              <w:t>korzystanie z doświadczenia kadry Samodzielnego Laborat</w:t>
            </w:r>
            <w:r w:rsidR="00994055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t>rium Czasu i Częstotliwości GUM, która zaangażowana jest w powstawanie produktów pr</w:t>
            </w:r>
            <w:r w:rsidR="00994055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t>jektu.</w:t>
            </w:r>
          </w:p>
          <w:p w14:paraId="4257AD15" w14:textId="4F0E63E1" w:rsidR="006E0E46" w:rsidRPr="00DA534C" w:rsidRDefault="00207BF2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DA534C" w:rsidRPr="002B50C0" w14:paraId="108AA46C" w14:textId="77777777" w:rsidTr="009F5EE5">
        <w:tc>
          <w:tcPr>
            <w:tcW w:w="2977" w:type="dxa"/>
            <w:vAlign w:val="center"/>
          </w:tcPr>
          <w:p w14:paraId="10E2E408" w14:textId="58587C68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związane z ni</w:t>
            </w:r>
            <w:r w:rsidRPr="00DA534C">
              <w:rPr>
                <w:rFonts w:ascii="Calibri" w:hAnsi="Calibri" w:cs="Calibri"/>
                <w:color w:val="000000"/>
              </w:rPr>
              <w:t>e</w:t>
            </w:r>
            <w:r w:rsidRPr="00DA534C">
              <w:rPr>
                <w:rFonts w:ascii="Calibri" w:hAnsi="Calibri" w:cs="Calibri"/>
                <w:color w:val="000000"/>
              </w:rPr>
              <w:t>wystarczającymi zas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bami kadrowymi benef</w:t>
            </w:r>
            <w:r w:rsidRPr="00DA534C">
              <w:rPr>
                <w:rFonts w:ascii="Calibri" w:hAnsi="Calibri" w:cs="Calibri"/>
                <w:color w:val="000000"/>
              </w:rPr>
              <w:t>i</w:t>
            </w:r>
            <w:r w:rsidRPr="00DA534C">
              <w:rPr>
                <w:rFonts w:ascii="Calibri" w:hAnsi="Calibri" w:cs="Calibri"/>
                <w:color w:val="000000"/>
              </w:rPr>
              <w:t>cjenta.</w:t>
            </w:r>
          </w:p>
        </w:tc>
        <w:tc>
          <w:tcPr>
            <w:tcW w:w="1418" w:type="dxa"/>
            <w:vAlign w:val="center"/>
          </w:tcPr>
          <w:p w14:paraId="6B52B06A" w14:textId="0B4D486A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Średnia</w:t>
            </w:r>
          </w:p>
        </w:tc>
        <w:tc>
          <w:tcPr>
            <w:tcW w:w="1275" w:type="dxa"/>
            <w:vAlign w:val="center"/>
          </w:tcPr>
          <w:p w14:paraId="5E46C479" w14:textId="62552F57" w:rsidR="00DA534C" w:rsidRPr="00DA534C" w:rsidRDefault="00DA534C" w:rsidP="00DA534C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Średnie</w:t>
            </w:r>
          </w:p>
        </w:tc>
        <w:tc>
          <w:tcPr>
            <w:tcW w:w="3828" w:type="dxa"/>
          </w:tcPr>
          <w:p w14:paraId="50CB8ECF" w14:textId="7420463B" w:rsidR="000F1ADE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  <w:r w:rsidR="00DA534C" w:rsidRPr="00DA534C">
              <w:rPr>
                <w:rFonts w:ascii="Calibri" w:hAnsi="Calibri" w:cs="Calibri"/>
                <w:color w:val="000000"/>
              </w:rPr>
              <w:t>W celu minimalizacji ryzyka beneficjent już etapie planow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nia przyznaje odpowiednie z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soby osobowe do realizacji Pr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jektu. Beneficjent planuje ró</w:t>
            </w:r>
            <w:r w:rsidR="00DA534C" w:rsidRPr="00DA534C">
              <w:rPr>
                <w:rFonts w:ascii="Calibri" w:hAnsi="Calibri" w:cs="Calibri"/>
                <w:color w:val="000000"/>
              </w:rPr>
              <w:t>w</w:t>
            </w:r>
            <w:r w:rsidR="00DA534C" w:rsidRPr="00DA534C">
              <w:rPr>
                <w:rFonts w:ascii="Calibri" w:hAnsi="Calibri" w:cs="Calibri"/>
                <w:color w:val="000000"/>
              </w:rPr>
              <w:t>nież zaangażowanie zewnętr</w:t>
            </w:r>
            <w:r w:rsidR="00DA534C" w:rsidRPr="00DA534C">
              <w:rPr>
                <w:rFonts w:ascii="Calibri" w:hAnsi="Calibri" w:cs="Calibri"/>
                <w:color w:val="000000"/>
              </w:rPr>
              <w:t>z</w:t>
            </w:r>
            <w:r w:rsidR="00DA534C" w:rsidRPr="00DA534C">
              <w:rPr>
                <w:rFonts w:ascii="Calibri" w:hAnsi="Calibri" w:cs="Calibri"/>
                <w:color w:val="000000"/>
              </w:rPr>
              <w:t>nych doradców technicznych, którzy będą służyli wsparciem w zakresie niektórych prac. Pona</w:t>
            </w:r>
            <w:r w:rsidR="00DA534C" w:rsidRPr="00DA534C">
              <w:rPr>
                <w:rFonts w:ascii="Calibri" w:hAnsi="Calibri" w:cs="Calibri"/>
                <w:color w:val="000000"/>
              </w:rPr>
              <w:t>d</w:t>
            </w:r>
            <w:r w:rsidR="00DA534C" w:rsidRPr="00DA534C">
              <w:rPr>
                <w:rFonts w:ascii="Calibri" w:hAnsi="Calibri" w:cs="Calibri"/>
                <w:color w:val="000000"/>
              </w:rPr>
              <w:t>to planuje zastosowanie met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dyki zarządzania, również w zakresie kształtowania zespołu. Proponowana reakcja: akcept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cja ryzyka.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0F1ADE">
              <w:rPr>
                <w:rFonts w:ascii="Calibri" w:hAnsi="Calibri" w:cs="Calibri"/>
                <w:color w:val="000000"/>
              </w:rPr>
              <w:t xml:space="preserve">Aktualnie podjęto działania zarządcze w postaci uruchomienia naborów do </w:t>
            </w:r>
            <w:r w:rsidR="00994055">
              <w:rPr>
                <w:rFonts w:ascii="Calibri" w:hAnsi="Calibri" w:cs="Calibri"/>
                <w:color w:val="000000"/>
              </w:rPr>
              <w:t>Biura Projektu</w:t>
            </w:r>
            <w:r w:rsidR="000F1ADE">
              <w:rPr>
                <w:rFonts w:ascii="Calibri" w:hAnsi="Calibri" w:cs="Calibri"/>
                <w:color w:val="000000"/>
              </w:rPr>
              <w:t>.</w:t>
            </w:r>
            <w:r w:rsidR="00994055">
              <w:rPr>
                <w:rFonts w:ascii="Calibri" w:hAnsi="Calibri" w:cs="Calibri"/>
                <w:color w:val="000000"/>
              </w:rPr>
              <w:t xml:space="preserve"> </w:t>
            </w:r>
            <w:r w:rsidR="000F1ADE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t xml:space="preserve">bowiązki związane z pełnieniem ww. ról </w:t>
            </w:r>
            <w:r w:rsidR="000F1ADE">
              <w:rPr>
                <w:rFonts w:ascii="Calibri" w:hAnsi="Calibri" w:cs="Calibri"/>
                <w:color w:val="000000"/>
              </w:rPr>
              <w:t>nieobsadz</w:t>
            </w:r>
            <w:r w:rsidR="000F1ADE">
              <w:rPr>
                <w:rFonts w:ascii="Calibri" w:hAnsi="Calibri" w:cs="Calibri"/>
                <w:color w:val="000000"/>
              </w:rPr>
              <w:t>o</w:t>
            </w:r>
            <w:r w:rsidR="000F1ADE">
              <w:rPr>
                <w:rFonts w:ascii="Calibri" w:hAnsi="Calibri" w:cs="Calibri"/>
                <w:color w:val="000000"/>
              </w:rPr>
              <w:lastRenderedPageBreak/>
              <w:t xml:space="preserve">nych </w:t>
            </w:r>
            <w:r w:rsidR="00994055">
              <w:rPr>
                <w:rFonts w:ascii="Calibri" w:hAnsi="Calibri" w:cs="Calibri"/>
                <w:color w:val="000000"/>
              </w:rPr>
              <w:t>przejmują obecni praco</w:t>
            </w:r>
            <w:r w:rsidR="00994055">
              <w:rPr>
                <w:rFonts w:ascii="Calibri" w:hAnsi="Calibri" w:cs="Calibri"/>
                <w:color w:val="000000"/>
              </w:rPr>
              <w:t>w</w:t>
            </w:r>
            <w:r w:rsidR="00994055">
              <w:rPr>
                <w:rFonts w:ascii="Calibri" w:hAnsi="Calibri" w:cs="Calibri"/>
                <w:color w:val="000000"/>
              </w:rPr>
              <w:t>nicy administracji GUM.</w:t>
            </w:r>
          </w:p>
          <w:p w14:paraId="0D10914C" w14:textId="2894A6FE" w:rsidR="00994055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</w:t>
            </w:r>
            <w:r w:rsidR="000F1ADE">
              <w:rPr>
                <w:rFonts w:ascii="Calibri" w:hAnsi="Calibri" w:cs="Calibri"/>
                <w:color w:val="000000"/>
              </w:rPr>
              <w:t xml:space="preserve">Faktycznym efektem działań jest brak </w:t>
            </w:r>
            <w:r w:rsidR="00FB2DDA">
              <w:rPr>
                <w:rFonts w:ascii="Calibri" w:hAnsi="Calibri" w:cs="Calibri"/>
                <w:color w:val="000000"/>
              </w:rPr>
              <w:t>zagrożenia związanego z potencjalnym nieobsadzeniem kluczowych stanowisk w ramach personelu projektu bezpośre</w:t>
            </w:r>
            <w:r w:rsidR="00FB2DDA">
              <w:rPr>
                <w:rFonts w:ascii="Calibri" w:hAnsi="Calibri" w:cs="Calibri"/>
                <w:color w:val="000000"/>
              </w:rPr>
              <w:t>d</w:t>
            </w:r>
            <w:r w:rsidR="00FB2DDA">
              <w:rPr>
                <w:rFonts w:ascii="Calibri" w:hAnsi="Calibri" w:cs="Calibri"/>
                <w:color w:val="000000"/>
              </w:rPr>
              <w:t>nio zaangażowanego w p</w:t>
            </w:r>
            <w:r w:rsidR="00FB2DDA">
              <w:rPr>
                <w:rFonts w:ascii="Calibri" w:hAnsi="Calibri" w:cs="Calibri"/>
                <w:color w:val="000000"/>
              </w:rPr>
              <w:t>o</w:t>
            </w:r>
            <w:r w:rsidR="00FB2DDA">
              <w:rPr>
                <w:rFonts w:ascii="Calibri" w:hAnsi="Calibri" w:cs="Calibri"/>
                <w:color w:val="000000"/>
              </w:rPr>
              <w:t>wstawanie produktów projektu.</w:t>
            </w:r>
          </w:p>
          <w:p w14:paraId="5BEC3A6F" w14:textId="786A1E4A" w:rsidR="006E0E46" w:rsidRPr="00DA534C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DA534C" w:rsidRPr="002B50C0" w14:paraId="6574D1A3" w14:textId="77777777" w:rsidTr="006B1DE6">
        <w:tc>
          <w:tcPr>
            <w:tcW w:w="2977" w:type="dxa"/>
            <w:vAlign w:val="center"/>
          </w:tcPr>
          <w:p w14:paraId="7CF2C615" w14:textId="79658BF9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braku świadom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ści potrzeb korzystania z usług dystrybucji czasu świadczonych przez GUM</w:t>
            </w:r>
          </w:p>
        </w:tc>
        <w:tc>
          <w:tcPr>
            <w:tcW w:w="1418" w:type="dxa"/>
            <w:vAlign w:val="center"/>
          </w:tcPr>
          <w:p w14:paraId="08A61675" w14:textId="663C79B5" w:rsidR="00DA534C" w:rsidRPr="00DA534C" w:rsidRDefault="00DA534C" w:rsidP="006B1D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E85207">
              <w:t>Średnia</w:t>
            </w:r>
          </w:p>
        </w:tc>
        <w:tc>
          <w:tcPr>
            <w:tcW w:w="1275" w:type="dxa"/>
            <w:vAlign w:val="center"/>
          </w:tcPr>
          <w:p w14:paraId="66B83FAC" w14:textId="3915F0D7" w:rsidR="00DA534C" w:rsidRPr="00DA534C" w:rsidRDefault="00DA534C" w:rsidP="006B1DE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 w:rsidRPr="00E85207">
              <w:t>Średnia</w:t>
            </w:r>
          </w:p>
        </w:tc>
        <w:tc>
          <w:tcPr>
            <w:tcW w:w="3828" w:type="dxa"/>
          </w:tcPr>
          <w:p w14:paraId="500AFDC2" w14:textId="56B7BE23" w:rsidR="00DA534C" w:rsidRPr="00DA534C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  <w:r w:rsidR="00DA534C" w:rsidRPr="00DA534C">
              <w:rPr>
                <w:rFonts w:ascii="Calibri" w:hAnsi="Calibri" w:cs="Calibri"/>
                <w:color w:val="000000"/>
              </w:rPr>
              <w:t>W celu minimalizacji ryzyka beneficjent przewidział budowę w ramach projektu środowiska o wysokiej dostępności („High-</w:t>
            </w:r>
            <w:proofErr w:type="spellStart"/>
            <w:r w:rsidR="00DA534C" w:rsidRPr="00DA534C">
              <w:rPr>
                <w:rFonts w:ascii="Calibri" w:hAnsi="Calibri" w:cs="Calibri"/>
                <w:color w:val="000000"/>
              </w:rPr>
              <w:t>Availability</w:t>
            </w:r>
            <w:proofErr w:type="spellEnd"/>
            <w:r w:rsidR="00DA534C" w:rsidRPr="00DA534C">
              <w:rPr>
                <w:rFonts w:ascii="Calibri" w:hAnsi="Calibri" w:cs="Calibri"/>
                <w:color w:val="000000"/>
              </w:rPr>
              <w:t>”) przez co usługi będą konkurencyjne i atrakcyjne dla użytkowników. Ponadto przewidziano różnorodne dzi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łania informacyjnopromocyjne świadczone poprzez różne kan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ły informacyjne: np. Portal GUM, informacja podawana na falach Polskiego Radia (w zwią</w:t>
            </w:r>
            <w:r w:rsidR="00DA534C" w:rsidRPr="00DA534C">
              <w:rPr>
                <w:rFonts w:ascii="Calibri" w:hAnsi="Calibri" w:cs="Calibri"/>
                <w:color w:val="000000"/>
              </w:rPr>
              <w:t>z</w:t>
            </w:r>
            <w:r w:rsidR="00DA534C" w:rsidRPr="00DA534C">
              <w:rPr>
                <w:rFonts w:ascii="Calibri" w:hAnsi="Calibri" w:cs="Calibri"/>
                <w:color w:val="000000"/>
              </w:rPr>
              <w:t>ku z usługą radiową), promocja projektu na wszystkich wyd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rzeniach branżowych i spotk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niach grup technicznych, w kt</w:t>
            </w:r>
            <w:r w:rsidR="00DA534C" w:rsidRPr="00DA534C">
              <w:rPr>
                <w:rFonts w:ascii="Calibri" w:hAnsi="Calibri" w:cs="Calibri"/>
                <w:color w:val="000000"/>
              </w:rPr>
              <w:t>ó</w:t>
            </w:r>
            <w:r w:rsidR="00DA534C" w:rsidRPr="00DA534C">
              <w:rPr>
                <w:rFonts w:ascii="Calibri" w:hAnsi="Calibri" w:cs="Calibri"/>
                <w:color w:val="000000"/>
              </w:rPr>
              <w:t>rych GUM uczestniczy. Wraz</w:t>
            </w:r>
            <w:r w:rsidR="00DA534C">
              <w:t xml:space="preserve"> </w:t>
            </w:r>
            <w:r w:rsidR="00DA534C" w:rsidRPr="00DA534C">
              <w:rPr>
                <w:rFonts w:ascii="Calibri" w:hAnsi="Calibri" w:cs="Calibri"/>
                <w:color w:val="000000"/>
              </w:rPr>
              <w:t>wdrożeniem każdej z nowych usług zostanie mediach zapr</w:t>
            </w:r>
            <w:r w:rsidR="00DA534C" w:rsidRPr="00DA534C">
              <w:rPr>
                <w:rFonts w:ascii="Calibri" w:hAnsi="Calibri" w:cs="Calibri"/>
                <w:color w:val="000000"/>
              </w:rPr>
              <w:t>e</w:t>
            </w:r>
            <w:r w:rsidR="00DA534C" w:rsidRPr="00DA534C">
              <w:rPr>
                <w:rFonts w:ascii="Calibri" w:hAnsi="Calibri" w:cs="Calibri"/>
                <w:color w:val="000000"/>
              </w:rPr>
              <w:t>zentowany materiał informacy</w:t>
            </w:r>
            <w:r w:rsidR="00DA534C" w:rsidRPr="00DA534C">
              <w:rPr>
                <w:rFonts w:ascii="Calibri" w:hAnsi="Calibri" w:cs="Calibri"/>
                <w:color w:val="000000"/>
              </w:rPr>
              <w:t>j</w:t>
            </w:r>
            <w:r w:rsidR="00DA534C" w:rsidRPr="00DA534C">
              <w:rPr>
                <w:rFonts w:ascii="Calibri" w:hAnsi="Calibri" w:cs="Calibri"/>
                <w:color w:val="000000"/>
              </w:rPr>
              <w:t>ny dot. danej usługi, którego różne poziomy szczegółowość będą dostosowane do grup użytkowników o różnej świad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mości tematyki synchronizacji czasu.</w:t>
            </w:r>
          </w:p>
          <w:p w14:paraId="6522CF42" w14:textId="22362396" w:rsidR="00994055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monit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rowanie wykorzystania usług oraz zainteresowania nowymi usługami oraz działania zap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biegawcze i korygujące.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A54B8F">
              <w:rPr>
                <w:rFonts w:ascii="Calibri" w:hAnsi="Calibri" w:cs="Calibri"/>
                <w:color w:val="000000"/>
              </w:rPr>
              <w:t xml:space="preserve"> </w:t>
            </w:r>
            <w:r w:rsidR="006B1DE6">
              <w:rPr>
                <w:rFonts w:ascii="Calibri" w:hAnsi="Calibri" w:cs="Calibri"/>
                <w:color w:val="000000"/>
              </w:rPr>
              <w:t>Aktua</w:t>
            </w:r>
            <w:r w:rsidR="006B1DE6">
              <w:rPr>
                <w:rFonts w:ascii="Calibri" w:hAnsi="Calibri" w:cs="Calibri"/>
                <w:color w:val="000000"/>
              </w:rPr>
              <w:t>l</w:t>
            </w:r>
            <w:r w:rsidR="006B1DE6">
              <w:rPr>
                <w:rFonts w:ascii="Calibri" w:hAnsi="Calibri" w:cs="Calibri"/>
                <w:color w:val="000000"/>
              </w:rPr>
              <w:t>nie podjęto działania zarządcze w postaci</w:t>
            </w:r>
            <w:r w:rsidR="00994055">
              <w:rPr>
                <w:rFonts w:ascii="Calibri" w:hAnsi="Calibri" w:cs="Calibri"/>
                <w:color w:val="000000"/>
              </w:rPr>
              <w:t xml:space="preserve"> przygoto</w:t>
            </w:r>
            <w:r w:rsidR="006B1DE6">
              <w:rPr>
                <w:rFonts w:ascii="Calibri" w:hAnsi="Calibri" w:cs="Calibri"/>
                <w:color w:val="000000"/>
              </w:rPr>
              <w:t>wania</w:t>
            </w:r>
            <w:r w:rsidR="00994055">
              <w:rPr>
                <w:rFonts w:ascii="Calibri" w:hAnsi="Calibri" w:cs="Calibri"/>
                <w:color w:val="000000"/>
              </w:rPr>
              <w:t xml:space="preserve"> seria wiadomości dedykowanych do zamieszczenia w portalach sp</w:t>
            </w:r>
            <w:r w:rsidR="00994055">
              <w:rPr>
                <w:rFonts w:ascii="Calibri" w:hAnsi="Calibri" w:cs="Calibri"/>
                <w:color w:val="000000"/>
              </w:rPr>
              <w:t>o</w:t>
            </w:r>
            <w:r w:rsidR="00994055">
              <w:rPr>
                <w:rFonts w:ascii="Calibri" w:hAnsi="Calibri" w:cs="Calibri"/>
                <w:color w:val="000000"/>
              </w:rPr>
              <w:lastRenderedPageBreak/>
              <w:t xml:space="preserve">łecznościowych, przygotowano skróconą broszurę informacyjną o projekcie, a także </w:t>
            </w:r>
            <w:r w:rsidR="004063B6">
              <w:rPr>
                <w:rFonts w:ascii="Calibri" w:hAnsi="Calibri" w:cs="Calibri"/>
                <w:color w:val="000000"/>
              </w:rPr>
              <w:t>udostępni</w:t>
            </w:r>
            <w:r w:rsidR="004063B6">
              <w:rPr>
                <w:rFonts w:ascii="Calibri" w:hAnsi="Calibri" w:cs="Calibri"/>
                <w:color w:val="000000"/>
              </w:rPr>
              <w:t>o</w:t>
            </w:r>
            <w:r w:rsidR="004063B6">
              <w:rPr>
                <w:rFonts w:ascii="Calibri" w:hAnsi="Calibri" w:cs="Calibri"/>
                <w:color w:val="000000"/>
              </w:rPr>
              <w:t>no stronę www, na której mo</w:t>
            </w:r>
            <w:r w:rsidR="004063B6">
              <w:rPr>
                <w:rFonts w:ascii="Calibri" w:hAnsi="Calibri" w:cs="Calibri"/>
                <w:color w:val="000000"/>
              </w:rPr>
              <w:t>ż</w:t>
            </w:r>
            <w:r w:rsidR="004063B6">
              <w:rPr>
                <w:rFonts w:ascii="Calibri" w:hAnsi="Calibri" w:cs="Calibri"/>
                <w:color w:val="000000"/>
              </w:rPr>
              <w:t>na znaleźć bardziej szczegółowe informacje o projekcie. Ponadto odnotować można nie mniej niż 5 wystąpień publicznych i art</w:t>
            </w:r>
            <w:r w:rsidR="004063B6">
              <w:rPr>
                <w:rFonts w:ascii="Calibri" w:hAnsi="Calibri" w:cs="Calibri"/>
                <w:color w:val="000000"/>
              </w:rPr>
              <w:t>y</w:t>
            </w:r>
            <w:r w:rsidR="004063B6">
              <w:rPr>
                <w:rFonts w:ascii="Calibri" w:hAnsi="Calibri" w:cs="Calibri"/>
                <w:color w:val="000000"/>
              </w:rPr>
              <w:t>kułów w prasie, w których przedstawiciele GUM informują o projekcie e-CzasPL.</w:t>
            </w:r>
          </w:p>
          <w:p w14:paraId="312F2BE3" w14:textId="10D26B99" w:rsidR="006B1DE6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</w:t>
            </w:r>
            <w:r w:rsidR="006B1DE6">
              <w:rPr>
                <w:rFonts w:ascii="Calibri" w:hAnsi="Calibri" w:cs="Calibri"/>
                <w:color w:val="000000"/>
              </w:rPr>
              <w:t xml:space="preserve">Efektem podjętych działań jest brak informacji odnośnie zwiększającego się problemu związanego z </w:t>
            </w:r>
            <w:r w:rsidR="006B1DE6" w:rsidRPr="006B1DE6">
              <w:rPr>
                <w:rFonts w:ascii="Calibri" w:hAnsi="Calibri" w:cs="Calibri"/>
                <w:color w:val="000000"/>
              </w:rPr>
              <w:t>brak</w:t>
            </w:r>
            <w:r w:rsidR="006B1DE6">
              <w:rPr>
                <w:rFonts w:ascii="Calibri" w:hAnsi="Calibri" w:cs="Calibri"/>
                <w:color w:val="000000"/>
              </w:rPr>
              <w:t>iem</w:t>
            </w:r>
            <w:r w:rsidR="006B1DE6" w:rsidRPr="006B1DE6">
              <w:rPr>
                <w:rFonts w:ascii="Calibri" w:hAnsi="Calibri" w:cs="Calibri"/>
                <w:color w:val="000000"/>
              </w:rPr>
              <w:t xml:space="preserve"> świad</w:t>
            </w:r>
            <w:r w:rsidR="006B1DE6" w:rsidRPr="006B1DE6">
              <w:rPr>
                <w:rFonts w:ascii="Calibri" w:hAnsi="Calibri" w:cs="Calibri"/>
                <w:color w:val="000000"/>
              </w:rPr>
              <w:t>o</w:t>
            </w:r>
            <w:r w:rsidR="006B1DE6" w:rsidRPr="006B1DE6">
              <w:rPr>
                <w:rFonts w:ascii="Calibri" w:hAnsi="Calibri" w:cs="Calibri"/>
                <w:color w:val="000000"/>
              </w:rPr>
              <w:t>mości potrzeb korzystania</w:t>
            </w:r>
            <w:r w:rsidR="006B1DE6">
              <w:rPr>
                <w:rFonts w:ascii="Calibri" w:hAnsi="Calibri" w:cs="Calibri"/>
                <w:color w:val="000000"/>
              </w:rPr>
              <w:t xml:space="preserve"> z usług projektu, natomiast ocz</w:t>
            </w:r>
            <w:r w:rsidR="006B1DE6">
              <w:rPr>
                <w:rFonts w:ascii="Calibri" w:hAnsi="Calibri" w:cs="Calibri"/>
                <w:color w:val="000000"/>
              </w:rPr>
              <w:t>e</w:t>
            </w:r>
            <w:r w:rsidR="006B1DE6">
              <w:rPr>
                <w:rFonts w:ascii="Calibri" w:hAnsi="Calibri" w:cs="Calibri"/>
                <w:color w:val="000000"/>
              </w:rPr>
              <w:t>kujemy iż podejmowane dział</w:t>
            </w:r>
            <w:r w:rsidR="006B1DE6">
              <w:rPr>
                <w:rFonts w:ascii="Calibri" w:hAnsi="Calibri" w:cs="Calibri"/>
                <w:color w:val="000000"/>
              </w:rPr>
              <w:t>a</w:t>
            </w:r>
            <w:r w:rsidR="006B1DE6">
              <w:rPr>
                <w:rFonts w:ascii="Calibri" w:hAnsi="Calibri" w:cs="Calibri"/>
                <w:color w:val="000000"/>
              </w:rPr>
              <w:t xml:space="preserve">nia w przyszłości przełożą się na osiągnięcie </w:t>
            </w:r>
            <w:r w:rsidR="00193983">
              <w:rPr>
                <w:rFonts w:ascii="Calibri" w:hAnsi="Calibri" w:cs="Calibri"/>
                <w:color w:val="000000"/>
              </w:rPr>
              <w:t>opisanych w St</w:t>
            </w:r>
            <w:r w:rsidR="00193983">
              <w:rPr>
                <w:rFonts w:ascii="Calibri" w:hAnsi="Calibri" w:cs="Calibri"/>
                <w:color w:val="000000"/>
              </w:rPr>
              <w:t>u</w:t>
            </w:r>
            <w:r w:rsidR="00193983">
              <w:rPr>
                <w:rFonts w:ascii="Calibri" w:hAnsi="Calibri" w:cs="Calibri"/>
                <w:color w:val="000000"/>
              </w:rPr>
              <w:t>dium Wykonalności projektu założeń dot. liczby użytkown</w:t>
            </w:r>
            <w:r w:rsidR="00193983">
              <w:rPr>
                <w:rFonts w:ascii="Calibri" w:hAnsi="Calibri" w:cs="Calibri"/>
                <w:color w:val="000000"/>
              </w:rPr>
              <w:t>i</w:t>
            </w:r>
            <w:r w:rsidR="00193983">
              <w:rPr>
                <w:rFonts w:ascii="Calibri" w:hAnsi="Calibri" w:cs="Calibri"/>
                <w:color w:val="000000"/>
              </w:rPr>
              <w:t>ków.</w:t>
            </w:r>
          </w:p>
          <w:p w14:paraId="456F9A07" w14:textId="0BF90EAD" w:rsidR="006E0E46" w:rsidRPr="00DA534C" w:rsidRDefault="00A54B8F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  <w:tr w:rsidR="00DA534C" w:rsidRPr="002B50C0" w14:paraId="20ECF99A" w14:textId="77777777" w:rsidTr="009F5EE5">
        <w:tc>
          <w:tcPr>
            <w:tcW w:w="2977" w:type="dxa"/>
            <w:vAlign w:val="center"/>
          </w:tcPr>
          <w:p w14:paraId="163C3456" w14:textId="4495BBD1" w:rsidR="00DA534C" w:rsidRP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lastRenderedPageBreak/>
              <w:t>Ryzyko utrudnionej d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stępności na rynku sp</w:t>
            </w:r>
            <w:r w:rsidRPr="00DA534C">
              <w:rPr>
                <w:rFonts w:ascii="Calibri" w:hAnsi="Calibri" w:cs="Calibri"/>
                <w:color w:val="000000"/>
              </w:rPr>
              <w:t>e</w:t>
            </w:r>
            <w:r w:rsidRPr="00DA534C">
              <w:rPr>
                <w:rFonts w:ascii="Calibri" w:hAnsi="Calibri" w:cs="Calibri"/>
                <w:color w:val="000000"/>
              </w:rPr>
              <w:t>cjalistycznego sprzętu koniecznego do prz</w:t>
            </w:r>
            <w:r w:rsidRPr="00DA534C">
              <w:rPr>
                <w:rFonts w:ascii="Calibri" w:hAnsi="Calibri" w:cs="Calibri"/>
                <w:color w:val="000000"/>
              </w:rPr>
              <w:t>e</w:t>
            </w:r>
            <w:r w:rsidRPr="00DA534C">
              <w:rPr>
                <w:rFonts w:ascii="Calibri" w:hAnsi="Calibri" w:cs="Calibri"/>
                <w:color w:val="000000"/>
              </w:rPr>
              <w:t>prowadzenia projektu.</w:t>
            </w:r>
          </w:p>
        </w:tc>
        <w:tc>
          <w:tcPr>
            <w:tcW w:w="1418" w:type="dxa"/>
            <w:vAlign w:val="center"/>
          </w:tcPr>
          <w:p w14:paraId="1EB083B6" w14:textId="223F0E49" w:rsidR="00DA534C" w:rsidRPr="00E85207" w:rsidRDefault="00DA534C" w:rsidP="00DA534C">
            <w:pPr>
              <w:autoSpaceDE w:val="0"/>
              <w:autoSpaceDN w:val="0"/>
              <w:adjustRightInd w:val="0"/>
              <w:jc w:val="center"/>
            </w:pPr>
            <w:r w:rsidRPr="00467A44">
              <w:t>Średnia</w:t>
            </w:r>
          </w:p>
        </w:tc>
        <w:tc>
          <w:tcPr>
            <w:tcW w:w="1275" w:type="dxa"/>
            <w:vAlign w:val="center"/>
          </w:tcPr>
          <w:p w14:paraId="74B9A6FE" w14:textId="6813C77B" w:rsidR="00DA534C" w:rsidRPr="00E85207" w:rsidRDefault="00DA534C" w:rsidP="00DA534C">
            <w:pPr>
              <w:autoSpaceDE w:val="0"/>
              <w:autoSpaceDN w:val="0"/>
              <w:adjustRightInd w:val="0"/>
              <w:jc w:val="center"/>
            </w:pPr>
            <w:r w:rsidRPr="00467A44">
              <w:t>Średnia</w:t>
            </w:r>
          </w:p>
        </w:tc>
        <w:tc>
          <w:tcPr>
            <w:tcW w:w="3828" w:type="dxa"/>
          </w:tcPr>
          <w:p w14:paraId="4515238F" w14:textId="6B419EB8" w:rsidR="00DA534C" w:rsidRPr="00DA534C" w:rsidRDefault="00001329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</w:t>
            </w:r>
            <w:r w:rsidR="00DA534C" w:rsidRPr="00DA534C">
              <w:rPr>
                <w:rFonts w:ascii="Calibri" w:hAnsi="Calibri" w:cs="Calibri"/>
                <w:color w:val="000000"/>
              </w:rPr>
              <w:t>W celu minimalizacji ryzyka beneficjent prowadzi rozpozn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nie rynku (producentów wys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kospecjalistycznego sprzętu), oraz zaplanował przygotow</w:t>
            </w:r>
            <w:r w:rsidR="00DA534C" w:rsidRPr="00DA534C">
              <w:rPr>
                <w:rFonts w:ascii="Calibri" w:hAnsi="Calibri" w:cs="Calibri"/>
                <w:color w:val="000000"/>
              </w:rPr>
              <w:t>y</w:t>
            </w:r>
            <w:r w:rsidR="00DA534C" w:rsidRPr="00DA534C">
              <w:rPr>
                <w:rFonts w:ascii="Calibri" w:hAnsi="Calibri" w:cs="Calibri"/>
                <w:color w:val="000000"/>
              </w:rPr>
              <w:t>wanie specyfikacji technicznych już w pierwszym etapie proje</w:t>
            </w:r>
            <w:r w:rsidR="00DA534C" w:rsidRPr="00DA534C">
              <w:rPr>
                <w:rFonts w:ascii="Calibri" w:hAnsi="Calibri" w:cs="Calibri"/>
                <w:color w:val="000000"/>
              </w:rPr>
              <w:t>k</w:t>
            </w:r>
            <w:r w:rsidR="00DA534C" w:rsidRPr="00DA534C">
              <w:rPr>
                <w:rFonts w:ascii="Calibri" w:hAnsi="Calibri" w:cs="Calibri"/>
                <w:color w:val="000000"/>
              </w:rPr>
              <w:t>tu, tak aby ewentualne opó</w:t>
            </w:r>
            <w:r w:rsidR="00DA534C" w:rsidRPr="00DA534C">
              <w:rPr>
                <w:rFonts w:ascii="Calibri" w:hAnsi="Calibri" w:cs="Calibri"/>
                <w:color w:val="000000"/>
              </w:rPr>
              <w:t>ź</w:t>
            </w:r>
            <w:r w:rsidR="00DA534C" w:rsidRPr="00DA534C">
              <w:rPr>
                <w:rFonts w:ascii="Calibri" w:hAnsi="Calibri" w:cs="Calibri"/>
                <w:color w:val="000000"/>
              </w:rPr>
              <w:t>nienia nie wpłynęły na możl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>wość realizacji.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="00DA534C" w:rsidRPr="00DA534C">
              <w:rPr>
                <w:rFonts w:ascii="Calibri" w:hAnsi="Calibri" w:cs="Calibri"/>
                <w:color w:val="000000"/>
              </w:rPr>
              <w:t>Ponadto w skład personelu projektu niezbędnego do realizacji zadań merytoryc</w:t>
            </w:r>
            <w:r w:rsidR="00DA534C" w:rsidRPr="00DA534C">
              <w:rPr>
                <w:rFonts w:ascii="Calibri" w:hAnsi="Calibri" w:cs="Calibri"/>
                <w:color w:val="000000"/>
              </w:rPr>
              <w:t>z</w:t>
            </w:r>
            <w:r w:rsidR="00DA534C" w:rsidRPr="00DA534C">
              <w:rPr>
                <w:rFonts w:ascii="Calibri" w:hAnsi="Calibri" w:cs="Calibri"/>
                <w:color w:val="000000"/>
              </w:rPr>
              <w:t>nych wchodzą osoby z wielole</w:t>
            </w:r>
            <w:r w:rsidR="00DA534C" w:rsidRPr="00DA534C">
              <w:rPr>
                <w:rFonts w:ascii="Calibri" w:hAnsi="Calibri" w:cs="Calibri"/>
                <w:color w:val="000000"/>
              </w:rPr>
              <w:t>t</w:t>
            </w:r>
            <w:r w:rsidR="00DA534C" w:rsidRPr="00DA534C">
              <w:rPr>
                <w:rFonts w:ascii="Calibri" w:hAnsi="Calibri" w:cs="Calibri"/>
                <w:color w:val="000000"/>
              </w:rPr>
              <w:t>nim stażem w przedmiotowym obszarze tematycznym, przez co możliwa będzie bieżąca aktual</w:t>
            </w:r>
            <w:r w:rsidR="00DA534C" w:rsidRPr="00DA534C">
              <w:rPr>
                <w:rFonts w:ascii="Calibri" w:hAnsi="Calibri" w:cs="Calibri"/>
                <w:color w:val="000000"/>
              </w:rPr>
              <w:t>i</w:t>
            </w:r>
            <w:r w:rsidR="00DA534C" w:rsidRPr="00DA534C">
              <w:rPr>
                <w:rFonts w:ascii="Calibri" w:hAnsi="Calibri" w:cs="Calibri"/>
                <w:color w:val="000000"/>
              </w:rPr>
              <w:t>zacja i analiza dostępnych na rynku rozwiązań technicznych i technologicznych, które pozw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t>lą na zakup sprzętu i zamówi</w:t>
            </w:r>
            <w:r w:rsidR="00DA534C" w:rsidRPr="00DA534C">
              <w:rPr>
                <w:rFonts w:ascii="Calibri" w:hAnsi="Calibri" w:cs="Calibri"/>
                <w:color w:val="000000"/>
              </w:rPr>
              <w:t>e</w:t>
            </w:r>
            <w:r w:rsidR="00DA534C" w:rsidRPr="00DA534C">
              <w:rPr>
                <w:rFonts w:ascii="Calibri" w:hAnsi="Calibri" w:cs="Calibri"/>
                <w:color w:val="000000"/>
              </w:rPr>
              <w:t>nie usług spełniających wym</w:t>
            </w:r>
            <w:r w:rsidR="00DA534C" w:rsidRPr="00DA534C">
              <w:rPr>
                <w:rFonts w:ascii="Calibri" w:hAnsi="Calibri" w:cs="Calibri"/>
                <w:color w:val="000000"/>
              </w:rPr>
              <w:t>a</w:t>
            </w:r>
            <w:r w:rsidR="00DA534C" w:rsidRPr="00DA534C">
              <w:rPr>
                <w:rFonts w:ascii="Calibri" w:hAnsi="Calibri" w:cs="Calibri"/>
                <w:color w:val="000000"/>
              </w:rPr>
              <w:t>gania założone we wniosku pr</w:t>
            </w:r>
            <w:r w:rsidR="00DA534C" w:rsidRPr="00DA534C">
              <w:rPr>
                <w:rFonts w:ascii="Calibri" w:hAnsi="Calibri" w:cs="Calibri"/>
                <w:color w:val="000000"/>
              </w:rPr>
              <w:t>o</w:t>
            </w:r>
            <w:r w:rsidR="00DA534C" w:rsidRPr="00DA534C">
              <w:rPr>
                <w:rFonts w:ascii="Calibri" w:hAnsi="Calibri" w:cs="Calibri"/>
                <w:color w:val="000000"/>
              </w:rPr>
              <w:lastRenderedPageBreak/>
              <w:t>jektowym.</w:t>
            </w:r>
          </w:p>
          <w:p w14:paraId="3AA66F49" w14:textId="23B66D67" w:rsidR="00DA534C" w:rsidRDefault="00DA534C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DA534C">
              <w:rPr>
                <w:rFonts w:ascii="Calibri" w:hAnsi="Calibri" w:cs="Calibri"/>
                <w:color w:val="000000"/>
              </w:rPr>
              <w:t>Proponowana reakcja: monit</w:t>
            </w:r>
            <w:r w:rsidRPr="00DA534C">
              <w:rPr>
                <w:rFonts w:ascii="Calibri" w:hAnsi="Calibri" w:cs="Calibri"/>
                <w:color w:val="000000"/>
              </w:rPr>
              <w:t>o</w:t>
            </w:r>
            <w:r w:rsidRPr="00DA534C">
              <w:rPr>
                <w:rFonts w:ascii="Calibri" w:hAnsi="Calibri" w:cs="Calibri"/>
                <w:color w:val="000000"/>
              </w:rPr>
              <w:t>rowanie procesu zamówień publicznych, działania zapobi</w:t>
            </w:r>
            <w:r w:rsidRPr="00DA534C">
              <w:rPr>
                <w:rFonts w:ascii="Calibri" w:hAnsi="Calibri" w:cs="Calibri"/>
                <w:color w:val="000000"/>
              </w:rPr>
              <w:t>e</w:t>
            </w:r>
            <w:r w:rsidRPr="00DA534C">
              <w:rPr>
                <w:rFonts w:ascii="Calibri" w:hAnsi="Calibri" w:cs="Calibri"/>
                <w:color w:val="000000"/>
              </w:rPr>
              <w:t>gawcze i korygujące.</w:t>
            </w:r>
          </w:p>
          <w:p w14:paraId="2D5D3386" w14:textId="084A0303" w:rsidR="004063B6" w:rsidRDefault="00193983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Aktualnie podjęto działania z</w:t>
            </w:r>
            <w:r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>rządcze w postaci</w:t>
            </w:r>
            <w:r w:rsidR="004063B6">
              <w:rPr>
                <w:rFonts w:ascii="Calibri" w:hAnsi="Calibri" w:cs="Calibri"/>
                <w:color w:val="000000"/>
              </w:rPr>
              <w:t xml:space="preserve"> bezpośre</w:t>
            </w:r>
            <w:r w:rsidR="004063B6">
              <w:rPr>
                <w:rFonts w:ascii="Calibri" w:hAnsi="Calibri" w:cs="Calibri"/>
                <w:color w:val="000000"/>
              </w:rPr>
              <w:t>d</w:t>
            </w:r>
            <w:r w:rsidR="004063B6">
              <w:rPr>
                <w:rFonts w:ascii="Calibri" w:hAnsi="Calibri" w:cs="Calibri"/>
                <w:color w:val="000000"/>
              </w:rPr>
              <w:t>ni</w:t>
            </w:r>
            <w:r>
              <w:rPr>
                <w:rFonts w:ascii="Calibri" w:hAnsi="Calibri" w:cs="Calibri"/>
                <w:color w:val="000000"/>
              </w:rPr>
              <w:t>ego</w:t>
            </w:r>
            <w:r w:rsidR="004063B6">
              <w:rPr>
                <w:rFonts w:ascii="Calibri" w:hAnsi="Calibri" w:cs="Calibri"/>
                <w:color w:val="000000"/>
              </w:rPr>
              <w:t xml:space="preserve"> zaangażowana </w:t>
            </w:r>
            <w:r>
              <w:rPr>
                <w:rFonts w:ascii="Calibri" w:hAnsi="Calibri" w:cs="Calibri"/>
                <w:color w:val="000000"/>
              </w:rPr>
              <w:t>kadry pr</w:t>
            </w:r>
            <w:r>
              <w:rPr>
                <w:rFonts w:ascii="Calibri" w:hAnsi="Calibri" w:cs="Calibri"/>
                <w:color w:val="000000"/>
              </w:rPr>
              <w:t>o</w:t>
            </w:r>
            <w:r>
              <w:rPr>
                <w:rFonts w:ascii="Calibri" w:hAnsi="Calibri" w:cs="Calibri"/>
                <w:color w:val="000000"/>
              </w:rPr>
              <w:t xml:space="preserve">jektu w </w:t>
            </w:r>
            <w:r w:rsidR="004063B6">
              <w:rPr>
                <w:rFonts w:ascii="Calibri" w:hAnsi="Calibri" w:cs="Calibri"/>
                <w:color w:val="000000"/>
              </w:rPr>
              <w:t>stały kontak</w:t>
            </w:r>
            <w:r>
              <w:rPr>
                <w:rFonts w:ascii="Calibri" w:hAnsi="Calibri" w:cs="Calibri"/>
                <w:color w:val="000000"/>
              </w:rPr>
              <w:t>t</w:t>
            </w:r>
            <w:r w:rsidR="004063B6">
              <w:rPr>
                <w:rFonts w:ascii="Calibri" w:hAnsi="Calibri" w:cs="Calibri"/>
                <w:color w:val="000000"/>
              </w:rPr>
              <w:t xml:space="preserve"> z prod</w:t>
            </w:r>
            <w:r w:rsidR="004063B6">
              <w:rPr>
                <w:rFonts w:ascii="Calibri" w:hAnsi="Calibri" w:cs="Calibri"/>
                <w:color w:val="000000"/>
              </w:rPr>
              <w:t>u</w:t>
            </w:r>
            <w:r w:rsidR="004063B6">
              <w:rPr>
                <w:rFonts w:ascii="Calibri" w:hAnsi="Calibri" w:cs="Calibri"/>
                <w:color w:val="000000"/>
              </w:rPr>
              <w:t>centami i dystrybutorami sp</w:t>
            </w:r>
            <w:r w:rsidR="004063B6">
              <w:rPr>
                <w:rFonts w:ascii="Calibri" w:hAnsi="Calibri" w:cs="Calibri"/>
                <w:color w:val="000000"/>
              </w:rPr>
              <w:t>e</w:t>
            </w:r>
            <w:r w:rsidR="004063B6">
              <w:rPr>
                <w:rFonts w:ascii="Calibri" w:hAnsi="Calibri" w:cs="Calibri"/>
                <w:color w:val="000000"/>
              </w:rPr>
              <w:t xml:space="preserve">cjalistycznego sprzętu, a także </w:t>
            </w:r>
            <w:r>
              <w:rPr>
                <w:rFonts w:ascii="Calibri" w:hAnsi="Calibri" w:cs="Calibri"/>
                <w:color w:val="000000"/>
              </w:rPr>
              <w:t xml:space="preserve">zgodnie z harmonogramem </w:t>
            </w:r>
            <w:r w:rsidR="004063B6">
              <w:rPr>
                <w:rFonts w:ascii="Calibri" w:hAnsi="Calibri" w:cs="Calibri"/>
                <w:color w:val="000000"/>
              </w:rPr>
              <w:t>uruchomiono 2 Dialogi Tec</w:t>
            </w:r>
            <w:r w:rsidR="004063B6">
              <w:rPr>
                <w:rFonts w:ascii="Calibri" w:hAnsi="Calibri" w:cs="Calibri"/>
                <w:color w:val="000000"/>
              </w:rPr>
              <w:t>h</w:t>
            </w:r>
            <w:r w:rsidR="004063B6">
              <w:rPr>
                <w:rFonts w:ascii="Calibri" w:hAnsi="Calibri" w:cs="Calibri"/>
                <w:color w:val="000000"/>
              </w:rPr>
              <w:t>niczne w ramach których ró</w:t>
            </w:r>
            <w:r w:rsidR="004063B6">
              <w:rPr>
                <w:rFonts w:ascii="Calibri" w:hAnsi="Calibri" w:cs="Calibri"/>
                <w:color w:val="000000"/>
              </w:rPr>
              <w:t>w</w:t>
            </w:r>
            <w:r w:rsidR="004063B6">
              <w:rPr>
                <w:rFonts w:ascii="Calibri" w:hAnsi="Calibri" w:cs="Calibri"/>
                <w:color w:val="000000"/>
              </w:rPr>
              <w:t>nież rozpoznawane są wszystkie utrudnienia związane z ewent</w:t>
            </w:r>
            <w:r w:rsidR="004063B6">
              <w:rPr>
                <w:rFonts w:ascii="Calibri" w:hAnsi="Calibri" w:cs="Calibri"/>
                <w:color w:val="000000"/>
              </w:rPr>
              <w:t>u</w:t>
            </w:r>
            <w:r w:rsidR="004063B6">
              <w:rPr>
                <w:rFonts w:ascii="Calibri" w:hAnsi="Calibri" w:cs="Calibri"/>
                <w:color w:val="000000"/>
              </w:rPr>
              <w:t>alnym dostępem do technologii koniecznych do wdrożenia w ramach projektu e-CzasPL.</w:t>
            </w:r>
          </w:p>
          <w:p w14:paraId="389DEEA7" w14:textId="1D3145F0" w:rsidR="00193983" w:rsidRDefault="00001329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</w:t>
            </w:r>
            <w:r w:rsidR="00193983">
              <w:rPr>
                <w:rFonts w:ascii="Calibri" w:hAnsi="Calibri" w:cs="Calibri"/>
                <w:color w:val="000000"/>
              </w:rPr>
              <w:t>Efektem podjętych działań jest wykonanie wielokryteria</w:t>
            </w:r>
            <w:r w:rsidR="00193983">
              <w:rPr>
                <w:rFonts w:ascii="Calibri" w:hAnsi="Calibri" w:cs="Calibri"/>
                <w:color w:val="000000"/>
              </w:rPr>
              <w:t>l</w:t>
            </w:r>
            <w:r w:rsidR="00193983">
              <w:rPr>
                <w:rFonts w:ascii="Calibri" w:hAnsi="Calibri" w:cs="Calibri"/>
                <w:color w:val="000000"/>
              </w:rPr>
              <w:t>nych analiz sprzętu związanego z generowaniem skali czasu (atomowych wzorców częstotl</w:t>
            </w:r>
            <w:r w:rsidR="00193983">
              <w:rPr>
                <w:rFonts w:ascii="Calibri" w:hAnsi="Calibri" w:cs="Calibri"/>
                <w:color w:val="000000"/>
              </w:rPr>
              <w:t>i</w:t>
            </w:r>
            <w:r w:rsidR="00193983">
              <w:rPr>
                <w:rFonts w:ascii="Calibri" w:hAnsi="Calibri" w:cs="Calibri"/>
                <w:color w:val="000000"/>
              </w:rPr>
              <w:t>wości), których wynik pozwolił na podjęcie najbardziej opt</w:t>
            </w:r>
            <w:r w:rsidR="00193983">
              <w:rPr>
                <w:rFonts w:ascii="Calibri" w:hAnsi="Calibri" w:cs="Calibri"/>
                <w:color w:val="000000"/>
              </w:rPr>
              <w:t>y</w:t>
            </w:r>
            <w:r w:rsidR="00193983">
              <w:rPr>
                <w:rFonts w:ascii="Calibri" w:hAnsi="Calibri" w:cs="Calibri"/>
                <w:color w:val="000000"/>
              </w:rPr>
              <w:t>malnej dla osiągnięcia celów projektu decyzji odnośnie def</w:t>
            </w:r>
            <w:r w:rsidR="00193983">
              <w:rPr>
                <w:rFonts w:ascii="Calibri" w:hAnsi="Calibri" w:cs="Calibri"/>
                <w:color w:val="000000"/>
              </w:rPr>
              <w:t>i</w:t>
            </w:r>
            <w:r w:rsidR="00193983">
              <w:rPr>
                <w:rFonts w:ascii="Calibri" w:hAnsi="Calibri" w:cs="Calibri"/>
                <w:color w:val="000000"/>
              </w:rPr>
              <w:t>nicji szczegółowej nabywanego sprzętu. Spodziewany efekt działań ma prowadzić do możl</w:t>
            </w:r>
            <w:r w:rsidR="00193983">
              <w:rPr>
                <w:rFonts w:ascii="Calibri" w:hAnsi="Calibri" w:cs="Calibri"/>
                <w:color w:val="000000"/>
              </w:rPr>
              <w:t>i</w:t>
            </w:r>
            <w:r w:rsidR="00193983">
              <w:rPr>
                <w:rFonts w:ascii="Calibri" w:hAnsi="Calibri" w:cs="Calibri"/>
                <w:color w:val="000000"/>
              </w:rPr>
              <w:t>wości uruchomienia usług spe</w:t>
            </w:r>
            <w:r w:rsidR="00193983">
              <w:rPr>
                <w:rFonts w:ascii="Calibri" w:hAnsi="Calibri" w:cs="Calibri"/>
                <w:color w:val="000000"/>
              </w:rPr>
              <w:t>ł</w:t>
            </w:r>
            <w:r w:rsidR="00193983">
              <w:rPr>
                <w:rFonts w:ascii="Calibri" w:hAnsi="Calibri" w:cs="Calibri"/>
                <w:color w:val="000000"/>
              </w:rPr>
              <w:t xml:space="preserve">niających wszystkie wymagania określone w Studium </w:t>
            </w:r>
            <w:proofErr w:type="spellStart"/>
            <w:r w:rsidR="00193983">
              <w:rPr>
                <w:rFonts w:ascii="Calibri" w:hAnsi="Calibri" w:cs="Calibri"/>
                <w:color w:val="000000"/>
              </w:rPr>
              <w:t>Wykona</w:t>
            </w:r>
            <w:r w:rsidR="00193983">
              <w:rPr>
                <w:rFonts w:ascii="Calibri" w:hAnsi="Calibri" w:cs="Calibri"/>
                <w:color w:val="000000"/>
              </w:rPr>
              <w:t>l</w:t>
            </w:r>
            <w:r w:rsidR="00193983">
              <w:rPr>
                <w:rFonts w:ascii="Calibri" w:hAnsi="Calibri" w:cs="Calibri"/>
                <w:color w:val="000000"/>
              </w:rPr>
              <w:t>nosci</w:t>
            </w:r>
            <w:proofErr w:type="spellEnd"/>
            <w:r w:rsidR="00193983">
              <w:rPr>
                <w:rFonts w:ascii="Calibri" w:hAnsi="Calibri" w:cs="Calibri"/>
                <w:color w:val="000000"/>
              </w:rPr>
              <w:t>.</w:t>
            </w:r>
          </w:p>
          <w:p w14:paraId="1148623A" w14:textId="544AAF81" w:rsidR="006E0E46" w:rsidRPr="00DA534C" w:rsidRDefault="00001329" w:rsidP="00DA534C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sprawozdawczego nie nastąpiła zmiana w zakresie danego ryzyka.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C55ADD7" w14:textId="77777777" w:rsidR="00193983" w:rsidRDefault="0019398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4ABBA92B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134"/>
        <w:gridCol w:w="1275"/>
        <w:gridCol w:w="4677"/>
      </w:tblGrid>
      <w:tr w:rsidR="0091332C" w:rsidRPr="006334BF" w14:paraId="061EEDF1" w14:textId="77777777" w:rsidTr="006E0E46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001329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43C8DA78" w14:textId="503BCE4A" w:rsidR="00E36D70" w:rsidRDefault="00E36D70" w:rsidP="00001329">
            <w:pPr>
              <w:pStyle w:val="Default"/>
              <w:jc w:val="center"/>
            </w:pPr>
            <w:r>
              <w:rPr>
                <w:sz w:val="22"/>
                <w:szCs w:val="22"/>
              </w:rPr>
              <w:t>Ryzyko niskiego poziomu korzystania z uruchomi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nych usług elektronicznych (usług czasu) przez grupy docelowe.</w:t>
            </w:r>
          </w:p>
          <w:p w14:paraId="6B9ADC89" w14:textId="2BF1A1C0" w:rsidR="0091332C" w:rsidRPr="0091332C" w:rsidRDefault="0091332C" w:rsidP="0000132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1A3D8872" w:rsidR="0091332C" w:rsidRPr="001E23A3" w:rsidRDefault="00E36D70" w:rsidP="00001329">
            <w:pPr>
              <w:pStyle w:val="Default"/>
              <w:jc w:val="center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0C6F7385" w:rsidR="0091332C" w:rsidRPr="001E23A3" w:rsidRDefault="00E36D70" w:rsidP="00001329">
            <w:pPr>
              <w:pStyle w:val="Default"/>
              <w:jc w:val="center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29B5530B" w14:textId="77777777" w:rsidR="00E0110F" w:rsidRDefault="000C55C1" w:rsidP="00E011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E36D70" w:rsidRPr="001E23A3">
              <w:rPr>
                <w:sz w:val="22"/>
                <w:szCs w:val="22"/>
              </w:rPr>
              <w:t>Utworzenie usług elektronicznych wynika z wymogów prawa oraz istniejącej potrzeby grup będących Klientami administracji miar, dlatego beneficjent nie spodziewa się materializacji ryz</w:t>
            </w:r>
            <w:r w:rsidR="00E36D70" w:rsidRPr="001E23A3">
              <w:rPr>
                <w:sz w:val="22"/>
                <w:szCs w:val="22"/>
              </w:rPr>
              <w:t>y</w:t>
            </w:r>
            <w:r w:rsidR="00E36D70" w:rsidRPr="001E23A3">
              <w:rPr>
                <w:sz w:val="22"/>
                <w:szCs w:val="22"/>
              </w:rPr>
              <w:t>ka. W celu minimalizacji ryzyka działania inform</w:t>
            </w:r>
            <w:r w:rsidR="00E36D70" w:rsidRPr="001E23A3">
              <w:rPr>
                <w:sz w:val="22"/>
                <w:szCs w:val="22"/>
              </w:rPr>
              <w:t>a</w:t>
            </w:r>
            <w:r w:rsidR="00E36D70" w:rsidRPr="001E23A3">
              <w:rPr>
                <w:sz w:val="22"/>
                <w:szCs w:val="22"/>
              </w:rPr>
              <w:t>cyjnopromocyjne w szczególności ukierunkowane będą na potencjalnych Klientów: firmy energ</w:t>
            </w:r>
            <w:r w:rsidR="00E36D70" w:rsidRPr="001E23A3">
              <w:rPr>
                <w:sz w:val="22"/>
                <w:szCs w:val="22"/>
              </w:rPr>
              <w:t>e</w:t>
            </w:r>
            <w:r w:rsidR="00E36D70" w:rsidRPr="001E23A3">
              <w:rPr>
                <w:sz w:val="22"/>
                <w:szCs w:val="22"/>
              </w:rPr>
              <w:t>tyczne, telekomunikacyjne, banki i instytucje finansowe.</w:t>
            </w:r>
            <w:r>
              <w:rPr>
                <w:sz w:val="22"/>
                <w:szCs w:val="22"/>
              </w:rPr>
              <w:t xml:space="preserve"> </w:t>
            </w:r>
            <w:r w:rsidR="00E36D70" w:rsidRPr="001E23A3">
              <w:rPr>
                <w:sz w:val="22"/>
                <w:szCs w:val="22"/>
              </w:rPr>
              <w:t>Proponowana reakcja: Działania z</w:t>
            </w:r>
            <w:r w:rsidR="00E36D70" w:rsidRPr="001E23A3">
              <w:rPr>
                <w:sz w:val="22"/>
                <w:szCs w:val="22"/>
              </w:rPr>
              <w:t>a</w:t>
            </w:r>
            <w:r w:rsidR="00E36D70" w:rsidRPr="001E23A3">
              <w:rPr>
                <w:sz w:val="22"/>
                <w:szCs w:val="22"/>
              </w:rPr>
              <w:t>pobiegawcze i korygujące.</w:t>
            </w:r>
            <w:r>
              <w:rPr>
                <w:sz w:val="22"/>
                <w:szCs w:val="22"/>
              </w:rPr>
              <w:t xml:space="preserve"> </w:t>
            </w:r>
            <w:r w:rsidR="00AB6AAA">
              <w:rPr>
                <w:sz w:val="22"/>
                <w:szCs w:val="22"/>
              </w:rPr>
              <w:t>Do dnia dzisiejszego podjęto działania promocyjne z wykorzystaniem własnych nakładów i możliwości, jak np. prom</w:t>
            </w:r>
            <w:r w:rsidR="00AB6AAA">
              <w:rPr>
                <w:sz w:val="22"/>
                <w:szCs w:val="22"/>
              </w:rPr>
              <w:t>o</w:t>
            </w:r>
            <w:r w:rsidR="00AB6AAA">
              <w:rPr>
                <w:sz w:val="22"/>
                <w:szCs w:val="22"/>
              </w:rPr>
              <w:t>wanie i informowanie o projekcie podczas wyst</w:t>
            </w:r>
            <w:r w:rsidR="00AB6AAA">
              <w:rPr>
                <w:sz w:val="22"/>
                <w:szCs w:val="22"/>
              </w:rPr>
              <w:t>ą</w:t>
            </w:r>
            <w:r w:rsidR="00AB6AAA">
              <w:rPr>
                <w:sz w:val="22"/>
                <w:szCs w:val="22"/>
              </w:rPr>
              <w:t>pień publicznych</w:t>
            </w:r>
            <w:r w:rsidR="00685F75">
              <w:rPr>
                <w:sz w:val="22"/>
                <w:szCs w:val="22"/>
              </w:rPr>
              <w:t>, informowanie o projekcie na stronie internetowej Beneficjenta, przygotowanie ulotek informujących o projekcie. Ponadto prz</w:t>
            </w:r>
            <w:r w:rsidR="00685F75">
              <w:rPr>
                <w:sz w:val="22"/>
                <w:szCs w:val="22"/>
              </w:rPr>
              <w:t>y</w:t>
            </w:r>
            <w:r w:rsidR="00685F75">
              <w:rPr>
                <w:sz w:val="22"/>
                <w:szCs w:val="22"/>
              </w:rPr>
              <w:t>gotowywany jest plan promocji i następne dzi</w:t>
            </w:r>
            <w:r w:rsidR="00685F75">
              <w:rPr>
                <w:sz w:val="22"/>
                <w:szCs w:val="22"/>
              </w:rPr>
              <w:t>a</w:t>
            </w:r>
            <w:r w:rsidR="00685F75">
              <w:rPr>
                <w:sz w:val="22"/>
                <w:szCs w:val="22"/>
              </w:rPr>
              <w:t>łania promocyjne, których realizacja będzie zl</w:t>
            </w:r>
            <w:r w:rsidR="00685F75">
              <w:rPr>
                <w:sz w:val="22"/>
                <w:szCs w:val="22"/>
              </w:rPr>
              <w:t>e</w:t>
            </w:r>
            <w:r w:rsidR="00685F75">
              <w:rPr>
                <w:sz w:val="22"/>
                <w:szCs w:val="22"/>
              </w:rPr>
              <w:t>cona profesjonalnemu podmiotowi.</w:t>
            </w:r>
          </w:p>
          <w:p w14:paraId="012E77DB" w14:textId="1350451D" w:rsidR="00E0110F" w:rsidRDefault="00E0110F" w:rsidP="00E011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Faktycznym efektem działań </w:t>
            </w:r>
            <w:r w:rsidR="00685F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jest uruchomienie współpracy ze </w:t>
            </w:r>
            <w:r w:rsidR="00685F75">
              <w:rPr>
                <w:sz w:val="22"/>
                <w:szCs w:val="22"/>
              </w:rPr>
              <w:t>specjalist</w:t>
            </w:r>
            <w:r>
              <w:rPr>
                <w:sz w:val="22"/>
                <w:szCs w:val="22"/>
              </w:rPr>
              <w:t>ą</w:t>
            </w:r>
            <w:r w:rsidR="00685F75">
              <w:rPr>
                <w:sz w:val="22"/>
                <w:szCs w:val="22"/>
              </w:rPr>
              <w:t xml:space="preserve"> ds. User </w:t>
            </w:r>
            <w:proofErr w:type="spellStart"/>
            <w:r w:rsidR="00685F75">
              <w:rPr>
                <w:sz w:val="22"/>
                <w:szCs w:val="22"/>
              </w:rPr>
              <w:t>Experience</w:t>
            </w:r>
            <w:proofErr w:type="spellEnd"/>
            <w:r w:rsidR="00685F75">
              <w:rPr>
                <w:sz w:val="22"/>
                <w:szCs w:val="22"/>
              </w:rPr>
              <w:t>, który będzie nawiązywał i utrzymywał kontakt z potencjalnymi użytkownikami oraz badał ich pr</w:t>
            </w:r>
            <w:r w:rsidR="00685F75">
              <w:rPr>
                <w:sz w:val="22"/>
                <w:szCs w:val="22"/>
              </w:rPr>
              <w:t>e</w:t>
            </w:r>
            <w:r w:rsidR="00685F75">
              <w:rPr>
                <w:sz w:val="22"/>
                <w:szCs w:val="22"/>
              </w:rPr>
              <w:t>ferencje</w:t>
            </w:r>
            <w:r>
              <w:rPr>
                <w:sz w:val="22"/>
                <w:szCs w:val="22"/>
              </w:rPr>
              <w:t xml:space="preserve"> oraz uruchomiono działania własne w zakresie promocji i procedowany jest pierwszy przetarg na usługi w tym zakresie.</w:t>
            </w:r>
          </w:p>
          <w:p w14:paraId="5D2BA0FB" w14:textId="5F92B0B9" w:rsidR="006E0E46" w:rsidRPr="001E23A3" w:rsidRDefault="00E0110F" w:rsidP="00E011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6E0E46" w:rsidRPr="006E0E46">
              <w:rPr>
                <w:sz w:val="22"/>
                <w:szCs w:val="22"/>
              </w:rPr>
              <w:t>W stosunku do poprzedniego okresu sprawo</w:t>
            </w:r>
            <w:r w:rsidR="006E0E46" w:rsidRPr="006E0E46">
              <w:rPr>
                <w:sz w:val="22"/>
                <w:szCs w:val="22"/>
              </w:rPr>
              <w:t>z</w:t>
            </w:r>
            <w:r w:rsidR="006E0E46" w:rsidRPr="006E0E46">
              <w:rPr>
                <w:sz w:val="22"/>
                <w:szCs w:val="22"/>
              </w:rPr>
              <w:t>dawczego nie nastąpiła zmiana w zakresie danego ryzyka.</w:t>
            </w:r>
          </w:p>
        </w:tc>
      </w:tr>
      <w:tr w:rsidR="00477868" w:rsidRPr="001B6667" w14:paraId="03E416CB" w14:textId="77777777" w:rsidTr="00E0110F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323BE984" w14:textId="0EA40D8E" w:rsidR="001E23A3" w:rsidRDefault="001E23A3" w:rsidP="00E0110F">
            <w:pPr>
              <w:pStyle w:val="Default"/>
              <w:jc w:val="center"/>
            </w:pPr>
            <w:r>
              <w:rPr>
                <w:sz w:val="22"/>
                <w:szCs w:val="22"/>
              </w:rPr>
              <w:t>Ryzyko spotkania się z ni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chęcią pracowników ben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ficjenta i jednostek powi</w:t>
            </w:r>
            <w:r>
              <w:rPr>
                <w:sz w:val="22"/>
                <w:szCs w:val="22"/>
              </w:rPr>
              <w:t>ą</w:t>
            </w:r>
            <w:r>
              <w:rPr>
                <w:sz w:val="22"/>
                <w:szCs w:val="22"/>
              </w:rPr>
              <w:t xml:space="preserve">zanych w stosunku do </w:t>
            </w:r>
            <w:r w:rsidRPr="001E23A3">
              <w:rPr>
                <w:sz w:val="22"/>
                <w:szCs w:val="22"/>
              </w:rPr>
              <w:t>k</w:t>
            </w:r>
            <w:r w:rsidRPr="001E23A3">
              <w:rPr>
                <w:sz w:val="22"/>
                <w:szCs w:val="22"/>
              </w:rPr>
              <w:t>o</w:t>
            </w:r>
            <w:r w:rsidRPr="001E23A3">
              <w:rPr>
                <w:sz w:val="22"/>
                <w:szCs w:val="22"/>
              </w:rPr>
              <w:t>rzystania i obsługi usług elektronicznych.</w:t>
            </w:r>
          </w:p>
          <w:p w14:paraId="234FED26" w14:textId="77777777" w:rsidR="00477868" w:rsidRDefault="00477868" w:rsidP="00E0110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38927750" w:rsidR="00477868" w:rsidRPr="001E23A3" w:rsidRDefault="001E23A3" w:rsidP="00E0110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E23A3" w:rsidRDefault="001E23A3" w:rsidP="00E0110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49506496" w14:textId="7D65789A" w:rsidR="001E23A3" w:rsidRPr="001E23A3" w:rsidRDefault="00E0110F" w:rsidP="001E23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="001E23A3">
              <w:rPr>
                <w:sz w:val="22"/>
                <w:szCs w:val="22"/>
              </w:rPr>
              <w:t xml:space="preserve">W celu minimalizacji ryzyka beneficjent planuje przeprowadzić szkolenia dla osób, które będą pracować w systemie. Szkolenia będą obejmować </w:t>
            </w:r>
            <w:r w:rsidR="001E23A3" w:rsidRPr="001E23A3">
              <w:rPr>
                <w:sz w:val="22"/>
                <w:szCs w:val="22"/>
              </w:rPr>
              <w:t>zarówno kwestie techniczne związane z obsługa sprzętu, jak i merytoryczne.</w:t>
            </w:r>
          </w:p>
          <w:p w14:paraId="3BDBE95C" w14:textId="590F6D24" w:rsidR="00685F75" w:rsidRDefault="001E23A3" w:rsidP="001E23A3">
            <w:pPr>
              <w:pStyle w:val="Default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Proponowana reakcja: działania zapobiegawcze i korygujące.</w:t>
            </w:r>
            <w:r w:rsidR="00E0110F">
              <w:rPr>
                <w:sz w:val="22"/>
                <w:szCs w:val="22"/>
              </w:rPr>
              <w:t xml:space="preserve"> </w:t>
            </w:r>
            <w:r w:rsidR="00685F75">
              <w:rPr>
                <w:sz w:val="22"/>
                <w:szCs w:val="22"/>
              </w:rPr>
              <w:t>Aktualne działania zarządcze polegają na zaangażowaniu pracowników Beneficjenta w proces definiowania założeń co do nowopowst</w:t>
            </w:r>
            <w:r w:rsidR="00685F75">
              <w:rPr>
                <w:sz w:val="22"/>
                <w:szCs w:val="22"/>
              </w:rPr>
              <w:t>a</w:t>
            </w:r>
            <w:r w:rsidR="00685F75">
              <w:rPr>
                <w:sz w:val="22"/>
                <w:szCs w:val="22"/>
              </w:rPr>
              <w:t>jącego systemu tak, aby każdy zainteresowany był zaangażowany na odpowiednim poziomie, co przełoży się na możliwość stworzenia narzędzia dopasowanego do potrzeb pracowników Benef</w:t>
            </w:r>
            <w:r w:rsidR="00685F75">
              <w:rPr>
                <w:sz w:val="22"/>
                <w:szCs w:val="22"/>
              </w:rPr>
              <w:t>i</w:t>
            </w:r>
            <w:r w:rsidR="00685F75">
              <w:rPr>
                <w:sz w:val="22"/>
                <w:szCs w:val="22"/>
              </w:rPr>
              <w:t>cjenta.</w:t>
            </w:r>
          </w:p>
          <w:p w14:paraId="3FDAD25F" w14:textId="1BA99D47" w:rsidR="00E0110F" w:rsidRDefault="00E0110F" w:rsidP="001E23A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Spodziewanym efektem działań</w:t>
            </w:r>
            <w:r w:rsidR="001507DA">
              <w:rPr>
                <w:sz w:val="22"/>
                <w:szCs w:val="22"/>
              </w:rPr>
              <w:t xml:space="preserve"> jest dostarcz</w:t>
            </w:r>
            <w:r w:rsidR="001507DA">
              <w:rPr>
                <w:sz w:val="22"/>
                <w:szCs w:val="22"/>
              </w:rPr>
              <w:t>e</w:t>
            </w:r>
            <w:r w:rsidR="001507DA">
              <w:rPr>
                <w:sz w:val="22"/>
                <w:szCs w:val="22"/>
              </w:rPr>
              <w:t>nie produktu, który w znaczącym stopniu spełni oczekiwania pracowników beneficjenta.</w:t>
            </w:r>
          </w:p>
          <w:p w14:paraId="3CA793F6" w14:textId="4E09625D" w:rsidR="00477868" w:rsidRPr="00E36D70" w:rsidRDefault="00E0110F" w:rsidP="00E0110F">
            <w:pPr>
              <w:pStyle w:val="Default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sz w:val="22"/>
                <w:szCs w:val="22"/>
              </w:rPr>
              <w:lastRenderedPageBreak/>
              <w:t xml:space="preserve">3. </w:t>
            </w:r>
            <w:r w:rsidR="006E0E46" w:rsidRPr="006E0E46">
              <w:rPr>
                <w:sz w:val="22"/>
                <w:szCs w:val="22"/>
              </w:rPr>
              <w:t>W stosunku do poprzedniego okresu sprawo</w:t>
            </w:r>
            <w:r w:rsidR="006E0E46" w:rsidRPr="006E0E46">
              <w:rPr>
                <w:sz w:val="22"/>
                <w:szCs w:val="22"/>
              </w:rPr>
              <w:t>z</w:t>
            </w:r>
            <w:r w:rsidR="006E0E46" w:rsidRPr="006E0E46">
              <w:rPr>
                <w:sz w:val="22"/>
                <w:szCs w:val="22"/>
              </w:rPr>
              <w:t>dawczego nie nastąpiła zmiana w zakresie danego ryzyka.</w:t>
            </w:r>
          </w:p>
        </w:tc>
      </w:tr>
      <w:tr w:rsidR="00477868" w:rsidRPr="001B6667" w14:paraId="46044D45" w14:textId="77777777" w:rsidTr="001527BF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2988123B" w14:textId="479C9BF1" w:rsidR="001E23A3" w:rsidRDefault="001E23A3" w:rsidP="001527BF">
            <w:pPr>
              <w:pStyle w:val="Default"/>
              <w:jc w:val="center"/>
            </w:pPr>
            <w:r>
              <w:rPr>
                <w:sz w:val="22"/>
                <w:szCs w:val="22"/>
              </w:rPr>
              <w:lastRenderedPageBreak/>
              <w:t>Ryzyko braku dostępu L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boratorium do sieci szkiel</w:t>
            </w:r>
            <w:r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towej i niemożność świa</w:t>
            </w:r>
            <w:r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czenia usług z użyciem I</w:t>
            </w:r>
            <w:r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ternetu/ dedykowanych łączy światłowodowych.</w:t>
            </w:r>
          </w:p>
          <w:p w14:paraId="7B34F855" w14:textId="77777777" w:rsidR="00477868" w:rsidRDefault="00477868" w:rsidP="001527BF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89A2276" w:rsidR="00477868" w:rsidRPr="001E23A3" w:rsidRDefault="001E23A3" w:rsidP="001527B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E23A3" w:rsidRDefault="001E23A3" w:rsidP="001527B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38C5C310" w14:textId="28997D1F" w:rsidR="00477868" w:rsidRDefault="001036A9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1. </w:t>
            </w:r>
            <w:r w:rsidR="001E23A3"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celu minimalizacji ryzyka beneficjent Dywersyfikuje dostawców i podpisał umowy o dostawę łącz z wieloma niezależnymi dostawcami.</w:t>
            </w: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r w:rsidR="001E23A3"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Proponowana reakcja: monitorowanie stanu łącz oraz działania zapobiegawcze i korygujące.</w:t>
            </w:r>
          </w:p>
          <w:p w14:paraId="59845D83" w14:textId="7E0C10E3" w:rsidR="006E0E46" w:rsidRPr="006E0E46" w:rsidRDefault="00685F75" w:rsidP="001036A9">
            <w:r>
              <w:t>Aktualnie prowadzony jest bieżący monitoring dostawców usług sieci szkieletowej, a także w</w:t>
            </w:r>
            <w:r>
              <w:t>y</w:t>
            </w:r>
            <w:r>
              <w:t>konywane są prace techniczne związane z z</w:t>
            </w:r>
            <w:r>
              <w:t>a</w:t>
            </w:r>
            <w:r>
              <w:t>pewnieniem redundancji w dostępie do sieci szkieletowej dla laboratorium.</w:t>
            </w:r>
            <w:r w:rsidR="001036A9">
              <w:br/>
              <w:t xml:space="preserve">2. </w:t>
            </w:r>
            <w:r w:rsidR="00E8234E" w:rsidRPr="00E8234E">
              <w:t>Oczekiwane efekty działań będą skutkowały osiągnięciem założonego poziomu dostępności do usług wykazanym w Studium Wykonalności.</w:t>
            </w:r>
            <w:r w:rsidR="00912817">
              <w:br/>
            </w:r>
            <w:r w:rsidR="001036A9">
              <w:rPr>
                <w:rFonts w:ascii="Calibri" w:hAnsi="Calibri" w:cs="Calibri"/>
                <w:color w:val="000000"/>
              </w:rPr>
              <w:t xml:space="preserve">3. </w:t>
            </w:r>
            <w:r w:rsidR="006E0E46">
              <w:rPr>
                <w:rFonts w:ascii="Calibri" w:hAnsi="Calibri" w:cs="Calibri"/>
                <w:color w:val="000000"/>
              </w:rPr>
              <w:t>W stosunku do poprzedniego okresu sprawo</w:t>
            </w:r>
            <w:r w:rsidR="006E0E46">
              <w:rPr>
                <w:rFonts w:ascii="Calibri" w:hAnsi="Calibri" w:cs="Calibri"/>
                <w:color w:val="000000"/>
              </w:rPr>
              <w:t>z</w:t>
            </w:r>
            <w:r w:rsidR="006E0E46">
              <w:rPr>
                <w:rFonts w:ascii="Calibri" w:hAnsi="Calibri" w:cs="Calibri"/>
                <w:color w:val="000000"/>
              </w:rPr>
              <w:t>dawczego nie nastąpiła zmiana w zakresie danego ryzyka.</w:t>
            </w:r>
          </w:p>
        </w:tc>
      </w:tr>
      <w:tr w:rsidR="00477868" w:rsidRPr="001B6667" w14:paraId="402BD44C" w14:textId="77777777" w:rsidTr="001527BF">
        <w:trPr>
          <w:trHeight w:val="724"/>
        </w:trPr>
        <w:tc>
          <w:tcPr>
            <w:tcW w:w="2694" w:type="dxa"/>
            <w:shd w:val="clear" w:color="auto" w:fill="auto"/>
            <w:vAlign w:val="center"/>
          </w:tcPr>
          <w:p w14:paraId="217CAD8B" w14:textId="14EBFF99" w:rsidR="00477868" w:rsidRDefault="001E23A3" w:rsidP="001527BF">
            <w:pPr>
              <w:pStyle w:val="Default"/>
              <w:jc w:val="center"/>
              <w:rPr>
                <w:sz w:val="22"/>
                <w:szCs w:val="22"/>
              </w:rPr>
            </w:pPr>
            <w:r w:rsidRPr="001E23A3">
              <w:rPr>
                <w:sz w:val="22"/>
                <w:szCs w:val="22"/>
              </w:rPr>
              <w:t>Ryzyko wystąpienia Czynn</w:t>
            </w:r>
            <w:r w:rsidRPr="001E23A3">
              <w:rPr>
                <w:sz w:val="22"/>
                <w:szCs w:val="22"/>
              </w:rPr>
              <w:t>i</w:t>
            </w:r>
            <w:r w:rsidRPr="001E23A3">
              <w:rPr>
                <w:sz w:val="22"/>
                <w:szCs w:val="22"/>
              </w:rPr>
              <w:t>ków niezależnych od ben</w:t>
            </w:r>
            <w:r w:rsidRPr="001E23A3">
              <w:rPr>
                <w:sz w:val="22"/>
                <w:szCs w:val="22"/>
              </w:rPr>
              <w:t>e</w:t>
            </w:r>
            <w:r w:rsidRPr="001E23A3">
              <w:rPr>
                <w:sz w:val="22"/>
                <w:szCs w:val="22"/>
              </w:rPr>
              <w:t>ficjenta, lub zależnych p</w:t>
            </w:r>
            <w:r w:rsidRPr="001E23A3">
              <w:rPr>
                <w:sz w:val="22"/>
                <w:szCs w:val="22"/>
              </w:rPr>
              <w:t>o</w:t>
            </w:r>
            <w:r w:rsidRPr="001E23A3">
              <w:rPr>
                <w:sz w:val="22"/>
                <w:szCs w:val="22"/>
              </w:rPr>
              <w:t>średnio, wpływających negatywnie na ciągłość świadczonych usług.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0C524C15" w:rsidR="00477868" w:rsidRPr="001E23A3" w:rsidRDefault="001E23A3" w:rsidP="001527B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1E23A3" w:rsidRDefault="001E23A3" w:rsidP="001527BF">
            <w:pPr>
              <w:pStyle w:val="Legenda"/>
              <w:jc w:val="center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4677" w:type="dxa"/>
            <w:shd w:val="clear" w:color="auto" w:fill="FFFFFF"/>
          </w:tcPr>
          <w:p w14:paraId="4D220738" w14:textId="186F5462" w:rsidR="001E23A3" w:rsidRPr="001E23A3" w:rsidRDefault="001036A9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1. </w:t>
            </w:r>
            <w:r w:rsidR="001E23A3"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celu minimalizacji ryzyka beneficjent przewidział szereg działań pozwalających na podniesienie dostępności i zwiększenie odporności systemu dystrybucji czasu na wpływ negatywnych czynników.</w:t>
            </w: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r w:rsidR="001E23A3"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Przewidywane do wdrożenia technologie pozwalające na realizację usług zostały przemyślane i zaplanowane oraz są wynikiem wielomiesięcznych konsultacji technicznych i wieloletniego doświadczenia pracowników Laboratorium. Ponadto przewidywane jest ciągłe monitorowanie infrastruktury odpowiedzialnej pośrednio (klimatyzacja precyzyjna) i bezpośrednio (zegary, serwery czasu) za świadczenie usług.</w:t>
            </w:r>
          </w:p>
          <w:p w14:paraId="1F2BD1FC" w14:textId="77777777" w:rsidR="001527BF" w:rsidRDefault="001E23A3" w:rsidP="001036A9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Proponowana reakcja: Monitorowanie usług oraz działania zapobiegawcze i korygujące.</w:t>
            </w:r>
            <w:r w:rsidR="001036A9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 </w:t>
            </w:r>
            <w:r w:rsidR="00912817" w:rsidRPr="001036A9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Aktualnie podejmowane są działania zarządcze polegające na nadzorze procesu monitorowania infrastruktury odpowiedzialnej pośrednio (klimatyzacja precyzyjna) i bezpośrednio (zegary, serwery czasu) za świadczenie usług.</w:t>
            </w:r>
          </w:p>
          <w:p w14:paraId="4CB18B76" w14:textId="5487A10B" w:rsidR="001527BF" w:rsidRDefault="001527BF" w:rsidP="001036A9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527BF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2. Oczekiwane efekty działań będą skutkowały </w:t>
            </w:r>
            <w:r w:rsidR="00E8234E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osiągnięciem założonego</w:t>
            </w:r>
            <w:r w:rsidRPr="001527BF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 poziom</w:t>
            </w:r>
            <w:r w:rsidR="00E8234E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u </w:t>
            </w:r>
            <w:r w:rsidRPr="001527BF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dostępności do usług wykazanym w Studium Wykonalności.</w:t>
            </w:r>
          </w:p>
          <w:p w14:paraId="74C8387C" w14:textId="1B6A00E8" w:rsidR="006E0E46" w:rsidRPr="006E0E46" w:rsidRDefault="001527BF" w:rsidP="001036A9">
            <w:pPr>
              <w:pStyle w:val="Legenda"/>
            </w:pP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 xml:space="preserve">3. </w:t>
            </w:r>
            <w:r w:rsidR="006E0E46" w:rsidRPr="001036A9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stosunku do poprzedniego okresu sprawozdawczego nie nastąpiła zmiana w zakresie danego ryzyka.</w:t>
            </w:r>
          </w:p>
        </w:tc>
      </w:tr>
    </w:tbl>
    <w:p w14:paraId="62E60D56" w14:textId="3C2F6A4E" w:rsidR="001527BF" w:rsidRDefault="001527BF">
      <w:pP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20E0DD4" w14:textId="7035292C" w:rsidR="001527BF" w:rsidRDefault="001527BF">
      <w:pP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2796ECE" w14:textId="77777777" w:rsidR="001527BF" w:rsidRDefault="001527BF">
      <w:pP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773261FD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31A1E2BC" w:rsidR="00E36D70" w:rsidRPr="00E36D70" w:rsidRDefault="00E36D70" w:rsidP="00E36D70">
      <w:pPr>
        <w:pStyle w:val="Default"/>
        <w:rPr>
          <w:rStyle w:val="Nagwek2Znak"/>
          <w:rFonts w:ascii="Calibri" w:eastAsiaTheme="minorHAnsi" w:hAnsi="Calibri" w:cs="Calibri"/>
          <w:color w:val="000000"/>
          <w:sz w:val="22"/>
          <w:szCs w:val="22"/>
        </w:rPr>
      </w:pPr>
      <w:r w:rsidRPr="00E36D70">
        <w:rPr>
          <w:sz w:val="22"/>
          <w:szCs w:val="22"/>
        </w:rPr>
        <w:t>Nie dotyczy</w:t>
      </w:r>
    </w:p>
    <w:p w14:paraId="43BF3FD9" w14:textId="77777777" w:rsidR="006F36F8" w:rsidRPr="006F36F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3" w:name="_Hlk18274129"/>
    </w:p>
    <w:p w14:paraId="0FA2F07F" w14:textId="562438FE" w:rsidR="00BB059E" w:rsidRPr="001E23A3" w:rsidRDefault="001E23A3" w:rsidP="006F36F8">
      <w:pPr>
        <w:pStyle w:val="Akapitzlist"/>
        <w:spacing w:before="360"/>
        <w:ind w:left="360"/>
        <w:jc w:val="both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Cs/>
        </w:rPr>
        <w:t>M</w:t>
      </w:r>
      <w:r w:rsidR="006F36F8" w:rsidRPr="001E23A3">
        <w:rPr>
          <w:rFonts w:ascii="Calibri" w:hAnsi="Calibri" w:cs="Calibri"/>
          <w:color w:val="000000"/>
        </w:rPr>
        <w:t>aciej Gruszczyński, Laboratorium Czasu Głównego Urzędu Miar</w:t>
      </w:r>
      <w:r w:rsidR="004A532C" w:rsidRPr="001E23A3">
        <w:rPr>
          <w:rFonts w:ascii="Calibri" w:hAnsi="Calibri" w:cs="Calibri"/>
          <w:color w:val="000000"/>
        </w:rPr>
        <w:t xml:space="preserve">, </w:t>
      </w:r>
      <w:hyperlink r:id="rId9" w:history="1">
        <w:r w:rsidR="004A532C" w:rsidRPr="001E23A3">
          <w:t>m</w:t>
        </w:r>
        <w:r w:rsidR="004A532C" w:rsidRPr="001E23A3">
          <w:t>a</w:t>
        </w:r>
        <w:r w:rsidR="004A532C" w:rsidRPr="001E23A3">
          <w:t>ciej.gruszczynski@gum.gov.pl</w:t>
        </w:r>
      </w:hyperlink>
      <w:r w:rsidR="004A532C" w:rsidRPr="001E23A3">
        <w:rPr>
          <w:rFonts w:ascii="Arial" w:hAnsi="Arial" w:cs="Arial"/>
          <w:bCs/>
        </w:rPr>
        <w:t xml:space="preserve">, </w:t>
      </w:r>
      <w:bookmarkEnd w:id="3"/>
      <w:r w:rsidR="004A532C" w:rsidRPr="001E23A3">
        <w:rPr>
          <w:rFonts w:ascii="Calibri" w:hAnsi="Calibri" w:cs="Calibri"/>
          <w:color w:val="000000"/>
        </w:rPr>
        <w:t>22</w:t>
      </w:r>
      <w:r w:rsidRPr="001E23A3">
        <w:rPr>
          <w:rFonts w:ascii="Calibri" w:hAnsi="Calibri" w:cs="Calibri"/>
          <w:color w:val="000000"/>
        </w:rPr>
        <w:t> 581 94 72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3E080" w14:textId="77777777" w:rsidR="00947EB0" w:rsidRDefault="00947EB0" w:rsidP="00BB2420">
      <w:pPr>
        <w:spacing w:after="0" w:line="240" w:lineRule="auto"/>
      </w:pPr>
      <w:r>
        <w:separator/>
      </w:r>
    </w:p>
  </w:endnote>
  <w:endnote w:type="continuationSeparator" w:id="0">
    <w:p w14:paraId="04959B10" w14:textId="77777777" w:rsidR="00947EB0" w:rsidRDefault="00947EB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66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50AF5" w14:textId="77777777" w:rsidR="00947EB0" w:rsidRDefault="00947EB0" w:rsidP="00BB2420">
      <w:pPr>
        <w:spacing w:after="0" w:line="240" w:lineRule="auto"/>
      </w:pPr>
      <w:r>
        <w:separator/>
      </w:r>
    </w:p>
  </w:footnote>
  <w:footnote w:type="continuationSeparator" w:id="0">
    <w:p w14:paraId="63AD87D9" w14:textId="77777777" w:rsidR="00947EB0" w:rsidRDefault="00947EB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E0C4D"/>
    <w:multiLevelType w:val="hybridMultilevel"/>
    <w:tmpl w:val="FCD8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5C1412"/>
    <w:multiLevelType w:val="hybridMultilevel"/>
    <w:tmpl w:val="61543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1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1329"/>
    <w:rsid w:val="00003CB0"/>
    <w:rsid w:val="00006E59"/>
    <w:rsid w:val="00016FB5"/>
    <w:rsid w:val="00043DD9"/>
    <w:rsid w:val="00044D68"/>
    <w:rsid w:val="00047D9D"/>
    <w:rsid w:val="0006403E"/>
    <w:rsid w:val="00065DC9"/>
    <w:rsid w:val="00070663"/>
    <w:rsid w:val="00071880"/>
    <w:rsid w:val="00075F8C"/>
    <w:rsid w:val="0008447F"/>
    <w:rsid w:val="00084E5B"/>
    <w:rsid w:val="00087231"/>
    <w:rsid w:val="00095944"/>
    <w:rsid w:val="000A1DFB"/>
    <w:rsid w:val="000A2F32"/>
    <w:rsid w:val="000A3938"/>
    <w:rsid w:val="000B059E"/>
    <w:rsid w:val="000B3E49"/>
    <w:rsid w:val="000C0FAE"/>
    <w:rsid w:val="000C32FA"/>
    <w:rsid w:val="000C55C1"/>
    <w:rsid w:val="000E0060"/>
    <w:rsid w:val="000E1828"/>
    <w:rsid w:val="000E4BF8"/>
    <w:rsid w:val="000F1ADE"/>
    <w:rsid w:val="000F20A9"/>
    <w:rsid w:val="000F307B"/>
    <w:rsid w:val="000F30B9"/>
    <w:rsid w:val="001036A9"/>
    <w:rsid w:val="00106663"/>
    <w:rsid w:val="0011693F"/>
    <w:rsid w:val="00122388"/>
    <w:rsid w:val="00124C3D"/>
    <w:rsid w:val="001309CA"/>
    <w:rsid w:val="00141A92"/>
    <w:rsid w:val="001441D4"/>
    <w:rsid w:val="00145E84"/>
    <w:rsid w:val="001507DA"/>
    <w:rsid w:val="0015102C"/>
    <w:rsid w:val="001527BF"/>
    <w:rsid w:val="00153381"/>
    <w:rsid w:val="00176FBB"/>
    <w:rsid w:val="00181E97"/>
    <w:rsid w:val="00182A08"/>
    <w:rsid w:val="00193983"/>
    <w:rsid w:val="001A2EF2"/>
    <w:rsid w:val="001A6485"/>
    <w:rsid w:val="001B4C59"/>
    <w:rsid w:val="001C2D74"/>
    <w:rsid w:val="001C7FAC"/>
    <w:rsid w:val="001D167C"/>
    <w:rsid w:val="001E0CAC"/>
    <w:rsid w:val="001E16A3"/>
    <w:rsid w:val="001E1DEA"/>
    <w:rsid w:val="001E23A3"/>
    <w:rsid w:val="001E2470"/>
    <w:rsid w:val="001E595C"/>
    <w:rsid w:val="001E7199"/>
    <w:rsid w:val="001F24A0"/>
    <w:rsid w:val="001F67EC"/>
    <w:rsid w:val="0020330A"/>
    <w:rsid w:val="00207BF2"/>
    <w:rsid w:val="00237279"/>
    <w:rsid w:val="00240D69"/>
    <w:rsid w:val="00241A07"/>
    <w:rsid w:val="00241B5E"/>
    <w:rsid w:val="00252087"/>
    <w:rsid w:val="00263392"/>
    <w:rsid w:val="00265194"/>
    <w:rsid w:val="00276C00"/>
    <w:rsid w:val="002825F1"/>
    <w:rsid w:val="00293351"/>
    <w:rsid w:val="00294349"/>
    <w:rsid w:val="002A2053"/>
    <w:rsid w:val="002A3C02"/>
    <w:rsid w:val="002A5452"/>
    <w:rsid w:val="002B4889"/>
    <w:rsid w:val="002B50C0"/>
    <w:rsid w:val="002B6F21"/>
    <w:rsid w:val="002B753E"/>
    <w:rsid w:val="002D1AA0"/>
    <w:rsid w:val="002D3D4A"/>
    <w:rsid w:val="002D7ADA"/>
    <w:rsid w:val="002E2FAF"/>
    <w:rsid w:val="002F29A3"/>
    <w:rsid w:val="0030196F"/>
    <w:rsid w:val="00302775"/>
    <w:rsid w:val="00304D04"/>
    <w:rsid w:val="00310D8E"/>
    <w:rsid w:val="00320F0E"/>
    <w:rsid w:val="00321711"/>
    <w:rsid w:val="003221F2"/>
    <w:rsid w:val="00322614"/>
    <w:rsid w:val="00334A24"/>
    <w:rsid w:val="003410FE"/>
    <w:rsid w:val="003508E7"/>
    <w:rsid w:val="003542F1"/>
    <w:rsid w:val="00356A3E"/>
    <w:rsid w:val="003642B8"/>
    <w:rsid w:val="00366DB6"/>
    <w:rsid w:val="00392919"/>
    <w:rsid w:val="003A4115"/>
    <w:rsid w:val="003B5B7A"/>
    <w:rsid w:val="003C52E9"/>
    <w:rsid w:val="003C7325"/>
    <w:rsid w:val="003D7DD0"/>
    <w:rsid w:val="003E3144"/>
    <w:rsid w:val="00400F2E"/>
    <w:rsid w:val="00405EA4"/>
    <w:rsid w:val="004063B6"/>
    <w:rsid w:val="00407B0B"/>
    <w:rsid w:val="0041034F"/>
    <w:rsid w:val="004118A3"/>
    <w:rsid w:val="00423A26"/>
    <w:rsid w:val="00425046"/>
    <w:rsid w:val="004350B8"/>
    <w:rsid w:val="00444AAB"/>
    <w:rsid w:val="00450089"/>
    <w:rsid w:val="00451238"/>
    <w:rsid w:val="004729D1"/>
    <w:rsid w:val="0047542D"/>
    <w:rsid w:val="00477868"/>
    <w:rsid w:val="004A532C"/>
    <w:rsid w:val="004B75AC"/>
    <w:rsid w:val="004C1D48"/>
    <w:rsid w:val="004D65CA"/>
    <w:rsid w:val="004F6E89"/>
    <w:rsid w:val="00504B06"/>
    <w:rsid w:val="005076A1"/>
    <w:rsid w:val="00513213"/>
    <w:rsid w:val="00517D9A"/>
    <w:rsid w:val="00517F12"/>
    <w:rsid w:val="0052102C"/>
    <w:rsid w:val="005212C8"/>
    <w:rsid w:val="00524E6C"/>
    <w:rsid w:val="005332D6"/>
    <w:rsid w:val="00544DFE"/>
    <w:rsid w:val="005548F2"/>
    <w:rsid w:val="0056133C"/>
    <w:rsid w:val="005734CE"/>
    <w:rsid w:val="00573BE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641A"/>
    <w:rsid w:val="00660C01"/>
    <w:rsid w:val="00661A62"/>
    <w:rsid w:val="00670B2C"/>
    <w:rsid w:val="006731D9"/>
    <w:rsid w:val="006800D7"/>
    <w:rsid w:val="006822BC"/>
    <w:rsid w:val="00685F75"/>
    <w:rsid w:val="006948D3"/>
    <w:rsid w:val="006A60AA"/>
    <w:rsid w:val="006B034F"/>
    <w:rsid w:val="006B1DE6"/>
    <w:rsid w:val="006B5117"/>
    <w:rsid w:val="006C78AE"/>
    <w:rsid w:val="006D5034"/>
    <w:rsid w:val="006E0CFA"/>
    <w:rsid w:val="006E0E46"/>
    <w:rsid w:val="006E6205"/>
    <w:rsid w:val="006F33DC"/>
    <w:rsid w:val="006F36F8"/>
    <w:rsid w:val="00701800"/>
    <w:rsid w:val="00725708"/>
    <w:rsid w:val="00740A47"/>
    <w:rsid w:val="00746ABD"/>
    <w:rsid w:val="00760664"/>
    <w:rsid w:val="007738BB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6502"/>
    <w:rsid w:val="00840749"/>
    <w:rsid w:val="008466BF"/>
    <w:rsid w:val="0087452F"/>
    <w:rsid w:val="00875528"/>
    <w:rsid w:val="00884686"/>
    <w:rsid w:val="008A332F"/>
    <w:rsid w:val="008A52F6"/>
    <w:rsid w:val="008B393D"/>
    <w:rsid w:val="008B4E0D"/>
    <w:rsid w:val="008B5CB5"/>
    <w:rsid w:val="008C4BCD"/>
    <w:rsid w:val="008C6721"/>
    <w:rsid w:val="008D3826"/>
    <w:rsid w:val="008F2D9B"/>
    <w:rsid w:val="008F5402"/>
    <w:rsid w:val="008F67EE"/>
    <w:rsid w:val="009079D3"/>
    <w:rsid w:val="00907F6D"/>
    <w:rsid w:val="00911190"/>
    <w:rsid w:val="0091202E"/>
    <w:rsid w:val="00912817"/>
    <w:rsid w:val="0091332C"/>
    <w:rsid w:val="009256F2"/>
    <w:rsid w:val="009264CB"/>
    <w:rsid w:val="00933BEC"/>
    <w:rsid w:val="009347B8"/>
    <w:rsid w:val="00936729"/>
    <w:rsid w:val="00947EB0"/>
    <w:rsid w:val="0095183B"/>
    <w:rsid w:val="00952126"/>
    <w:rsid w:val="00952617"/>
    <w:rsid w:val="009663A6"/>
    <w:rsid w:val="00971A40"/>
    <w:rsid w:val="00976434"/>
    <w:rsid w:val="00992EA3"/>
    <w:rsid w:val="00994055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5EE5"/>
    <w:rsid w:val="00A07CF9"/>
    <w:rsid w:val="00A11788"/>
    <w:rsid w:val="00A17AD3"/>
    <w:rsid w:val="00A2440D"/>
    <w:rsid w:val="00A30847"/>
    <w:rsid w:val="00A36AE2"/>
    <w:rsid w:val="00A43E49"/>
    <w:rsid w:val="00A44EA2"/>
    <w:rsid w:val="00A54B8F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6AAA"/>
    <w:rsid w:val="00AC7E26"/>
    <w:rsid w:val="00AD28EC"/>
    <w:rsid w:val="00AD45BB"/>
    <w:rsid w:val="00AD6B61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74CC"/>
    <w:rsid w:val="00BE47CD"/>
    <w:rsid w:val="00BE5BF9"/>
    <w:rsid w:val="00C1106C"/>
    <w:rsid w:val="00C13D29"/>
    <w:rsid w:val="00C2175B"/>
    <w:rsid w:val="00C244A1"/>
    <w:rsid w:val="00C26361"/>
    <w:rsid w:val="00C302F1"/>
    <w:rsid w:val="00C3575F"/>
    <w:rsid w:val="00C363F7"/>
    <w:rsid w:val="00C42AEA"/>
    <w:rsid w:val="00C57985"/>
    <w:rsid w:val="00C6751B"/>
    <w:rsid w:val="00C85AF2"/>
    <w:rsid w:val="00C948F8"/>
    <w:rsid w:val="00CA516B"/>
    <w:rsid w:val="00CC03F2"/>
    <w:rsid w:val="00CC7E21"/>
    <w:rsid w:val="00CE1BE0"/>
    <w:rsid w:val="00CE74F9"/>
    <w:rsid w:val="00CE7777"/>
    <w:rsid w:val="00CF2E64"/>
    <w:rsid w:val="00D02F6D"/>
    <w:rsid w:val="00D22C21"/>
    <w:rsid w:val="00D25CFE"/>
    <w:rsid w:val="00D26BC4"/>
    <w:rsid w:val="00D330AF"/>
    <w:rsid w:val="00D4607F"/>
    <w:rsid w:val="00D55883"/>
    <w:rsid w:val="00D57025"/>
    <w:rsid w:val="00D57765"/>
    <w:rsid w:val="00D77F50"/>
    <w:rsid w:val="00D8544A"/>
    <w:rsid w:val="00D859F4"/>
    <w:rsid w:val="00D85A52"/>
    <w:rsid w:val="00D86FEC"/>
    <w:rsid w:val="00D928E3"/>
    <w:rsid w:val="00DA34DF"/>
    <w:rsid w:val="00DA534C"/>
    <w:rsid w:val="00DB69FD"/>
    <w:rsid w:val="00DC0A8A"/>
    <w:rsid w:val="00DC1705"/>
    <w:rsid w:val="00DC39A9"/>
    <w:rsid w:val="00DC4C79"/>
    <w:rsid w:val="00DE6249"/>
    <w:rsid w:val="00DE731D"/>
    <w:rsid w:val="00E0076D"/>
    <w:rsid w:val="00E0110F"/>
    <w:rsid w:val="00E05502"/>
    <w:rsid w:val="00E11B44"/>
    <w:rsid w:val="00E1246B"/>
    <w:rsid w:val="00E15DEB"/>
    <w:rsid w:val="00E1688D"/>
    <w:rsid w:val="00E203EB"/>
    <w:rsid w:val="00E22572"/>
    <w:rsid w:val="00E23CE4"/>
    <w:rsid w:val="00E35401"/>
    <w:rsid w:val="00E36D70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234E"/>
    <w:rsid w:val="00E83FA4"/>
    <w:rsid w:val="00E86020"/>
    <w:rsid w:val="00E9234B"/>
    <w:rsid w:val="00EA0B4F"/>
    <w:rsid w:val="00EB00AB"/>
    <w:rsid w:val="00EC2AFC"/>
    <w:rsid w:val="00F11835"/>
    <w:rsid w:val="00F138F7"/>
    <w:rsid w:val="00F2008A"/>
    <w:rsid w:val="00F219A2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900FC"/>
    <w:rsid w:val="00FB2DDA"/>
    <w:rsid w:val="00FB4804"/>
    <w:rsid w:val="00FC30C7"/>
    <w:rsid w:val="00FC3B03"/>
    <w:rsid w:val="00FC794E"/>
    <w:rsid w:val="00FE25BD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aciej.gruszczynski@gum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667FA-FB25-463F-AF90-26342C426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2698</Words>
  <Characters>16190</Characters>
  <Application>Microsoft Office Word</Application>
  <DocSecurity>4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2021-01-20T08:32:00Z</dcterms:created>
  <dcterms:modified xsi:type="dcterms:W3CDTF">2021-01-20T08:32:00Z</dcterms:modified>
</cp:coreProperties>
</file>