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19383574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66C5A821" w:rsidR="008A332F" w:rsidRDefault="005E3B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2A776DDD" w:rsidR="008A332F" w:rsidRPr="008A73AC" w:rsidRDefault="008C6721" w:rsidP="008A73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81F26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06A6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900"/>
        <w:gridCol w:w="6870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1596B4" w:rsidR="00CA516B" w:rsidRPr="00071C70" w:rsidRDefault="007111A9" w:rsidP="0071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System powiadamiania o wprowadzeniu do obrotu żywności prozdrowotnej (SPOŻ)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04EAFB" w:rsidR="00CA516B" w:rsidRPr="00071C70" w:rsidRDefault="00134D2B" w:rsidP="006822B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1AB5FCC" w:rsidR="00CA516B" w:rsidRPr="00071C70" w:rsidRDefault="0018042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F4CDC" w:rsidR="00CA516B" w:rsidRPr="00071C70" w:rsidRDefault="00B01983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6BB62" w14:textId="587FAF02" w:rsidR="00277E09" w:rsidRPr="00071C70" w:rsidRDefault="00F3756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W </w:t>
            </w:r>
            <w:r w:rsidR="00277E09" w:rsidRPr="00071C70">
              <w:rPr>
                <w:rFonts w:ascii="Arial" w:hAnsi="Arial" w:cs="Arial"/>
                <w:color w:val="000000" w:themeColor="text1"/>
              </w:rPr>
              <w:t>ramach współfinansowania: budżet państwa – część</w:t>
            </w:r>
          </w:p>
          <w:p w14:paraId="55582688" w14:textId="3569CCF9" w:rsidR="00CA516B" w:rsidRPr="00071C70" w:rsidRDefault="00277E0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budżetowa nr 46 – Zdrowie. W ramach finansowania ze środków UE: Program Operacyjny Polska Cyfrowa, Działanie 2.1 "Wysoka dostępność i jakość e-usług publicznych"</w:t>
            </w:r>
            <w:r w:rsidR="00F37569" w:rsidRPr="00071C70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C22F63" w:rsidR="00CA516B" w:rsidRPr="00071C70" w:rsidRDefault="00AD3C4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BC9200" w:rsidR="005212C8" w:rsidRPr="00071C70" w:rsidRDefault="00C90A16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E92F1" w14:textId="070F4137" w:rsidR="00C90A16" w:rsidRPr="00071C70" w:rsidRDefault="00C90A16" w:rsidP="00071C70">
            <w:pPr>
              <w:spacing w:after="0" w:line="25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rozpoczęcia realizacji projektu: 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15</w:t>
            </w:r>
            <w:r w:rsidRPr="00071C70">
              <w:rPr>
                <w:rFonts w:ascii="Arial" w:hAnsi="Arial" w:cs="Arial"/>
                <w:color w:val="000000" w:themeColor="text1"/>
              </w:rPr>
              <w:t>.07.20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20</w:t>
            </w:r>
          </w:p>
          <w:p w14:paraId="55CE9679" w14:textId="1618A6C3" w:rsidR="00CA516B" w:rsidRPr="00071C70" w:rsidRDefault="00C90A16" w:rsidP="00071C70">
            <w:pPr>
              <w:spacing w:after="0" w:line="25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zakończenia realizacji projektu : </w:t>
            </w:r>
            <w:r w:rsidR="00877FAD">
              <w:rPr>
                <w:rFonts w:ascii="Arial" w:hAnsi="Arial" w:cs="Arial"/>
                <w:color w:val="000000" w:themeColor="text1"/>
              </w:rPr>
              <w:t>12</w:t>
            </w:r>
            <w:r w:rsidRPr="00071C70">
              <w:rPr>
                <w:rFonts w:ascii="Arial" w:hAnsi="Arial" w:cs="Arial"/>
                <w:color w:val="000000" w:themeColor="text1"/>
              </w:rPr>
              <w:t>.</w:t>
            </w:r>
            <w:r w:rsidR="00877FAD">
              <w:rPr>
                <w:rFonts w:ascii="Arial" w:hAnsi="Arial" w:cs="Arial"/>
                <w:color w:val="000000" w:themeColor="text1"/>
              </w:rPr>
              <w:t>10</w:t>
            </w:r>
            <w:r w:rsidRPr="00071C70">
              <w:rPr>
                <w:rFonts w:ascii="Arial" w:hAnsi="Arial" w:cs="Arial"/>
                <w:color w:val="000000" w:themeColor="text1"/>
              </w:rPr>
              <w:t>.202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14:paraId="2E35A4F1" w14:textId="534C1509" w:rsidR="00BB3748" w:rsidRDefault="00BB3748">
      <w:pPr>
        <w:rPr>
          <w:rFonts w:ascii="Arial" w:eastAsiaTheme="majorEastAsia" w:hAnsi="Arial" w:cs="Arial"/>
          <w:b/>
          <w:sz w:val="24"/>
          <w:szCs w:val="24"/>
        </w:rPr>
      </w:pPr>
    </w:p>
    <w:p w14:paraId="30071234" w14:textId="6C69B44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74B327B" w:rsidR="004C1D48" w:rsidRPr="00C1647B" w:rsidRDefault="00DC540E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C1647B">
        <w:rPr>
          <w:rFonts w:ascii="Arial" w:hAnsi="Arial" w:cs="Arial"/>
          <w:color w:val="000000" w:themeColor="text1"/>
          <w:sz w:val="22"/>
          <w:szCs w:val="22"/>
        </w:rPr>
        <w:t>Projekt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1C70" w:rsidRPr="00F06E56" w14:paraId="59735F91" w14:textId="77777777" w:rsidTr="00795AFA">
        <w:tc>
          <w:tcPr>
            <w:tcW w:w="2972" w:type="dxa"/>
          </w:tcPr>
          <w:p w14:paraId="077C8D26" w14:textId="2E7B2630" w:rsidR="00907F6D" w:rsidRPr="00F06E56" w:rsidRDefault="00D30D48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Ok. 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</w:rPr>
              <w:t>14,27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AC79DA7" w14:textId="41BB5C44" w:rsidR="00071880" w:rsidRPr="00F06E56" w:rsidRDefault="005548F2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0A5435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0,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 w:rsidR="000A5435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929DAC9" w14:textId="142E615C" w:rsidR="00907F6D" w:rsidRPr="00F06E56" w:rsidRDefault="005548F2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C50D68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5CE33D6F" w:rsidR="00907F6D" w:rsidRPr="00F06E56" w:rsidRDefault="00F038B3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72,85</w:t>
            </w:r>
            <w:r w:rsidR="00581AAA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3A82943F" w:rsidR="008A73AC" w:rsidRDefault="008A73AC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E7DF8EC" w14:textId="77777777" w:rsidR="008A73AC" w:rsidRDefault="008A73AC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B5EDC" w:rsidRPr="00071C70" w14:paraId="46A49B59" w14:textId="77777777" w:rsidTr="006B5117">
        <w:tc>
          <w:tcPr>
            <w:tcW w:w="2127" w:type="dxa"/>
          </w:tcPr>
          <w:p w14:paraId="206BBDB4" w14:textId="0E823606" w:rsidR="002026C9" w:rsidRPr="00F06E56" w:rsidRDefault="006E06FE" w:rsidP="00AC44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wsparcie GIS w</w:t>
            </w:r>
            <w:r w:rsidR="00AC44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5F9" w14:textId="7F75E084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0A9FB83" w14:textId="2D087E41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7422CCAB" w14:textId="59E4EB5C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7612B487" w14:textId="5FD10FB3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="00081F26">
              <w:rPr>
                <w:rFonts w:ascii="Arial" w:hAnsi="Arial" w:cs="Arial"/>
                <w:color w:val="000000" w:themeColor="text1"/>
                <w:sz w:val="20"/>
                <w:szCs w:val="20"/>
              </w:rPr>
              <w:t>31.12.2020 opublikowano ogłoszenie o zamówieniu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1B5EDC" w:rsidRPr="00071C70" w14:paraId="702C3897" w14:textId="77777777" w:rsidTr="006B5117">
        <w:tc>
          <w:tcPr>
            <w:tcW w:w="2127" w:type="dxa"/>
          </w:tcPr>
          <w:p w14:paraId="7E72D34F" w14:textId="445F2AF6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wykonanie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669" w14:textId="0CA7E03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CC8659A" w14:textId="298D28C9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914" w:type="dxa"/>
          </w:tcPr>
          <w:p w14:paraId="4EEE750C" w14:textId="446B0D2A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2D0D3EBA" w14:textId="3BF79B36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(Trwają prace nad opracowaniem dokumentacji SIWZ)</w:t>
            </w:r>
          </w:p>
        </w:tc>
      </w:tr>
      <w:tr w:rsidR="001B5EDC" w:rsidRPr="00071C70" w14:paraId="38219FC9" w14:textId="77777777" w:rsidTr="006B5117">
        <w:tc>
          <w:tcPr>
            <w:tcW w:w="2127" w:type="dxa"/>
          </w:tcPr>
          <w:p w14:paraId="409CAC43" w14:textId="01D0502A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Badania preferencji użytkowników,</w:t>
            </w:r>
            <w:r w:rsidR="00F06E56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makiet UX i grafiki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6799" w14:textId="1F506BE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3582995" w14:textId="6C1E02F6" w:rsidR="00DD1E33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383FFA2B" w14:textId="3743F06B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6D1093" w14:textId="1F5B68AB" w:rsidR="002026C9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E6319B5" w14:textId="77777777" w:rsidTr="006B5117">
        <w:tc>
          <w:tcPr>
            <w:tcW w:w="2127" w:type="dxa"/>
          </w:tcPr>
          <w:p w14:paraId="5830A1B4" w14:textId="15A280E5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AI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48E3" w14:textId="6B47536E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4D105C8" w14:textId="6A3D4333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01D790EB" w14:textId="32065051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5DF30E2" w14:textId="0A75B2A7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4355C259" w14:textId="77777777" w:rsidTr="006B5117">
        <w:tc>
          <w:tcPr>
            <w:tcW w:w="2127" w:type="dxa"/>
          </w:tcPr>
          <w:p w14:paraId="5C513438" w14:textId="3E41B291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dla pozostałych modułów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D2A" w14:textId="2A5881BF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3649F69" w14:textId="4D9D9B6A" w:rsidR="00122251" w:rsidRPr="00F06E56" w:rsidRDefault="00F753C6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971267"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644601A" w14:textId="1E07F31D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1827A0EF" w14:textId="5A349734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467BE35" w14:textId="77777777" w:rsidTr="006B5117">
        <w:tc>
          <w:tcPr>
            <w:tcW w:w="2127" w:type="dxa"/>
          </w:tcPr>
          <w:p w14:paraId="30B3554F" w14:textId="557A475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produkcyjnego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7E0E" w14:textId="0982699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7DCCE6E" w14:textId="2A1321D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5CE828CD" w14:textId="3ABA742F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22E51" w14:textId="4C44A03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C6AC78D" w14:textId="77777777" w:rsidTr="006B5117">
        <w:tc>
          <w:tcPr>
            <w:tcW w:w="2127" w:type="dxa"/>
          </w:tcPr>
          <w:p w14:paraId="0FD06031" w14:textId="5D74B40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E925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(=350)</w:t>
            </w:r>
          </w:p>
          <w:p w14:paraId="14F42B40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 (=300)</w:t>
            </w:r>
          </w:p>
          <w:p w14:paraId="4806E355" w14:textId="762C04F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 (=50)</w:t>
            </w:r>
          </w:p>
        </w:tc>
        <w:tc>
          <w:tcPr>
            <w:tcW w:w="1289" w:type="dxa"/>
          </w:tcPr>
          <w:p w14:paraId="4B4C222C" w14:textId="65328472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42C7DA36" w14:textId="5EE964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80B167F" w14:textId="644AB2F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65098203" w14:textId="77777777" w:rsidTr="006B5117">
        <w:tc>
          <w:tcPr>
            <w:tcW w:w="2127" w:type="dxa"/>
          </w:tcPr>
          <w:p w14:paraId="2743139F" w14:textId="313B8F9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usługi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8B9C" w14:textId="57F225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D7CB922" w14:textId="281446A9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64D748E8" w14:textId="70E01097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214DA5A" w14:textId="3CD07A3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2CBB64C" w14:textId="77777777" w:rsidTr="006B5117">
        <w:tc>
          <w:tcPr>
            <w:tcW w:w="2127" w:type="dxa"/>
          </w:tcPr>
          <w:p w14:paraId="797A6A29" w14:textId="5E5FD87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9EED" w14:textId="7F82F54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EA8EA01" w14:textId="474497A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F753C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5125DE29" w14:textId="4B0A9AC3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4C8B4C5" w14:textId="684485B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3B7D5859" w14:textId="77777777" w:rsidTr="006B5117">
        <w:tc>
          <w:tcPr>
            <w:tcW w:w="2127" w:type="dxa"/>
          </w:tcPr>
          <w:p w14:paraId="683E121D" w14:textId="5479018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promocji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CBA9" w14:textId="5E09658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A16E62B" w14:textId="2CAB5596" w:rsidR="001B5EDC" w:rsidRPr="00F06E56" w:rsidRDefault="00F753C6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B5ED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7B88B5F1" w14:textId="60B9980A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6B8D2D7" w14:textId="2A9E693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F06E56" w14:paraId="441AB6CF" w14:textId="77777777" w:rsidTr="006B5117">
        <w:tc>
          <w:tcPr>
            <w:tcW w:w="2127" w:type="dxa"/>
          </w:tcPr>
          <w:p w14:paraId="1DC0CFEB" w14:textId="31713AC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realizacji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080D" w14:textId="4D89A379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(=1)</w:t>
            </w:r>
          </w:p>
          <w:p w14:paraId="521AE128" w14:textId="34512B9B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(=1)</w:t>
            </w:r>
          </w:p>
          <w:p w14:paraId="33803578" w14:textId="6668B905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 (=8000)</w:t>
            </w:r>
          </w:p>
          <w:p w14:paraId="08F51E73" w14:textId="5A8EF11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(=1)</w:t>
            </w:r>
          </w:p>
        </w:tc>
        <w:tc>
          <w:tcPr>
            <w:tcW w:w="1289" w:type="dxa"/>
          </w:tcPr>
          <w:p w14:paraId="3E9DDE78" w14:textId="22C6DD51" w:rsidR="001B5EDC" w:rsidRPr="00F06E56" w:rsidRDefault="00F753C6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B5ED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-2023</w:t>
            </w:r>
          </w:p>
        </w:tc>
        <w:tc>
          <w:tcPr>
            <w:tcW w:w="1914" w:type="dxa"/>
          </w:tcPr>
          <w:p w14:paraId="496C8061" w14:textId="038357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6285DA75" w14:textId="026EFEF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696280B" w14:textId="77777777" w:rsidR="008A73AC" w:rsidRDefault="008A73A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A3EDA4B" w14:textId="77777777" w:rsidR="008A73AC" w:rsidRDefault="008A73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298B260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2D59A26" w:rsidR="00047D9D" w:rsidRPr="00141A92" w:rsidRDefault="008C732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D269E" w:rsidRPr="00071C70" w14:paraId="76647581" w14:textId="77777777" w:rsidTr="00047D9D">
        <w:tc>
          <w:tcPr>
            <w:tcW w:w="2545" w:type="dxa"/>
          </w:tcPr>
          <w:p w14:paraId="5040D4D0" w14:textId="2A02228A" w:rsidR="004D269E" w:rsidRPr="00071C70" w:rsidRDefault="003C7A59" w:rsidP="00D966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23114B7" w14:textId="5B1BF26C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0FF49291" w14:textId="2DCC0575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A76F3C" w14:textId="00F43DBC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1663313C" w14:textId="06FA384B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26F5A7FF" w14:textId="77777777" w:rsidTr="00047D9D">
        <w:tc>
          <w:tcPr>
            <w:tcW w:w="2545" w:type="dxa"/>
          </w:tcPr>
          <w:p w14:paraId="39BC7C28" w14:textId="310FF7DA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uruchomionych systemów teleinformatycznych w podmiotach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EF3E486" w14:textId="7D3C49AF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3D92A1ED" w14:textId="65DF481A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5AD23F" w14:textId="5BB6EC23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604089DC" w14:textId="41DE0AF3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01C22D83" w14:textId="77777777" w:rsidTr="00047D9D">
        <w:tc>
          <w:tcPr>
            <w:tcW w:w="2545" w:type="dxa"/>
          </w:tcPr>
          <w:p w14:paraId="39473157" w14:textId="59AC173E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B3CAA86" w14:textId="105FDE04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6166C14D" w14:textId="2004282B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1701" w:type="dxa"/>
          </w:tcPr>
          <w:p w14:paraId="3E129318" w14:textId="1C87FA5C" w:rsidR="004D269E" w:rsidRPr="00071C70" w:rsidRDefault="00F753C6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69A1DDAD" w14:textId="5A85AEE5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70CC31B7" w14:textId="77777777" w:rsidTr="00047D9D">
        <w:tc>
          <w:tcPr>
            <w:tcW w:w="2545" w:type="dxa"/>
          </w:tcPr>
          <w:p w14:paraId="13D7FBB0" w14:textId="28B3F182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FDF4A6E" w14:textId="2C758643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14374058" w14:textId="2ABC3140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26AC3667" w14:textId="1EF408B6" w:rsidR="005B746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37AFDD5E" w14:textId="10BA2152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65CC0729" w14:textId="77777777" w:rsidTr="00047D9D">
        <w:tc>
          <w:tcPr>
            <w:tcW w:w="2545" w:type="dxa"/>
          </w:tcPr>
          <w:p w14:paraId="54DF1B25" w14:textId="49D6E67C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E214FA2" w14:textId="7EFD9A0B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2EF8B0A0" w14:textId="547071EB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59CBB80" w14:textId="6D86185A" w:rsidR="005B746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5093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38D1DB04" w14:textId="78CF1C2F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C47D8C" w:rsidRPr="00071C70" w14:paraId="601487B8" w14:textId="77777777" w:rsidTr="00047D9D">
        <w:tc>
          <w:tcPr>
            <w:tcW w:w="2545" w:type="dxa"/>
          </w:tcPr>
          <w:p w14:paraId="72974B02" w14:textId="417FCBE1" w:rsidR="00C47D8C" w:rsidRPr="00071C70" w:rsidRDefault="003C7A59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załatwionych spraw poprzez udostępnioną on-line usług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publiczną</w:t>
            </w:r>
          </w:p>
        </w:tc>
        <w:tc>
          <w:tcPr>
            <w:tcW w:w="1278" w:type="dxa"/>
          </w:tcPr>
          <w:p w14:paraId="312576E0" w14:textId="1C26BF9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54E3FA1" w14:textId="5C7D830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8000</w:t>
            </w:r>
          </w:p>
        </w:tc>
        <w:tc>
          <w:tcPr>
            <w:tcW w:w="1701" w:type="dxa"/>
          </w:tcPr>
          <w:p w14:paraId="25EBA535" w14:textId="37C36E06" w:rsidR="00C47D8C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962DC4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.2024</w:t>
            </w:r>
          </w:p>
        </w:tc>
        <w:tc>
          <w:tcPr>
            <w:tcW w:w="2268" w:type="dxa"/>
          </w:tcPr>
          <w:p w14:paraId="5C2DB20D" w14:textId="5619BAED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C47A4" w:rsidRPr="00071C70" w14:paraId="10AF32EC" w14:textId="77777777" w:rsidTr="00047D9D">
        <w:tc>
          <w:tcPr>
            <w:tcW w:w="2545" w:type="dxa"/>
          </w:tcPr>
          <w:p w14:paraId="5F5D85E5" w14:textId="44234F3D" w:rsidR="003C47A4" w:rsidRPr="00071C70" w:rsidRDefault="003C7A59" w:rsidP="00C47D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1E67CC8" w14:textId="6B54A51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24DCF49" w14:textId="294F775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15FA10" w14:textId="6453DFA5" w:rsidR="003C47A4" w:rsidRPr="00071C70" w:rsidRDefault="00F753C6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4C2709C9" w14:textId="68A33A92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F42B192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52A08447" w14:textId="5FEFD81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066D88A5" w14:textId="77777777" w:rsidTr="00517F12">
        <w:tc>
          <w:tcPr>
            <w:tcW w:w="2937" w:type="dxa"/>
          </w:tcPr>
          <w:p w14:paraId="21262D83" w14:textId="0B0FA822" w:rsidR="007D38BD" w:rsidRPr="00071C70" w:rsidRDefault="00AD16FE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Powiadamianie o wprowadzeniu do obrotu żywności prozdrowotnej</w:t>
            </w:r>
          </w:p>
        </w:tc>
        <w:tc>
          <w:tcPr>
            <w:tcW w:w="1169" w:type="dxa"/>
          </w:tcPr>
          <w:p w14:paraId="016C9765" w14:textId="6B241214" w:rsidR="007D38BD" w:rsidRPr="00071C70" w:rsidRDefault="00F753C6" w:rsidP="00672B5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D308A9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134" w:type="dxa"/>
          </w:tcPr>
          <w:p w14:paraId="3DF8A089" w14:textId="29502AB6" w:rsidR="007D38BD" w:rsidRPr="00071C70" w:rsidRDefault="008C7325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11F05E42" w:rsidR="007D38BD" w:rsidRPr="00071C70" w:rsidRDefault="00081F26" w:rsidP="00D308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081F26">
              <w:rPr>
                <w:rFonts w:ascii="Arial" w:hAnsi="Arial" w:cs="Arial"/>
                <w:color w:val="000000" w:themeColor="text1"/>
                <w:sz w:val="20"/>
                <w:szCs w:val="20"/>
              </w:rPr>
              <w:t>godnie z art. 13 ust. 1 Ustawy z dnia 3 kwietnia 2020 r. o szczególnych rozwiązaniach wspierających realizację programów operacyjnych w związku z wystąpieniem COVID-19 w 2020 r. (Dz. U. 2020, poz. 694),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dniu 31.12.2020 r. zawarto aneks nr 1 przedłużający realizację projektu o 90 dni.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153EA8F3" w14:textId="77777777" w:rsidTr="00C6751B">
        <w:tc>
          <w:tcPr>
            <w:tcW w:w="2937" w:type="dxa"/>
          </w:tcPr>
          <w:p w14:paraId="46265E90" w14:textId="7907A995" w:rsidR="00C6751B" w:rsidRPr="00071C70" w:rsidRDefault="00EF411B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D7C5935" w14:textId="38F0D21A" w:rsidR="00C6751B" w:rsidRPr="00071C70" w:rsidRDefault="008C7325" w:rsidP="00EF411B">
            <w:pPr>
              <w:ind w:left="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09B91128" w:rsidR="00C6751B" w:rsidRPr="00071C70" w:rsidRDefault="008C7325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1BD3D99D" w:rsidR="00C6751B" w:rsidRPr="00071C70" w:rsidRDefault="008C7325" w:rsidP="00A44E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4DD" w:rsidRPr="00071C70" w14:paraId="3FB4F1A2" w14:textId="77777777" w:rsidTr="00E7413A">
        <w:tc>
          <w:tcPr>
            <w:tcW w:w="2547" w:type="dxa"/>
          </w:tcPr>
          <w:p w14:paraId="75BC059D" w14:textId="629365C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analizy powiadomień (SAP)</w:t>
            </w:r>
          </w:p>
        </w:tc>
        <w:tc>
          <w:tcPr>
            <w:tcW w:w="1701" w:type="dxa"/>
          </w:tcPr>
          <w:p w14:paraId="49305C49" w14:textId="23355FE9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5F5126EC" w14:textId="2DE5279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267D727" w14:textId="1DFD225A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Centralna Ewidencja i Informacja o Działalności Gospodarczej (CEIDG)</w:t>
            </w:r>
          </w:p>
          <w:p w14:paraId="74B5CA28" w14:textId="75186058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korzystanie- uzupełnianie danych rejestrującego się przedsiębiorcy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7D195C4F" w14:textId="6CE355DD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7172505D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9CE7AB0" w14:textId="096502DF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Rejestr urzędowy podziału terytorialnego Polski (TERYT)</w:t>
            </w:r>
          </w:p>
          <w:p w14:paraId="71458794" w14:textId="7F0221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korzystanie- identyfikacja terytorialna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składającego powiadomienie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0EC5629" w14:textId="34831C8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136F2A36" w14:textId="78D14FB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035ED04" w14:textId="5C801001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Rejestr Sądowy (KRS)</w:t>
            </w:r>
          </w:p>
          <w:p w14:paraId="4FD27D75" w14:textId="3DFAEE6B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uzupełnianie danych rejestrującego się przedsiębiorcy.</w:t>
            </w:r>
          </w:p>
          <w:p w14:paraId="38B293E9" w14:textId="3737439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F2FEC88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59CB70A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REGON</w:t>
            </w:r>
          </w:p>
          <w:p w14:paraId="7826D358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 korzystanie- uzupełnianie danych rejestrującego się przedsiębiorcy.</w:t>
            </w:r>
          </w:p>
          <w:p w14:paraId="35D6C283" w14:textId="3E9C0E2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0486D993" w14:textId="318E2965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8147EBD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Węzeł Identyfikacji Elektronicznej</w:t>
            </w:r>
          </w:p>
          <w:p w14:paraId="454F0ED2" w14:textId="72CEB77C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Opis zależności: korzystanie-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identyfikacja użytkowników.</w:t>
            </w:r>
          </w:p>
          <w:p w14:paraId="04DCE356" w14:textId="3FC9F889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6309AF82" w14:textId="77777777" w:rsidR="00123599" w:rsidRPr="00E7413A" w:rsidRDefault="00123599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B295EFF" w14:textId="07707556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dane.gov.pl</w:t>
            </w:r>
          </w:p>
          <w:p w14:paraId="1D2E1150" w14:textId="12B39784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59EC2469" w14:textId="30AF0562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4E59DBE6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DD6BA2" w14:textId="009F72C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az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wa systemu lub rejestru: dostawcy płatności elektronicznych</w:t>
            </w:r>
          </w:p>
          <w:p w14:paraId="0176E399" w14:textId="2F20580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7413A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umożliwienie złożenia opłaty.</w:t>
            </w:r>
          </w:p>
          <w:p w14:paraId="41B4F0D2" w14:textId="66D27463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3BEC15A" w14:textId="777777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90C8A59" w14:textId="192A5503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Nazwa systemu lub rejestru: Publiczny 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R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ejestr Żywności Prozdrowotnej</w:t>
            </w:r>
          </w:p>
          <w:p w14:paraId="21245F36" w14:textId="6C4CD0B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474F13BC" w14:textId="06DE2558" w:rsidR="00412A56" w:rsidRPr="00E7413A" w:rsidRDefault="00412A56" w:rsidP="00412A56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</w:tc>
      </w:tr>
      <w:tr w:rsidR="007F34DD" w:rsidRPr="00071C70" w14:paraId="4079385F" w14:textId="77777777" w:rsidTr="00E7413A">
        <w:tc>
          <w:tcPr>
            <w:tcW w:w="2547" w:type="dxa"/>
          </w:tcPr>
          <w:p w14:paraId="304700DB" w14:textId="7ADFCF4A" w:rsidR="007F34DD" w:rsidRPr="00071C70" w:rsidRDefault="007F34D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Narzędzia do przeszukiwania publicznego rejestru żywności objętej obowiązkiem powiadamiania (PR)</w:t>
            </w:r>
          </w:p>
        </w:tc>
        <w:tc>
          <w:tcPr>
            <w:tcW w:w="1701" w:type="dxa"/>
          </w:tcPr>
          <w:p w14:paraId="2EF89525" w14:textId="10C3F81B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117E8024" w14:textId="4B2DDC7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3D06946F" w14:textId="42DA149D" w:rsidR="007F34DD" w:rsidRPr="00E7413A" w:rsidRDefault="00C8758D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  <w:tr w:rsidR="007F34DD" w:rsidRPr="00071C70" w14:paraId="5979BE98" w14:textId="77777777" w:rsidTr="00E7413A">
        <w:tc>
          <w:tcPr>
            <w:tcW w:w="2547" w:type="dxa"/>
          </w:tcPr>
          <w:p w14:paraId="4172A5FE" w14:textId="33CCA862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Publiczne API rejestru żywności objętej obowiązkiem powiadamiania (PA)</w:t>
            </w:r>
          </w:p>
        </w:tc>
        <w:tc>
          <w:tcPr>
            <w:tcW w:w="1701" w:type="dxa"/>
          </w:tcPr>
          <w:p w14:paraId="6656D677" w14:textId="4581116B" w:rsidR="007F34DD" w:rsidRPr="00071C70" w:rsidRDefault="00F753C6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7F34DD"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C6E813A" w14:textId="3970D6E5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26605A6D" w14:textId="457DEFC0" w:rsidR="007F34DD" w:rsidRPr="00E7413A" w:rsidRDefault="00C8758D" w:rsidP="00D251F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</w:tbl>
    <w:p w14:paraId="609ECA7F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6153A2F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697"/>
        <w:gridCol w:w="2126"/>
        <w:gridCol w:w="3264"/>
      </w:tblGrid>
      <w:tr w:rsidR="00322614" w:rsidRPr="002B50C0" w14:paraId="1581B854" w14:textId="77777777" w:rsidTr="00877FA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29F2AFFB" w14:textId="77777777" w:rsidTr="00877FAD">
        <w:tc>
          <w:tcPr>
            <w:tcW w:w="2694" w:type="dxa"/>
          </w:tcPr>
          <w:p w14:paraId="282C06E0" w14:textId="273FF9DA" w:rsidR="0060779A" w:rsidRPr="00071C70" w:rsidRDefault="00494321" w:rsidP="00672B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Przedłużająca się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procedura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przetargowa na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3C1080F0" w14:textId="22748CE8" w:rsidR="0060779A" w:rsidRPr="00071C70" w:rsidRDefault="00CA304F" w:rsidP="006077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02F4E8D" w14:textId="577BF4AC" w:rsidR="0060779A" w:rsidRPr="00071C70" w:rsidRDefault="00521CD7" w:rsidP="006077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4" w:type="dxa"/>
          </w:tcPr>
          <w:p w14:paraId="131A38F9" w14:textId="0090F69B" w:rsidR="0060779A" w:rsidRPr="00A323A4" w:rsidRDefault="00E7413A" w:rsidP="00E74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spójnych i niebudzących wątpliwości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zapisów Opisu Przedmiotu Zamówienia.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Szybka reakcja na pojawiające się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zapytania do dokumentacji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34F8A59B" w14:textId="5E4795FC" w:rsidR="002E1E78" w:rsidRPr="00A323A4" w:rsidRDefault="002E1E78" w:rsidP="002E1E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terminowa realizacja zamówień</w:t>
            </w:r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1E56F7C" w14:textId="47716DF3" w:rsidR="00A323A4" w:rsidRPr="00A323A4" w:rsidRDefault="00A323A4" w:rsidP="00A323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TAK-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</w:tc>
      </w:tr>
      <w:tr w:rsidR="00071C70" w:rsidRPr="00071C70" w14:paraId="1B126E00" w14:textId="77777777" w:rsidTr="00877FAD">
        <w:tc>
          <w:tcPr>
            <w:tcW w:w="2694" w:type="dxa"/>
          </w:tcPr>
          <w:p w14:paraId="57DD67B7" w14:textId="41F601ED" w:rsidR="0060779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niezdolnego do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63E0C181" w14:textId="56FCFEA6" w:rsidR="0060779A" w:rsidRPr="00071C70" w:rsidRDefault="00CA304F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6C4C87" w14:textId="5DD48CFF" w:rsidR="0060779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4FBCBF87" w14:textId="77777777" w:rsidR="0060779A" w:rsidRPr="00A323A4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kryteriów oceny ofert uwzględniających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doświadczenie i kwalifikacje podmiotów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ubiegających się o realizację prac.</w:t>
            </w:r>
          </w:p>
          <w:p w14:paraId="47E90314" w14:textId="429D602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prawdopodobieństwa-wybór wykonawców o kompetencjach właściwych do realizacji zamówień.</w:t>
            </w:r>
          </w:p>
          <w:p w14:paraId="15C0A8A5" w14:textId="02267AA8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1611DE05" w14:textId="77777777" w:rsidTr="00877FAD">
        <w:tc>
          <w:tcPr>
            <w:tcW w:w="2694" w:type="dxa"/>
          </w:tcPr>
          <w:p w14:paraId="7F237D9B" w14:textId="56DC2FA3" w:rsidR="00093028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 wykonawcy</w:t>
            </w:r>
          </w:p>
        </w:tc>
        <w:tc>
          <w:tcPr>
            <w:tcW w:w="1697" w:type="dxa"/>
          </w:tcPr>
          <w:p w14:paraId="0F969D38" w14:textId="7A975B58" w:rsidR="00093028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201A3534" w14:textId="19C2F21F" w:rsidR="00093028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1B261D98" w14:textId="64CEEAA9" w:rsidR="00093028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kary umownej za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nieterminową realizację przedmiotu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umowy oraz bieżąca kontrola zgodności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prac z harmonogramem.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6D74323A" w14:textId="3933F7FA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zwiększenie motywacji wykonawców do terminowej realizacji zamówień.</w:t>
            </w:r>
          </w:p>
          <w:p w14:paraId="2877C6C9" w14:textId="72992C43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TAK-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</w:tc>
      </w:tr>
      <w:tr w:rsidR="00071C70" w:rsidRPr="00071C70" w14:paraId="7976A7DD" w14:textId="77777777" w:rsidTr="00877FAD">
        <w:tc>
          <w:tcPr>
            <w:tcW w:w="2694" w:type="dxa"/>
          </w:tcPr>
          <w:p w14:paraId="164C5646" w14:textId="7C4DB9CB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</w:t>
            </w:r>
          </w:p>
        </w:tc>
        <w:tc>
          <w:tcPr>
            <w:tcW w:w="1697" w:type="dxa"/>
          </w:tcPr>
          <w:p w14:paraId="09967B59" w14:textId="595D69CA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D06B67C" w14:textId="10DBDF55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11817E4E" w14:textId="19A83390" w:rsidR="000D385F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posiadanie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odpowiedniej struktury organizacyjnej po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stronie Zamawiającego. Ustalenie 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harmonogramie terminów działań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Zamawiającego.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Opracowanie dla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Zespołu Projektowego skutecznych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narzędzi zarządzania Projektem (system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zarządzania projektem, regulaminy,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struktura organizacyjna, procedury).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  <w:p w14:paraId="63AF12BE" w14:textId="6E9514C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działanie w oparciu o procedury uwzględniające uwarunkowania.</w:t>
            </w:r>
          </w:p>
          <w:p w14:paraId="359392E2" w14:textId="41DB72E5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TAK- </w:t>
            </w:r>
            <w:r w:rsidR="00081F26" w:rsidRP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Zgodnie z art. 13 ust. 1 Ustawy z dnia 3 kwietnia 2020 r. o szczególnych rozwiązaniach wspierających realizację programów operacyjnych w związku z wystąpieniem COVID-19 w 2020 r. (Dz. U. 2020, poz. 694), w dniu 31.12.2020 r. zawarto aneks nr 1 przedłużający realizację projektu o 90 dni.</w:t>
            </w:r>
          </w:p>
        </w:tc>
      </w:tr>
      <w:tr w:rsidR="00071C70" w:rsidRPr="00071C70" w14:paraId="58ECCB73" w14:textId="77777777" w:rsidTr="00877FAD">
        <w:tc>
          <w:tcPr>
            <w:tcW w:w="2694" w:type="dxa"/>
          </w:tcPr>
          <w:p w14:paraId="075320AD" w14:textId="36DC949D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Wystąpieni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błędów systemu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wykrytych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podczas testów</w:t>
            </w:r>
          </w:p>
        </w:tc>
        <w:tc>
          <w:tcPr>
            <w:tcW w:w="1697" w:type="dxa"/>
          </w:tcPr>
          <w:p w14:paraId="1B1930E4" w14:textId="22812F45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0755C77" w14:textId="5369B70B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7FCCF294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gwarancji oraz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obowiązania do terminowego usuwania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wad systemu pod rygorem egzekucji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kary umownej za nieterminowe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wywiązywanie się ze zobowiązań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gwarancyjnych.</w:t>
            </w:r>
          </w:p>
          <w:p w14:paraId="5DD82E86" w14:textId="7777777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zwiększenie motywacji wykonawców do terminowej realizacji zamówień.</w:t>
            </w:r>
          </w:p>
          <w:p w14:paraId="21691F91" w14:textId="43707820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23F74171" w14:textId="77777777" w:rsidTr="00877FAD">
        <w:tc>
          <w:tcPr>
            <w:tcW w:w="2694" w:type="dxa"/>
          </w:tcPr>
          <w:p w14:paraId="6C0688E5" w14:textId="64422835" w:rsidR="006F0DBA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Niedostosowanie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warstwy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sprzętowej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dostarczonej jako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przetwarzanie w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chmurze</w:t>
            </w:r>
          </w:p>
        </w:tc>
        <w:tc>
          <w:tcPr>
            <w:tcW w:w="1697" w:type="dxa"/>
          </w:tcPr>
          <w:p w14:paraId="51BE9DAB" w14:textId="4D0869CE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18B3994B" w14:textId="7CF636E6" w:rsidR="006F0DBA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6FB8B4FD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precyzyjne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określenie potrzeb i wymagań w zakresie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technicznym i funkcjonalnym względem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dostawcy w ramach warunków udziału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postępowaniu w SIWZ.</w:t>
            </w:r>
          </w:p>
          <w:p w14:paraId="096C4047" w14:textId="6DB9EC0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wybór wykonawcy o dopasowanej do potrzeb projektu infrastrukturze.</w:t>
            </w:r>
          </w:p>
          <w:p w14:paraId="3D0C8280" w14:textId="10370F13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7E529D3C" w14:textId="77777777" w:rsidTr="00877FAD">
        <w:tc>
          <w:tcPr>
            <w:tcW w:w="2694" w:type="dxa"/>
          </w:tcPr>
          <w:p w14:paraId="5A6C1DED" w14:textId="230CCDC4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Problemy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mplementacją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modułu AI</w:t>
            </w:r>
          </w:p>
        </w:tc>
        <w:tc>
          <w:tcPr>
            <w:tcW w:w="1697" w:type="dxa"/>
          </w:tcPr>
          <w:p w14:paraId="00C4E837" w14:textId="3B932207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1D0D34AA" w14:textId="707CC09D" w:rsidR="00D95CFD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64" w:type="dxa"/>
          </w:tcPr>
          <w:p w14:paraId="2196A1D5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podnoszenie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kompetencji zespołu projektowego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niezbędnych dla tworzenia, wdrażania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korzystania z technologii opartych o AI.</w:t>
            </w:r>
          </w:p>
          <w:p w14:paraId="7CC08887" w14:textId="2BB4D618" w:rsidR="002E632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podniesienie kwalifikacji zespołu projektowego.</w:t>
            </w:r>
          </w:p>
          <w:p w14:paraId="1EAA1775" w14:textId="5021E60F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1C7137FB" w14:textId="77777777" w:rsidTr="00877FAD">
        <w:tc>
          <w:tcPr>
            <w:tcW w:w="2694" w:type="dxa"/>
          </w:tcPr>
          <w:p w14:paraId="5F7836AD" w14:textId="2C14C80F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Vendorlock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związane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uzależnieniem się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 jednego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dostawcy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lub sprzętu,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może stanowić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zagrożenie dla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dalszego rozwoju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systemu.</w:t>
            </w:r>
          </w:p>
        </w:tc>
        <w:tc>
          <w:tcPr>
            <w:tcW w:w="1697" w:type="dxa"/>
          </w:tcPr>
          <w:p w14:paraId="21D67E2A" w14:textId="289405EA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3CB2D9A4" w14:textId="33D18812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552412EB" w14:textId="77777777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w dokumentacji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 i zawartej na jej podstawie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umowie wprowadzone zostaną zapisy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zobowiązujące Wykonawcę Platformy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 na GIS jako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Zamawiającego wszelkich Praw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Własności Intelektualnej do Produktów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powstałych w wyniku realizacji umowy,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najszerszym zakresie dozwolonym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przez prawo, bez jakichkolwiek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ograniczeń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czasowych lub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terytorialnych. W przypadku, gdy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do Produktów będzie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dotyczyło autorskich praw majątkowych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praw pokrewnych, to obejmie ono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pola 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79201C2C" w14:textId="14AFEA34" w:rsidR="002E632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zabezpieczenie praw własności intelektualnej do produktów projektu.</w:t>
            </w:r>
          </w:p>
          <w:p w14:paraId="34542DE3" w14:textId="374E43B9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3627964A" w14:textId="77777777" w:rsidTr="00877FAD">
        <w:tc>
          <w:tcPr>
            <w:tcW w:w="2694" w:type="dxa"/>
          </w:tcPr>
          <w:p w14:paraId="1A0A102D" w14:textId="5FE5C23D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Technologie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 Ponieważ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produkty Projektu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mogą być oparte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technologii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open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istnieje 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zaprzestania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rozwoju czy też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technologii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spowoduje brak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kompatybilności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innymi,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rozwijanymi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technologiami.</w:t>
            </w:r>
          </w:p>
        </w:tc>
        <w:tc>
          <w:tcPr>
            <w:tcW w:w="1697" w:type="dxa"/>
          </w:tcPr>
          <w:p w14:paraId="0F1B5130" w14:textId="239D6D2F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260652D0" w14:textId="29B8DBB5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4B54A79A" w14:textId="77777777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- korzystanie 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oprogramowania Open Source w celu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wykonywania umowy, a zwłaszcza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celu stworzenia Platformy,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tylko wówczas, jeśli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lub udzielenie licencji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Produktów obejmie ono pola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63A4AD79" w14:textId="77777777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zabezpieczenie praw własności intelektualnej do produktów projektu.</w:t>
            </w:r>
          </w:p>
          <w:p w14:paraId="5BA3CE20" w14:textId="2C2C26B4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7C15F777" w14:textId="77777777" w:rsidTr="00877FAD">
        <w:tc>
          <w:tcPr>
            <w:tcW w:w="2694" w:type="dxa"/>
          </w:tcPr>
          <w:p w14:paraId="6B07A875" w14:textId="3F72DBD7" w:rsidR="00093028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 i ciągłość realizacji procesów</w:t>
            </w:r>
          </w:p>
        </w:tc>
        <w:tc>
          <w:tcPr>
            <w:tcW w:w="1697" w:type="dxa"/>
          </w:tcPr>
          <w:p w14:paraId="1FD68F6F" w14:textId="68901FD7" w:rsidR="00093028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054963C7" w14:textId="70E8E4BD" w:rsidR="00093028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42C4CD11" w14:textId="124CD8E1" w:rsidR="009E247E" w:rsidRPr="00A323A4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poprzez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właściwej jakości i bezpieczeństwa oprogramowania przez:</w:t>
            </w:r>
          </w:p>
          <w:p w14:paraId="62C46F58" w14:textId="3BA50771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1. stosowanie technik i narzędzi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kontroli jakości,</w:t>
            </w:r>
          </w:p>
          <w:p w14:paraId="2211B510" w14:textId="04D84D94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2. bieżącą weryfikację jakości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 przez Inżyniera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Kontraktu</w:t>
            </w:r>
          </w:p>
          <w:p w14:paraId="013AEEAB" w14:textId="77777777" w:rsidR="00093028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3. przeprowadzenie niezależnego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audytu bezpieczeństwa.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Podczas projektowania i implementacji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Platformy analiza czynników mających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wpływ na jej bezpieczeństwo takich jak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przeciążeniem,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aplikacji przed awarią,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nieuprawnionym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dostępem, kontrola uprawnień,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monitorowanie działania aplikacji,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ciągłości działania,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bezpieczeństwo serwera aplikacji, testy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bezpieczeństwa, badania akceptacyjne,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testy penetracyjne.</w:t>
            </w:r>
          </w:p>
          <w:p w14:paraId="2BE84F74" w14:textId="2D78A134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="00056E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potwierdzenie </w:t>
            </w:r>
            <w:r w:rsidR="00056E47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właściwej jakości i bezpieczeństwa oprogramowania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6B858396" w14:textId="7D758134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  <w:tr w:rsidR="00071C70" w:rsidRPr="00071C70" w14:paraId="0446DF62" w14:textId="77777777" w:rsidTr="00081F26">
        <w:trPr>
          <w:trHeight w:val="1440"/>
        </w:trPr>
        <w:tc>
          <w:tcPr>
            <w:tcW w:w="2694" w:type="dxa"/>
          </w:tcPr>
          <w:p w14:paraId="7CA4A567" w14:textId="16BA6B0A" w:rsidR="003C0D73" w:rsidRPr="00071C70" w:rsidRDefault="00CA304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skutecznej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koordynacji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ziałań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projektowych</w:t>
            </w:r>
          </w:p>
        </w:tc>
        <w:tc>
          <w:tcPr>
            <w:tcW w:w="1697" w:type="dxa"/>
          </w:tcPr>
          <w:p w14:paraId="536A602B" w14:textId="6008D99A" w:rsidR="003C0D73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2F84649" w14:textId="319C21B2" w:rsidR="003C0D73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264" w:type="dxa"/>
          </w:tcPr>
          <w:p w14:paraId="7F68CEF0" w14:textId="77777777" w:rsidR="00D51470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rozwijanie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kwalifikacji zarządczych kadry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uczestniczącej w zarządzaniu projektem.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1FBCB71F" w14:textId="77777777" w:rsidR="00056E47" w:rsidRDefault="00056E47" w:rsidP="00056E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podniesienie kwalifikacji zespołu projektowego.</w:t>
            </w:r>
          </w:p>
          <w:p w14:paraId="79AD313D" w14:textId="758B1D4C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81F26">
              <w:rPr>
                <w:rFonts w:ascii="Arial" w:hAnsi="Arial" w:cs="Arial"/>
                <w:color w:val="000000" w:themeColor="text1"/>
                <w:sz w:val="16"/>
                <w:szCs w:val="16"/>
              </w:rPr>
              <w:t>NIE- bez zmian.</w:t>
            </w:r>
          </w:p>
        </w:tc>
      </w:tr>
    </w:tbl>
    <w:p w14:paraId="353554FC" w14:textId="77777777" w:rsidR="00877FAD" w:rsidRDefault="00877FAD" w:rsidP="00877FAD">
      <w:pPr>
        <w:rPr>
          <w:rFonts w:ascii="Arial" w:hAnsi="Arial" w:cs="Arial"/>
          <w:b/>
          <w:sz w:val="20"/>
          <w:szCs w:val="20"/>
        </w:rPr>
      </w:pPr>
    </w:p>
    <w:p w14:paraId="33CFB423" w14:textId="77777777" w:rsidR="00081F26" w:rsidRDefault="00081F26" w:rsidP="00877FAD">
      <w:pPr>
        <w:rPr>
          <w:rFonts w:ascii="Arial" w:hAnsi="Arial" w:cs="Arial"/>
          <w:b/>
          <w:sz w:val="20"/>
          <w:szCs w:val="20"/>
        </w:rPr>
      </w:pPr>
    </w:p>
    <w:p w14:paraId="71852D88" w14:textId="77777777" w:rsidR="00081F26" w:rsidRDefault="00081F26" w:rsidP="00877FAD">
      <w:pPr>
        <w:rPr>
          <w:rFonts w:ascii="Arial" w:hAnsi="Arial" w:cs="Arial"/>
          <w:b/>
          <w:sz w:val="20"/>
          <w:szCs w:val="20"/>
        </w:rPr>
      </w:pPr>
    </w:p>
    <w:p w14:paraId="70AA8D78" w14:textId="77777777" w:rsidR="00081F26" w:rsidRDefault="00081F26" w:rsidP="00877FAD">
      <w:pPr>
        <w:rPr>
          <w:rFonts w:ascii="Arial" w:hAnsi="Arial" w:cs="Arial"/>
          <w:b/>
          <w:sz w:val="20"/>
          <w:szCs w:val="20"/>
        </w:rPr>
      </w:pPr>
    </w:p>
    <w:p w14:paraId="7BB64F32" w14:textId="1D30B55E" w:rsidR="00CF2E64" w:rsidRDefault="00CF2E64" w:rsidP="00877FAD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741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FA8FE9" w:rsidR="0091332C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abezpieczenia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finansowych na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utrzymanie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 po jego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08046506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F3A260C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5CD12479" w:rsidR="0091332C" w:rsidRPr="00071C70" w:rsidRDefault="006A5CA3" w:rsidP="0007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zaplanowanie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rodków na utrzymanie systemu w</w:t>
            </w:r>
            <w:r w:rsidR="00071C7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budżecie GIS na kolejne lata</w:t>
            </w:r>
          </w:p>
        </w:tc>
      </w:tr>
      <w:tr w:rsidR="00071C70" w:rsidRPr="00071C70" w14:paraId="13155B2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8A4F70F" w14:textId="0D6F53B5" w:rsidR="00093028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Awarie systemu 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utrudnienie 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przekazywaniu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</w:t>
            </w:r>
          </w:p>
        </w:tc>
        <w:tc>
          <w:tcPr>
            <w:tcW w:w="1701" w:type="dxa"/>
            <w:shd w:val="clear" w:color="auto" w:fill="FFFFFF"/>
          </w:tcPr>
          <w:p w14:paraId="2BA6CC33" w14:textId="6DB88C55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8F47A86" w14:textId="545FFA6D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C7C0C49" w14:textId="200A289A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modułowe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0D30C9" w14:textId="5834D556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wprowadzanie systemu tak aby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było szybkie identyfikowanie awarii.</w:t>
            </w:r>
          </w:p>
        </w:tc>
      </w:tr>
      <w:tr w:rsidR="00071C70" w:rsidRPr="00071C70" w14:paraId="11EF4D2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78341B" w14:textId="02EAFAFC" w:rsidR="00093028" w:rsidRPr="00071C70" w:rsidRDefault="002867B8" w:rsidP="00A107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miejętności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efektywnego wykorzystywania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funkcjonalności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127394E7" w14:textId="5BEC86C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7241205" w14:textId="011709F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73D27D6" w14:textId="77777777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 -</w:t>
            </w:r>
          </w:p>
          <w:p w14:paraId="3DD43B2F" w14:textId="6BDEDD37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przeprowadzenie szkoleń on-line 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zakresu użytkowania systemu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54902F7" w14:textId="77777777" w:rsidR="007168FB" w:rsidRPr="00071C70" w:rsidRDefault="007168FB" w:rsidP="007168FB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071C70">
        <w:rPr>
          <w:rFonts w:ascii="Arial" w:hAnsi="Arial" w:cs="Arial"/>
          <w:sz w:val="20"/>
          <w:szCs w:val="20"/>
        </w:rPr>
        <w:t>Nie dotyczy</w:t>
      </w:r>
    </w:p>
    <w:p w14:paraId="0FA2F07F" w14:textId="083C58E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6EF1695" w14:textId="5EC2F1F1" w:rsidR="008956F5" w:rsidRPr="00071C70" w:rsidRDefault="008956F5" w:rsidP="00071C70">
      <w:pPr>
        <w:spacing w:after="0"/>
        <w:rPr>
          <w:rFonts w:ascii="Arial" w:hAnsi="Arial" w:cs="Arial"/>
          <w:sz w:val="20"/>
          <w:szCs w:val="20"/>
        </w:rPr>
      </w:pPr>
      <w:r w:rsidRPr="00071C70">
        <w:rPr>
          <w:rFonts w:ascii="Arial" w:hAnsi="Arial" w:cs="Arial"/>
          <w:sz w:val="20"/>
          <w:szCs w:val="20"/>
        </w:rPr>
        <w:t xml:space="preserve">Przemysław Rzodkiewicz, </w:t>
      </w:r>
      <w:r w:rsidR="00F753C6">
        <w:rPr>
          <w:rFonts w:ascii="Arial" w:hAnsi="Arial" w:cs="Arial"/>
          <w:sz w:val="20"/>
          <w:szCs w:val="20"/>
        </w:rPr>
        <w:t>Ekspert</w:t>
      </w:r>
      <w:r w:rsidRPr="00071C70">
        <w:rPr>
          <w:rFonts w:ascii="Arial" w:hAnsi="Arial" w:cs="Arial"/>
          <w:sz w:val="20"/>
          <w:szCs w:val="20"/>
        </w:rPr>
        <w:t>, Departa</w:t>
      </w:r>
      <w:r w:rsidR="00FC69CF" w:rsidRPr="00071C70">
        <w:rPr>
          <w:rFonts w:ascii="Arial" w:hAnsi="Arial" w:cs="Arial"/>
          <w:sz w:val="20"/>
          <w:szCs w:val="20"/>
        </w:rPr>
        <w:t xml:space="preserve">ment Bezpieczeństwa </w:t>
      </w:r>
      <w:r w:rsidR="0015249A" w:rsidRPr="00071C70">
        <w:rPr>
          <w:rFonts w:ascii="Arial" w:hAnsi="Arial" w:cs="Arial"/>
          <w:sz w:val="20"/>
          <w:szCs w:val="20"/>
        </w:rPr>
        <w:t>Żywności</w:t>
      </w:r>
      <w:r w:rsidR="00FC69CF" w:rsidRPr="00071C70">
        <w:rPr>
          <w:rFonts w:ascii="Arial" w:hAnsi="Arial" w:cs="Arial"/>
          <w:sz w:val="20"/>
          <w:szCs w:val="20"/>
        </w:rPr>
        <w:t xml:space="preserve"> i Żywienia</w:t>
      </w:r>
      <w:r w:rsidRPr="00071C70">
        <w:rPr>
          <w:rFonts w:ascii="Arial" w:hAnsi="Arial" w:cs="Arial"/>
          <w:sz w:val="20"/>
          <w:szCs w:val="20"/>
        </w:rPr>
        <w:t xml:space="preserve">, </w:t>
      </w:r>
      <w:r w:rsidRPr="00071C70">
        <w:rPr>
          <w:rFonts w:ascii="Arial" w:hAnsi="Arial" w:cs="Arial"/>
          <w:sz w:val="20"/>
          <w:szCs w:val="20"/>
        </w:rPr>
        <w:br/>
      </w:r>
      <w:r w:rsidR="00FC69CF" w:rsidRPr="00071C70">
        <w:rPr>
          <w:rFonts w:ascii="Arial" w:hAnsi="Arial" w:cs="Arial"/>
          <w:sz w:val="20"/>
          <w:szCs w:val="20"/>
        </w:rPr>
        <w:t>Główny Inspektorat Sanitarny</w:t>
      </w:r>
    </w:p>
    <w:p w14:paraId="674DE7D6" w14:textId="5CE1210A" w:rsidR="00FC69CF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tel. </w:t>
      </w:r>
      <w:proofErr w:type="spellStart"/>
      <w:r w:rsidRPr="00071C70">
        <w:rPr>
          <w:rFonts w:ascii="Arial" w:hAnsi="Arial" w:cs="Arial"/>
          <w:sz w:val="20"/>
          <w:szCs w:val="20"/>
          <w:lang w:val="en-GB"/>
        </w:rPr>
        <w:t>kom</w:t>
      </w:r>
      <w:proofErr w:type="spellEnd"/>
      <w:r w:rsidRPr="00071C70">
        <w:rPr>
          <w:rFonts w:ascii="Arial" w:hAnsi="Arial" w:cs="Arial"/>
          <w:sz w:val="20"/>
          <w:szCs w:val="20"/>
          <w:lang w:val="en-GB"/>
        </w:rPr>
        <w:t>. +48</w:t>
      </w:r>
      <w:r w:rsidR="00BF57D0" w:rsidRPr="00071C70">
        <w:rPr>
          <w:rFonts w:ascii="Arial" w:hAnsi="Arial" w:cs="Arial"/>
          <w:sz w:val="20"/>
          <w:szCs w:val="20"/>
          <w:lang w:val="en-GB"/>
        </w:rPr>
        <w:t> 538</w:t>
      </w:r>
      <w:r w:rsidR="0015249A" w:rsidRPr="00071C70">
        <w:rPr>
          <w:rFonts w:ascii="Arial" w:hAnsi="Arial" w:cs="Arial"/>
          <w:sz w:val="20"/>
          <w:szCs w:val="20"/>
          <w:lang w:val="en-GB"/>
        </w:rPr>
        <w:t> </w:t>
      </w:r>
      <w:r w:rsidR="00BF57D0" w:rsidRPr="00071C70">
        <w:rPr>
          <w:rFonts w:ascii="Arial" w:hAnsi="Arial" w:cs="Arial"/>
          <w:sz w:val="20"/>
          <w:szCs w:val="20"/>
          <w:lang w:val="en-GB"/>
        </w:rPr>
        <w:t>895</w:t>
      </w:r>
      <w:r w:rsidR="0015249A" w:rsidRPr="00071C70">
        <w:rPr>
          <w:rFonts w:ascii="Arial" w:hAnsi="Arial" w:cs="Arial"/>
          <w:sz w:val="20"/>
          <w:szCs w:val="20"/>
          <w:lang w:val="en-GB"/>
        </w:rPr>
        <w:t xml:space="preserve"> 188</w:t>
      </w:r>
    </w:p>
    <w:p w14:paraId="5ACC80B6" w14:textId="57201F96" w:rsidR="00A92887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e-mail: </w:t>
      </w:r>
      <w:hyperlink r:id="rId8" w:history="1">
        <w:r w:rsidR="00CD6FF6" w:rsidRPr="00071C70">
          <w:rPr>
            <w:rStyle w:val="Hipercze"/>
            <w:rFonts w:ascii="Arial" w:hAnsi="Arial" w:cs="Arial"/>
            <w:sz w:val="20"/>
            <w:szCs w:val="20"/>
            <w:lang w:val="en-GB"/>
          </w:rPr>
          <w:t>p.rzodkiewicz@gis.gov.pl</w:t>
        </w:r>
      </w:hyperlink>
    </w:p>
    <w:sectPr w:rsidR="00A92887" w:rsidRPr="00071C70" w:rsidSect="00877FAD">
      <w:footerReference w:type="default" r:id="rId9"/>
      <w:pgSz w:w="11906" w:h="16838"/>
      <w:pgMar w:top="1417" w:right="1133" w:bottom="1417" w:left="993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73ED9" w14:textId="77777777" w:rsidR="00E7413A" w:rsidRDefault="00E7413A" w:rsidP="00BB2420">
      <w:pPr>
        <w:spacing w:after="0" w:line="240" w:lineRule="auto"/>
      </w:pPr>
      <w:r>
        <w:separator/>
      </w:r>
    </w:p>
  </w:endnote>
  <w:endnote w:type="continuationSeparator" w:id="0">
    <w:p w14:paraId="767C3F8D" w14:textId="77777777" w:rsidR="00E7413A" w:rsidRDefault="00E7413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CE2A2" w:rsidR="00E7413A" w:rsidRDefault="00E741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6E4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81F26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E7413A" w:rsidRDefault="00E74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544BA" w14:textId="77777777" w:rsidR="00E7413A" w:rsidRDefault="00E7413A" w:rsidP="00BB2420">
      <w:pPr>
        <w:spacing w:after="0" w:line="240" w:lineRule="auto"/>
      </w:pPr>
      <w:r>
        <w:separator/>
      </w:r>
    </w:p>
  </w:footnote>
  <w:footnote w:type="continuationSeparator" w:id="0">
    <w:p w14:paraId="28FFE08A" w14:textId="77777777" w:rsidR="00E7413A" w:rsidRDefault="00E7413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7413A" w:rsidRDefault="00E741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A2981"/>
    <w:multiLevelType w:val="hybridMultilevel"/>
    <w:tmpl w:val="D1901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wNDA2NrU0sDCwNDZQ0lEKTi0uzszPAykwqQUAsnpYnCwAAAA="/>
  </w:docVars>
  <w:rsids>
    <w:rsidRoot w:val="005A1B30"/>
    <w:rsid w:val="00003CB0"/>
    <w:rsid w:val="00006E59"/>
    <w:rsid w:val="0001545A"/>
    <w:rsid w:val="00030911"/>
    <w:rsid w:val="00033023"/>
    <w:rsid w:val="00036ABD"/>
    <w:rsid w:val="00043DD9"/>
    <w:rsid w:val="00044D68"/>
    <w:rsid w:val="00047D9D"/>
    <w:rsid w:val="00056E47"/>
    <w:rsid w:val="0006403E"/>
    <w:rsid w:val="00070663"/>
    <w:rsid w:val="00071880"/>
    <w:rsid w:val="00071C70"/>
    <w:rsid w:val="00081F26"/>
    <w:rsid w:val="00084E5B"/>
    <w:rsid w:val="00087231"/>
    <w:rsid w:val="00090B6F"/>
    <w:rsid w:val="00093028"/>
    <w:rsid w:val="00095944"/>
    <w:rsid w:val="000A1DFB"/>
    <w:rsid w:val="000A2F32"/>
    <w:rsid w:val="000A3938"/>
    <w:rsid w:val="000A5435"/>
    <w:rsid w:val="000B059E"/>
    <w:rsid w:val="000B3E49"/>
    <w:rsid w:val="000B74E8"/>
    <w:rsid w:val="000D385F"/>
    <w:rsid w:val="000E0060"/>
    <w:rsid w:val="000E1828"/>
    <w:rsid w:val="000E2451"/>
    <w:rsid w:val="000E4BF8"/>
    <w:rsid w:val="000F20A9"/>
    <w:rsid w:val="000F307B"/>
    <w:rsid w:val="000F30B9"/>
    <w:rsid w:val="00100893"/>
    <w:rsid w:val="00100C93"/>
    <w:rsid w:val="0011693F"/>
    <w:rsid w:val="00122251"/>
    <w:rsid w:val="00122388"/>
    <w:rsid w:val="00123599"/>
    <w:rsid w:val="00124C3D"/>
    <w:rsid w:val="001309CA"/>
    <w:rsid w:val="00134D2B"/>
    <w:rsid w:val="00141A92"/>
    <w:rsid w:val="001441D4"/>
    <w:rsid w:val="00145E84"/>
    <w:rsid w:val="0015102C"/>
    <w:rsid w:val="0015249A"/>
    <w:rsid w:val="00153381"/>
    <w:rsid w:val="00176FBB"/>
    <w:rsid w:val="0018042D"/>
    <w:rsid w:val="00181E97"/>
    <w:rsid w:val="00182A08"/>
    <w:rsid w:val="00187FC0"/>
    <w:rsid w:val="001A2EF2"/>
    <w:rsid w:val="001B5EDC"/>
    <w:rsid w:val="001C2D74"/>
    <w:rsid w:val="001C7FAC"/>
    <w:rsid w:val="001D167C"/>
    <w:rsid w:val="001E0CAC"/>
    <w:rsid w:val="001E16A3"/>
    <w:rsid w:val="001E1DEA"/>
    <w:rsid w:val="001E7199"/>
    <w:rsid w:val="001F24A0"/>
    <w:rsid w:val="001F4F9A"/>
    <w:rsid w:val="001F67EC"/>
    <w:rsid w:val="002026C9"/>
    <w:rsid w:val="0020330A"/>
    <w:rsid w:val="00210E60"/>
    <w:rsid w:val="00237279"/>
    <w:rsid w:val="00240D69"/>
    <w:rsid w:val="00241B5E"/>
    <w:rsid w:val="00247663"/>
    <w:rsid w:val="00252087"/>
    <w:rsid w:val="00263392"/>
    <w:rsid w:val="00265194"/>
    <w:rsid w:val="00276C00"/>
    <w:rsid w:val="00277E09"/>
    <w:rsid w:val="002825F1"/>
    <w:rsid w:val="00286412"/>
    <w:rsid w:val="002867B8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1E78"/>
    <w:rsid w:val="002E2FAF"/>
    <w:rsid w:val="002E6324"/>
    <w:rsid w:val="002F29A3"/>
    <w:rsid w:val="0030196F"/>
    <w:rsid w:val="00302775"/>
    <w:rsid w:val="00304D04"/>
    <w:rsid w:val="00310D8E"/>
    <w:rsid w:val="003131AE"/>
    <w:rsid w:val="003221F2"/>
    <w:rsid w:val="00322614"/>
    <w:rsid w:val="00334A24"/>
    <w:rsid w:val="003410FE"/>
    <w:rsid w:val="003508E7"/>
    <w:rsid w:val="003542F1"/>
    <w:rsid w:val="00356A3E"/>
    <w:rsid w:val="003642B8"/>
    <w:rsid w:val="003702BA"/>
    <w:rsid w:val="00386DC9"/>
    <w:rsid w:val="00392919"/>
    <w:rsid w:val="003946AC"/>
    <w:rsid w:val="00396C84"/>
    <w:rsid w:val="003A4115"/>
    <w:rsid w:val="003B5B7A"/>
    <w:rsid w:val="003C0D73"/>
    <w:rsid w:val="003C47A4"/>
    <w:rsid w:val="003C7325"/>
    <w:rsid w:val="003C7A59"/>
    <w:rsid w:val="003D7DD0"/>
    <w:rsid w:val="003E3144"/>
    <w:rsid w:val="00405EA4"/>
    <w:rsid w:val="0041034F"/>
    <w:rsid w:val="004118A3"/>
    <w:rsid w:val="00412A56"/>
    <w:rsid w:val="00420B82"/>
    <w:rsid w:val="00423A26"/>
    <w:rsid w:val="00425046"/>
    <w:rsid w:val="004350B8"/>
    <w:rsid w:val="00444AAB"/>
    <w:rsid w:val="00450089"/>
    <w:rsid w:val="00466EB1"/>
    <w:rsid w:val="004729D1"/>
    <w:rsid w:val="00473B58"/>
    <w:rsid w:val="004809EF"/>
    <w:rsid w:val="00494321"/>
    <w:rsid w:val="004B4AE1"/>
    <w:rsid w:val="004C0B38"/>
    <w:rsid w:val="004C1D48"/>
    <w:rsid w:val="004D1048"/>
    <w:rsid w:val="004D269E"/>
    <w:rsid w:val="004D65CA"/>
    <w:rsid w:val="004F6E89"/>
    <w:rsid w:val="00504B06"/>
    <w:rsid w:val="005076A1"/>
    <w:rsid w:val="00513213"/>
    <w:rsid w:val="00517F12"/>
    <w:rsid w:val="0052102C"/>
    <w:rsid w:val="005212C8"/>
    <w:rsid w:val="00521CD7"/>
    <w:rsid w:val="00524E6C"/>
    <w:rsid w:val="005332D6"/>
    <w:rsid w:val="00544DFE"/>
    <w:rsid w:val="005548F2"/>
    <w:rsid w:val="005734CE"/>
    <w:rsid w:val="00581AAA"/>
    <w:rsid w:val="005840AB"/>
    <w:rsid w:val="00586664"/>
    <w:rsid w:val="00593290"/>
    <w:rsid w:val="005A0E33"/>
    <w:rsid w:val="005A12F7"/>
    <w:rsid w:val="005A1B30"/>
    <w:rsid w:val="005B1A32"/>
    <w:rsid w:val="005B7464"/>
    <w:rsid w:val="005C0469"/>
    <w:rsid w:val="005C6116"/>
    <w:rsid w:val="005C77BB"/>
    <w:rsid w:val="005D17CF"/>
    <w:rsid w:val="005D24AF"/>
    <w:rsid w:val="005D5AAB"/>
    <w:rsid w:val="005D6E12"/>
    <w:rsid w:val="005E0ED8"/>
    <w:rsid w:val="005E3BBE"/>
    <w:rsid w:val="005E6ABD"/>
    <w:rsid w:val="005F41FA"/>
    <w:rsid w:val="00600AE4"/>
    <w:rsid w:val="006054AA"/>
    <w:rsid w:val="0060779A"/>
    <w:rsid w:val="00617CF0"/>
    <w:rsid w:val="0062054D"/>
    <w:rsid w:val="006334BF"/>
    <w:rsid w:val="00635A54"/>
    <w:rsid w:val="00661A62"/>
    <w:rsid w:val="00672B5F"/>
    <w:rsid w:val="006731D9"/>
    <w:rsid w:val="006822BC"/>
    <w:rsid w:val="006948D3"/>
    <w:rsid w:val="006A0E12"/>
    <w:rsid w:val="006A5CA3"/>
    <w:rsid w:val="006A60AA"/>
    <w:rsid w:val="006B034F"/>
    <w:rsid w:val="006B5117"/>
    <w:rsid w:val="006C78AE"/>
    <w:rsid w:val="006E06FE"/>
    <w:rsid w:val="006E0CFA"/>
    <w:rsid w:val="006E6205"/>
    <w:rsid w:val="006F0DBA"/>
    <w:rsid w:val="00701800"/>
    <w:rsid w:val="00704D5D"/>
    <w:rsid w:val="007111A9"/>
    <w:rsid w:val="007168FB"/>
    <w:rsid w:val="00725708"/>
    <w:rsid w:val="007337C9"/>
    <w:rsid w:val="0073691A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77B9"/>
    <w:rsid w:val="007C2503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4DD"/>
    <w:rsid w:val="00803FBE"/>
    <w:rsid w:val="00805178"/>
    <w:rsid w:val="0080530D"/>
    <w:rsid w:val="00806134"/>
    <w:rsid w:val="00830B70"/>
    <w:rsid w:val="00840749"/>
    <w:rsid w:val="00847A84"/>
    <w:rsid w:val="0087452F"/>
    <w:rsid w:val="00875528"/>
    <w:rsid w:val="00877FAD"/>
    <w:rsid w:val="0088098C"/>
    <w:rsid w:val="00884686"/>
    <w:rsid w:val="008956F5"/>
    <w:rsid w:val="008A332F"/>
    <w:rsid w:val="008A52F6"/>
    <w:rsid w:val="008A73AC"/>
    <w:rsid w:val="008C4BCD"/>
    <w:rsid w:val="008C6721"/>
    <w:rsid w:val="008C7325"/>
    <w:rsid w:val="008D2436"/>
    <w:rsid w:val="008D3826"/>
    <w:rsid w:val="008F2D9B"/>
    <w:rsid w:val="008F67EE"/>
    <w:rsid w:val="00907F6D"/>
    <w:rsid w:val="00911190"/>
    <w:rsid w:val="0091332C"/>
    <w:rsid w:val="009256F2"/>
    <w:rsid w:val="00931F5A"/>
    <w:rsid w:val="00933BEC"/>
    <w:rsid w:val="009347B8"/>
    <w:rsid w:val="00936729"/>
    <w:rsid w:val="0095183B"/>
    <w:rsid w:val="00952126"/>
    <w:rsid w:val="00952617"/>
    <w:rsid w:val="00962DC4"/>
    <w:rsid w:val="009663A6"/>
    <w:rsid w:val="00971267"/>
    <w:rsid w:val="00971A40"/>
    <w:rsid w:val="00976434"/>
    <w:rsid w:val="00992EA3"/>
    <w:rsid w:val="009967CA"/>
    <w:rsid w:val="009A17FF"/>
    <w:rsid w:val="009B2347"/>
    <w:rsid w:val="009B4423"/>
    <w:rsid w:val="009C6140"/>
    <w:rsid w:val="009D2FA4"/>
    <w:rsid w:val="009D7D8A"/>
    <w:rsid w:val="009E247E"/>
    <w:rsid w:val="009E4C67"/>
    <w:rsid w:val="009F09BF"/>
    <w:rsid w:val="009F1DC8"/>
    <w:rsid w:val="009F437E"/>
    <w:rsid w:val="00A0046E"/>
    <w:rsid w:val="00A10723"/>
    <w:rsid w:val="00A11788"/>
    <w:rsid w:val="00A273D7"/>
    <w:rsid w:val="00A30847"/>
    <w:rsid w:val="00A323A4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DAC"/>
    <w:rsid w:val="00AA4CAB"/>
    <w:rsid w:val="00AA51AD"/>
    <w:rsid w:val="00AA730D"/>
    <w:rsid w:val="00AB2E01"/>
    <w:rsid w:val="00AB516E"/>
    <w:rsid w:val="00AB77BA"/>
    <w:rsid w:val="00AC44BC"/>
    <w:rsid w:val="00AC7E26"/>
    <w:rsid w:val="00AD16FE"/>
    <w:rsid w:val="00AD3C44"/>
    <w:rsid w:val="00AD45BB"/>
    <w:rsid w:val="00AE1643"/>
    <w:rsid w:val="00AE3A6C"/>
    <w:rsid w:val="00AF09B8"/>
    <w:rsid w:val="00AF4F18"/>
    <w:rsid w:val="00AF567D"/>
    <w:rsid w:val="00B01983"/>
    <w:rsid w:val="00B06A64"/>
    <w:rsid w:val="00B17709"/>
    <w:rsid w:val="00B23828"/>
    <w:rsid w:val="00B27EE9"/>
    <w:rsid w:val="00B32F44"/>
    <w:rsid w:val="00B41415"/>
    <w:rsid w:val="00B440C3"/>
    <w:rsid w:val="00B46B7D"/>
    <w:rsid w:val="00B50560"/>
    <w:rsid w:val="00B5532F"/>
    <w:rsid w:val="00B57BCE"/>
    <w:rsid w:val="00B64B3C"/>
    <w:rsid w:val="00B67232"/>
    <w:rsid w:val="00B673BD"/>
    <w:rsid w:val="00B673C6"/>
    <w:rsid w:val="00B72772"/>
    <w:rsid w:val="00B74859"/>
    <w:rsid w:val="00B77705"/>
    <w:rsid w:val="00B87D3D"/>
    <w:rsid w:val="00B91243"/>
    <w:rsid w:val="00BA481C"/>
    <w:rsid w:val="00BB059E"/>
    <w:rsid w:val="00BB18FD"/>
    <w:rsid w:val="00BB2420"/>
    <w:rsid w:val="00BB3748"/>
    <w:rsid w:val="00BB49AC"/>
    <w:rsid w:val="00BB5ACE"/>
    <w:rsid w:val="00BC1BD2"/>
    <w:rsid w:val="00BC304D"/>
    <w:rsid w:val="00BC6BE4"/>
    <w:rsid w:val="00BE47CD"/>
    <w:rsid w:val="00BE5BF9"/>
    <w:rsid w:val="00BF57D0"/>
    <w:rsid w:val="00C013F5"/>
    <w:rsid w:val="00C1106C"/>
    <w:rsid w:val="00C133C1"/>
    <w:rsid w:val="00C1647B"/>
    <w:rsid w:val="00C202DB"/>
    <w:rsid w:val="00C26361"/>
    <w:rsid w:val="00C302F1"/>
    <w:rsid w:val="00C3575F"/>
    <w:rsid w:val="00C42AEA"/>
    <w:rsid w:val="00C47D8C"/>
    <w:rsid w:val="00C50CB8"/>
    <w:rsid w:val="00C50D68"/>
    <w:rsid w:val="00C57985"/>
    <w:rsid w:val="00C6751B"/>
    <w:rsid w:val="00C8758D"/>
    <w:rsid w:val="00C90A16"/>
    <w:rsid w:val="00CA304F"/>
    <w:rsid w:val="00CA516B"/>
    <w:rsid w:val="00CA6209"/>
    <w:rsid w:val="00CB715E"/>
    <w:rsid w:val="00CC7E21"/>
    <w:rsid w:val="00CD5718"/>
    <w:rsid w:val="00CD6FF6"/>
    <w:rsid w:val="00CE311F"/>
    <w:rsid w:val="00CE74F9"/>
    <w:rsid w:val="00CE7777"/>
    <w:rsid w:val="00CF2E64"/>
    <w:rsid w:val="00D02F6D"/>
    <w:rsid w:val="00D22C21"/>
    <w:rsid w:val="00D23C25"/>
    <w:rsid w:val="00D251F1"/>
    <w:rsid w:val="00D25CFE"/>
    <w:rsid w:val="00D308A9"/>
    <w:rsid w:val="00D30D48"/>
    <w:rsid w:val="00D35093"/>
    <w:rsid w:val="00D4607F"/>
    <w:rsid w:val="00D51470"/>
    <w:rsid w:val="00D57025"/>
    <w:rsid w:val="00D57765"/>
    <w:rsid w:val="00D77F50"/>
    <w:rsid w:val="00D859F4"/>
    <w:rsid w:val="00D85A52"/>
    <w:rsid w:val="00D86FEC"/>
    <w:rsid w:val="00D95CFD"/>
    <w:rsid w:val="00D966FF"/>
    <w:rsid w:val="00DA34DF"/>
    <w:rsid w:val="00DB1E3A"/>
    <w:rsid w:val="00DB69FD"/>
    <w:rsid w:val="00DC0A8A"/>
    <w:rsid w:val="00DC1705"/>
    <w:rsid w:val="00DC39A9"/>
    <w:rsid w:val="00DC4C79"/>
    <w:rsid w:val="00DC540E"/>
    <w:rsid w:val="00DD1E33"/>
    <w:rsid w:val="00DE6249"/>
    <w:rsid w:val="00DE731D"/>
    <w:rsid w:val="00E0076D"/>
    <w:rsid w:val="00E11B44"/>
    <w:rsid w:val="00E15DEB"/>
    <w:rsid w:val="00E1688D"/>
    <w:rsid w:val="00E203EB"/>
    <w:rsid w:val="00E35401"/>
    <w:rsid w:val="00E3719E"/>
    <w:rsid w:val="00E375DB"/>
    <w:rsid w:val="00E42938"/>
    <w:rsid w:val="00E47508"/>
    <w:rsid w:val="00E55EB0"/>
    <w:rsid w:val="00E57BB7"/>
    <w:rsid w:val="00E61CB0"/>
    <w:rsid w:val="00E67ABD"/>
    <w:rsid w:val="00E71256"/>
    <w:rsid w:val="00E71BCF"/>
    <w:rsid w:val="00E7413A"/>
    <w:rsid w:val="00E81D7C"/>
    <w:rsid w:val="00E83FA4"/>
    <w:rsid w:val="00E86020"/>
    <w:rsid w:val="00E938E4"/>
    <w:rsid w:val="00E97220"/>
    <w:rsid w:val="00EA0B4F"/>
    <w:rsid w:val="00EB00AB"/>
    <w:rsid w:val="00EC2AFC"/>
    <w:rsid w:val="00EF411B"/>
    <w:rsid w:val="00EF50D0"/>
    <w:rsid w:val="00F0380C"/>
    <w:rsid w:val="00F038B3"/>
    <w:rsid w:val="00F06E56"/>
    <w:rsid w:val="00F138F7"/>
    <w:rsid w:val="00F2008A"/>
    <w:rsid w:val="00F21D9E"/>
    <w:rsid w:val="00F25348"/>
    <w:rsid w:val="00F37569"/>
    <w:rsid w:val="00F45506"/>
    <w:rsid w:val="00F57F95"/>
    <w:rsid w:val="00F60062"/>
    <w:rsid w:val="00F613CC"/>
    <w:rsid w:val="00F74246"/>
    <w:rsid w:val="00F753C6"/>
    <w:rsid w:val="00F76777"/>
    <w:rsid w:val="00F8005E"/>
    <w:rsid w:val="00F83F2F"/>
    <w:rsid w:val="00F86555"/>
    <w:rsid w:val="00F86C58"/>
    <w:rsid w:val="00F9554E"/>
    <w:rsid w:val="00FC30C7"/>
    <w:rsid w:val="00FC3B03"/>
    <w:rsid w:val="00FC69C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56F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6F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zodkiewicz@gi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41983-935E-4315-B2F1-EB9D243D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2161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2020-11-18T09:01:00Z</dcterms:created>
  <dcterms:modified xsi:type="dcterms:W3CDTF">2021-01-10T18:02:00Z</dcterms:modified>
</cp:coreProperties>
</file>