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20" w:rsidRPr="00622CF2" w:rsidRDefault="00F87DCB" w:rsidP="00BA7520">
      <w:pPr>
        <w:tabs>
          <w:tab w:val="left" w:pos="6645"/>
        </w:tabs>
        <w:ind w:firstLine="6118"/>
        <w:jc w:val="right"/>
        <w:rPr>
          <w:rFonts w:ascii="Calibri" w:hAnsi="Calibri" w:cs="Calibri"/>
        </w:rPr>
      </w:pPr>
      <w:r w:rsidRPr="00BA7520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520" w:rsidRDefault="00F87DCB" w:rsidP="00BA7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707D3">
                              <w:rPr>
                                <w:rFonts w:ascii="Calibri" w:hAnsi="Calibri"/>
                                <w:noProof/>
                                <w:sz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27050" cy="546100"/>
                                  <wp:effectExtent l="0" t="0" r="6350" b="6350"/>
                                  <wp:docPr id="187872741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7520" w:rsidRDefault="00F87DCB" w:rsidP="00BA7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BA7520" w:rsidRDefault="00F87DCB" w:rsidP="00BA7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BA7520" w:rsidRDefault="00F87DCB" w:rsidP="00BA7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BA7520" w:rsidRDefault="00F87DCB" w:rsidP="00BA7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BA7520" w:rsidRDefault="00F87DCB" w:rsidP="00BA7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BA7520" w:rsidRDefault="00F87DCB" w:rsidP="00BA7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BA7520" w:rsidRDefault="00F87DCB" w:rsidP="00BA7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BA7520" w:rsidRDefault="00F87DCB" w:rsidP="00BA7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.65pt;width:136.8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" filled="f" fillcolor="#bbe0e3" stroked="f">
                <v:textbox inset="0,0,0,0">
                  <w:txbxContent>
                    <w:p w:rsidR="00BA7520" w:rsidRDefault="00F87DCB" w:rsidP="00BA7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707D3">
                        <w:rPr>
                          <w:rFonts w:ascii="Calibri" w:hAnsi="Calibri"/>
                          <w:noProof/>
                          <w:sz w:val="20"/>
                          <w:lang w:eastAsia="pl-PL"/>
                        </w:rPr>
                        <w:drawing>
                          <wp:inline distT="0" distB="0" distL="0" distR="0">
                            <wp:extent cx="527050" cy="546100"/>
                            <wp:effectExtent l="0" t="0" r="6350" b="6350"/>
                            <wp:docPr id="187872741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7520" w:rsidRDefault="00F87DCB" w:rsidP="00BA7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BA7520" w:rsidRDefault="00F87DCB" w:rsidP="00BA7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BA7520" w:rsidRDefault="00F87DCB" w:rsidP="00BA7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BA7520" w:rsidRDefault="00F87DCB" w:rsidP="00BA7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BA7520" w:rsidRDefault="00F87DCB" w:rsidP="00BA7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BA7520" w:rsidRDefault="00F87DCB" w:rsidP="00BA7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BA7520" w:rsidRDefault="00F87DCB" w:rsidP="00BA7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BA7520" w:rsidRDefault="00F87DCB" w:rsidP="00BA7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A7520">
        <w:rPr>
          <w:rFonts w:ascii="Calibri" w:hAnsi="Calibri" w:cs="Calibri"/>
          <w:sz w:val="24"/>
        </w:rPr>
        <w:t xml:space="preserve">Warszawa, </w:t>
      </w:r>
      <w:bookmarkStart w:id="0" w:name="ezdDataPodpisu"/>
      <w:r w:rsidRPr="00622CF2">
        <w:rPr>
          <w:rFonts w:ascii="Calibri" w:hAnsi="Calibri" w:cs="Calibri"/>
        </w:rPr>
        <w:t>04 stycznia 2021 r.</w:t>
      </w:r>
      <w:bookmarkEnd w:id="0"/>
    </w:p>
    <w:p w:rsidR="00BA7520" w:rsidRPr="00622CF2" w:rsidRDefault="00F87DCB" w:rsidP="00BA7520">
      <w:pPr>
        <w:rPr>
          <w:rFonts w:ascii="Calibri" w:hAnsi="Calibri" w:cs="Calibri"/>
        </w:rPr>
      </w:pPr>
    </w:p>
    <w:p w:rsidR="00BA7520" w:rsidRPr="00622CF2" w:rsidRDefault="00F87DCB" w:rsidP="00BA7520">
      <w:pPr>
        <w:rPr>
          <w:rFonts w:ascii="Calibri" w:hAnsi="Calibri" w:cs="Calibri"/>
          <w:b/>
        </w:rPr>
      </w:pPr>
      <w:r w:rsidRPr="00622CF2">
        <w:rPr>
          <w:rFonts w:ascii="Calibri" w:hAnsi="Calibri" w:cs="Calibri"/>
          <w:b/>
        </w:rPr>
        <w:t>WOJEWODA MAZOWIECKI</w:t>
      </w:r>
    </w:p>
    <w:p w:rsidR="0021352A" w:rsidRPr="00BA7520" w:rsidRDefault="00F87DCB" w:rsidP="00BA7520">
      <w:pPr>
        <w:rPr>
          <w:sz w:val="24"/>
          <w:szCs w:val="24"/>
        </w:rPr>
      </w:pPr>
      <w:r w:rsidRPr="00BA7520">
        <w:rPr>
          <w:rFonts w:ascii="Calibri" w:hAnsi="Calibri" w:cs="Calibri"/>
          <w:sz w:val="24"/>
          <w:szCs w:val="24"/>
        </w:rPr>
        <w:t xml:space="preserve"> </w:t>
      </w:r>
      <w:bookmarkStart w:id="1" w:name="_GoBack"/>
      <w:r w:rsidRPr="00BA7520">
        <w:rPr>
          <w:rFonts w:ascii="Calibri" w:hAnsi="Calibri" w:cs="Calibri"/>
          <w:sz w:val="24"/>
          <w:szCs w:val="24"/>
        </w:rPr>
        <w:t xml:space="preserve">WNP-I.4131.238.2020.AJS </w:t>
      </w:r>
      <w:bookmarkEnd w:id="1"/>
      <w:r w:rsidRPr="00BA7520">
        <w:rPr>
          <w:rFonts w:ascii="Calibri" w:hAnsi="Calibri" w:cs="Calibri"/>
          <w:sz w:val="24"/>
          <w:szCs w:val="24"/>
        </w:rPr>
        <w:t xml:space="preserve"> </w:t>
      </w:r>
    </w:p>
    <w:p w:rsidR="00BA7520" w:rsidRPr="00BA7520" w:rsidRDefault="00F87DCB" w:rsidP="00BA7520">
      <w:pPr>
        <w:suppressAutoHyphens/>
        <w:spacing w:line="300" w:lineRule="exact"/>
        <w:ind w:left="4680"/>
        <w:rPr>
          <w:rFonts w:cstheme="minorHAnsi"/>
          <w:b/>
          <w:sz w:val="24"/>
          <w:szCs w:val="24"/>
          <w:lang w:eastAsia="ar-SA"/>
        </w:rPr>
      </w:pPr>
      <w:r w:rsidRPr="00BA7520">
        <w:rPr>
          <w:rFonts w:cstheme="minorHAnsi"/>
          <w:b/>
          <w:sz w:val="24"/>
          <w:szCs w:val="24"/>
          <w:lang w:eastAsia="ar-SA"/>
        </w:rPr>
        <w:t>Rada Miasta Pruszkowa</w:t>
      </w:r>
    </w:p>
    <w:p w:rsidR="00BA7520" w:rsidRPr="00BA7520" w:rsidRDefault="00F87DCB" w:rsidP="00BA7520">
      <w:pPr>
        <w:suppressAutoHyphens/>
        <w:spacing w:line="300" w:lineRule="exact"/>
        <w:ind w:left="4680"/>
        <w:rPr>
          <w:rFonts w:cstheme="minorHAnsi"/>
          <w:b/>
          <w:sz w:val="24"/>
          <w:szCs w:val="24"/>
        </w:rPr>
      </w:pPr>
      <w:r w:rsidRPr="00BA7520">
        <w:rPr>
          <w:rFonts w:cstheme="minorHAnsi"/>
          <w:b/>
          <w:sz w:val="24"/>
          <w:szCs w:val="24"/>
        </w:rPr>
        <w:t>ul. Józefa Ignacego Kraszewskiego 14/16</w:t>
      </w:r>
    </w:p>
    <w:p w:rsidR="00BA7520" w:rsidRPr="00BA7520" w:rsidRDefault="00F87DCB" w:rsidP="00BA7520">
      <w:pPr>
        <w:suppressAutoHyphens/>
        <w:spacing w:line="300" w:lineRule="exact"/>
        <w:ind w:left="4680"/>
        <w:rPr>
          <w:rFonts w:cstheme="minorHAnsi"/>
          <w:b/>
          <w:sz w:val="24"/>
          <w:szCs w:val="24"/>
          <w:lang w:eastAsia="ar-SA"/>
        </w:rPr>
      </w:pPr>
      <w:r w:rsidRPr="00BA7520">
        <w:rPr>
          <w:rFonts w:cstheme="minorHAnsi"/>
          <w:b/>
          <w:sz w:val="24"/>
          <w:szCs w:val="24"/>
        </w:rPr>
        <w:t>05-800 Pruszków</w:t>
      </w:r>
    </w:p>
    <w:p w:rsidR="00BA7520" w:rsidRPr="00BA7520" w:rsidRDefault="00F87DCB" w:rsidP="00CA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520" w:rsidRDefault="00F87DCB" w:rsidP="00563DCB">
      <w:pPr>
        <w:spacing w:after="0" w:line="300" w:lineRule="exact"/>
        <w:jc w:val="center"/>
        <w:rPr>
          <w:rFonts w:cstheme="minorHAnsi"/>
          <w:b/>
          <w:sz w:val="24"/>
          <w:szCs w:val="24"/>
        </w:rPr>
      </w:pPr>
      <w:r w:rsidRPr="00563DCB">
        <w:rPr>
          <w:rFonts w:cstheme="minorHAnsi"/>
          <w:b/>
          <w:sz w:val="24"/>
          <w:szCs w:val="24"/>
        </w:rPr>
        <w:t>Rozstrzygnięcie nadzorcze</w:t>
      </w:r>
    </w:p>
    <w:p w:rsidR="00563DCB" w:rsidRPr="00563DCB" w:rsidRDefault="00F87DCB" w:rsidP="00563DCB">
      <w:pPr>
        <w:spacing w:after="0" w:line="300" w:lineRule="exact"/>
        <w:jc w:val="center"/>
        <w:rPr>
          <w:rFonts w:cstheme="minorHAnsi"/>
          <w:b/>
          <w:sz w:val="24"/>
          <w:szCs w:val="24"/>
        </w:rPr>
      </w:pPr>
    </w:p>
    <w:p w:rsidR="00BA7520" w:rsidRPr="00563DCB" w:rsidRDefault="00F87DCB" w:rsidP="00563DCB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Działając na podstawie art. 91 ust. 1, w związku z art. 86 ustawy z dnia 8 marca 1990 r. </w:t>
      </w:r>
      <w:r w:rsidRPr="00563DCB">
        <w:rPr>
          <w:rFonts w:cstheme="minorHAnsi"/>
          <w:sz w:val="24"/>
          <w:szCs w:val="24"/>
        </w:rPr>
        <w:br/>
        <w:t>o samorządzie gminnym (Dz. U. z 2020 r. poz. 713, z późn. zm.)</w:t>
      </w:r>
    </w:p>
    <w:p w:rsidR="00BA7520" w:rsidRPr="00563DCB" w:rsidRDefault="00F87DCB" w:rsidP="00563DCB">
      <w:pPr>
        <w:autoSpaceDE w:val="0"/>
        <w:autoSpaceDN w:val="0"/>
        <w:adjustRightInd w:val="0"/>
        <w:spacing w:after="0" w:line="300" w:lineRule="exact"/>
        <w:jc w:val="center"/>
        <w:rPr>
          <w:rFonts w:cstheme="minorHAnsi"/>
          <w:b/>
          <w:sz w:val="24"/>
          <w:szCs w:val="24"/>
        </w:rPr>
      </w:pPr>
      <w:r w:rsidRPr="00563DCB">
        <w:rPr>
          <w:rFonts w:cstheme="minorHAnsi"/>
          <w:b/>
          <w:sz w:val="24"/>
          <w:szCs w:val="24"/>
        </w:rPr>
        <w:t>stwierdzam nieważność</w:t>
      </w:r>
    </w:p>
    <w:p w:rsidR="00BA7520" w:rsidRPr="00563DCB" w:rsidRDefault="00F87DCB" w:rsidP="00563DCB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uchwały Rady Miasta Pruszkowa Nr XXX.303.2020 z dnia 26 listopada 2020 r. </w:t>
      </w:r>
      <w:r w:rsidRPr="00563DCB">
        <w:rPr>
          <w:rFonts w:cstheme="minorHAnsi"/>
          <w:i/>
          <w:sz w:val="24"/>
          <w:szCs w:val="24"/>
        </w:rPr>
        <w:t>w spraw</w:t>
      </w:r>
      <w:r w:rsidRPr="00563DCB">
        <w:rPr>
          <w:rFonts w:cstheme="minorHAnsi"/>
          <w:i/>
          <w:sz w:val="24"/>
          <w:szCs w:val="24"/>
        </w:rPr>
        <w:t xml:space="preserve">ie zasad </w:t>
      </w:r>
      <w:r w:rsidRPr="00563DCB">
        <w:rPr>
          <w:rFonts w:cstheme="minorHAnsi"/>
          <w:i/>
          <w:sz w:val="24"/>
          <w:szCs w:val="24"/>
        </w:rPr>
        <w:br/>
        <w:t>i trybu przeprowadzania konsultacji z mieszkańcami Miasta Pruszkowa</w:t>
      </w:r>
      <w:r w:rsidRPr="00563DCB">
        <w:rPr>
          <w:rFonts w:cstheme="minorHAnsi"/>
          <w:sz w:val="24"/>
          <w:szCs w:val="24"/>
        </w:rPr>
        <w:t>.</w:t>
      </w:r>
    </w:p>
    <w:p w:rsidR="00563DCB" w:rsidRDefault="00F87DCB" w:rsidP="00563DCB">
      <w:pPr>
        <w:pStyle w:val="Tekstpodstawowy"/>
        <w:spacing w:line="300" w:lineRule="exact"/>
        <w:ind w:right="-1"/>
        <w:rPr>
          <w:rFonts w:asciiTheme="minorHAnsi" w:hAnsiTheme="minorHAnsi" w:cstheme="minorHAnsi"/>
          <w:b/>
          <w:sz w:val="24"/>
        </w:rPr>
      </w:pPr>
    </w:p>
    <w:p w:rsidR="00316C0C" w:rsidRPr="00563DCB" w:rsidRDefault="00F87DCB" w:rsidP="00563DCB">
      <w:pPr>
        <w:pStyle w:val="Tekstpodstawowy"/>
        <w:spacing w:line="300" w:lineRule="exact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563DCB">
        <w:rPr>
          <w:rFonts w:asciiTheme="minorHAnsi" w:hAnsiTheme="minorHAnsi" w:cstheme="minorHAnsi"/>
          <w:b/>
          <w:sz w:val="24"/>
        </w:rPr>
        <w:t>Uzasadnienie</w:t>
      </w:r>
    </w:p>
    <w:p w:rsidR="00563DCB" w:rsidRDefault="00F87DCB" w:rsidP="00563DCB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316C0C" w:rsidRPr="00563DCB" w:rsidRDefault="00F87DCB" w:rsidP="00563DCB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Rada Miasta Pruszkowa w dniu 26 listopada 2020 r. podjęła uchwałę Nr XXX.303.2020 </w:t>
      </w:r>
      <w:r w:rsidRPr="00563DCB">
        <w:rPr>
          <w:rFonts w:cstheme="minorHAnsi"/>
          <w:i/>
          <w:sz w:val="24"/>
          <w:szCs w:val="24"/>
        </w:rPr>
        <w:t xml:space="preserve">w sprawie zasad i trybu przeprowadzania konsultacji z mieszkańcami Miasta </w:t>
      </w:r>
      <w:r w:rsidRPr="00563DCB">
        <w:rPr>
          <w:rFonts w:cstheme="minorHAnsi"/>
          <w:i/>
          <w:sz w:val="24"/>
          <w:szCs w:val="24"/>
        </w:rPr>
        <w:t>Pruszkowa</w:t>
      </w:r>
      <w:r w:rsidRPr="00563DCB">
        <w:rPr>
          <w:rFonts w:cstheme="minorHAnsi"/>
          <w:sz w:val="24"/>
          <w:szCs w:val="24"/>
        </w:rPr>
        <w:t>.</w:t>
      </w:r>
    </w:p>
    <w:p w:rsidR="00316C0C" w:rsidRPr="00563DCB" w:rsidRDefault="00F87DCB" w:rsidP="00563DCB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Uchwała została doręczona do organu nadzoru 7 grudnia 2020 r. </w:t>
      </w:r>
    </w:p>
    <w:p w:rsidR="00E40A14" w:rsidRPr="00563DCB" w:rsidRDefault="00F87DCB" w:rsidP="00563DCB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eastAsia="Times New Roman" w:cstheme="minorHAnsi"/>
          <w:sz w:val="24"/>
          <w:szCs w:val="24"/>
          <w:lang w:eastAsia="pl-PL"/>
        </w:rPr>
        <w:t xml:space="preserve">W podstawie prawnej uchwały wskazany został przepis art. 5a ust. 1 i 2 oraz art. 18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63DCB">
        <w:rPr>
          <w:rFonts w:eastAsia="Times New Roman" w:cstheme="minorHAnsi"/>
          <w:sz w:val="24"/>
          <w:szCs w:val="24"/>
          <w:lang w:eastAsia="pl-PL"/>
        </w:rPr>
        <w:t>ust. 2 pkt 15 ustawy o samorządzie gminnym, zwanej dalej „u.s.g.”. Zgodnie z przywołanymi przepis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ami do </w:t>
      </w:r>
      <w:r w:rsidRPr="00563DCB">
        <w:rPr>
          <w:rFonts w:cstheme="minorHAnsi"/>
          <w:sz w:val="24"/>
          <w:szCs w:val="24"/>
        </w:rPr>
        <w:t xml:space="preserve">wyłącznej właściwości rady gminy należy stanowienie w innych sprawach zastrzeżonych ustawami do kompetencji rady gminy. W wypadkach przewidzianych ustawą oraz w innych sprawach ważnych dla gminy mogą być </w:t>
      </w:r>
      <w:r w:rsidRPr="00563DCB">
        <w:rPr>
          <w:rStyle w:val="highlight"/>
          <w:rFonts w:cstheme="minorHAnsi"/>
          <w:sz w:val="24"/>
          <w:szCs w:val="24"/>
        </w:rPr>
        <w:t>przeprowadzane</w:t>
      </w:r>
      <w:r w:rsidRPr="00563DCB">
        <w:rPr>
          <w:rFonts w:cstheme="minorHAnsi"/>
          <w:sz w:val="24"/>
          <w:szCs w:val="24"/>
        </w:rPr>
        <w:t xml:space="preserve"> na jej terytorium </w:t>
      </w:r>
      <w:r w:rsidRPr="00563DCB">
        <w:rPr>
          <w:rStyle w:val="highlight"/>
          <w:rFonts w:cstheme="minorHAnsi"/>
          <w:sz w:val="24"/>
          <w:szCs w:val="24"/>
        </w:rPr>
        <w:t>konsultacje</w:t>
      </w:r>
      <w:r w:rsidRPr="00563DCB">
        <w:rPr>
          <w:rFonts w:cstheme="minorHAnsi"/>
          <w:sz w:val="24"/>
          <w:szCs w:val="24"/>
        </w:rPr>
        <w:t xml:space="preserve"> </w:t>
      </w:r>
      <w:r w:rsidRPr="00563DCB">
        <w:rPr>
          <w:rFonts w:cstheme="minorHAnsi"/>
          <w:sz w:val="24"/>
          <w:szCs w:val="24"/>
        </w:rPr>
        <w:t xml:space="preserve">z mieszkańcami </w:t>
      </w:r>
      <w:r w:rsidRPr="00563DCB">
        <w:rPr>
          <w:rStyle w:val="highlight"/>
          <w:rFonts w:cstheme="minorHAnsi"/>
          <w:sz w:val="24"/>
          <w:szCs w:val="24"/>
        </w:rPr>
        <w:t>gminy,</w:t>
      </w:r>
      <w:r w:rsidRPr="00563DCB">
        <w:rPr>
          <w:rFonts w:cstheme="minorHAnsi"/>
          <w:sz w:val="24"/>
          <w:szCs w:val="24"/>
        </w:rPr>
        <w:t xml:space="preserve"> a zasady i tryb przeprowadzania konsultacji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t>z mieszkańcami gminy określa uchwała rady gminy z zastrzeżeniem ust. 7. który odnosi się do szczególnej formy konsultacji społecznych, jaką jest budżet obywatelski.</w:t>
      </w:r>
    </w:p>
    <w:p w:rsidR="00E40A14" w:rsidRPr="00563DCB" w:rsidRDefault="00F87DCB" w:rsidP="00563DCB">
      <w:pPr>
        <w:pStyle w:val="NormalnyWeb"/>
        <w:spacing w:before="0" w:beforeAutospacing="0" w:after="0" w:afterAutospacing="0" w:line="300" w:lineRule="exact"/>
        <w:ind w:firstLine="708"/>
        <w:jc w:val="both"/>
        <w:rPr>
          <w:rFonts w:asciiTheme="minorHAnsi" w:hAnsiTheme="minorHAnsi" w:cstheme="minorHAnsi"/>
        </w:rPr>
      </w:pPr>
      <w:r w:rsidRPr="00563DCB">
        <w:rPr>
          <w:rFonts w:asciiTheme="minorHAnsi" w:hAnsiTheme="minorHAnsi" w:cstheme="minorHAnsi"/>
        </w:rPr>
        <w:t>Z zestawienia treści pow</w:t>
      </w:r>
      <w:r w:rsidRPr="00563DCB">
        <w:rPr>
          <w:rFonts w:asciiTheme="minorHAnsi" w:hAnsiTheme="minorHAnsi" w:cstheme="minorHAnsi"/>
        </w:rPr>
        <w:t>yższych przepisów wynika zatem, iż art. 5a ust. 2 u.s.g. stanowi upoważnienie dla rady gminy do określenia w drodze uchwały jedynie zasad i trybu przeprowadzania konsultacji z mieszkańcami, wszelkie zaś postanowienia wykraczające poza te kwestie należy uzn</w:t>
      </w:r>
      <w:r w:rsidRPr="00563DCB">
        <w:rPr>
          <w:rFonts w:asciiTheme="minorHAnsi" w:hAnsiTheme="minorHAnsi" w:cstheme="minorHAnsi"/>
        </w:rPr>
        <w:t xml:space="preserve">ać za podjęte z przekroczeniem upoważnienia ustawowego, </w:t>
      </w:r>
      <w:r>
        <w:rPr>
          <w:rFonts w:asciiTheme="minorHAnsi" w:hAnsiTheme="minorHAnsi" w:cstheme="minorHAnsi"/>
        </w:rPr>
        <w:br/>
      </w:r>
      <w:r w:rsidRPr="00563DCB">
        <w:rPr>
          <w:rFonts w:asciiTheme="minorHAnsi" w:hAnsiTheme="minorHAnsi" w:cstheme="minorHAnsi"/>
        </w:rPr>
        <w:t>a w konsekwencji z istotnym naruszeniem prawa. W orzecznictwie sądowoadministracyjnym, wskazuje się, że w uchwale wydanej na podstawie art. 5a ust. 2 ww. ustawy rada gminy zoblig</w:t>
      </w:r>
      <w:r w:rsidRPr="00563DCB">
        <w:rPr>
          <w:rFonts w:asciiTheme="minorHAnsi" w:hAnsiTheme="minorHAnsi" w:cstheme="minorHAnsi"/>
        </w:rPr>
        <w:t>owana jest do określa</w:t>
      </w:r>
      <w:r w:rsidRPr="00563DCB">
        <w:rPr>
          <w:rFonts w:asciiTheme="minorHAnsi" w:hAnsiTheme="minorHAnsi" w:cstheme="minorHAnsi"/>
        </w:rPr>
        <w:t>nia m.in. podmiotów inicjujących</w:t>
      </w:r>
      <w:r w:rsidRPr="00563DCB">
        <w:rPr>
          <w:rFonts w:asciiTheme="minorHAnsi" w:hAnsiTheme="minorHAnsi" w:cstheme="minorHAnsi"/>
        </w:rPr>
        <w:t xml:space="preserve"> konsultacje, spos</w:t>
      </w:r>
      <w:r w:rsidRPr="00563DCB">
        <w:rPr>
          <w:rFonts w:asciiTheme="minorHAnsi" w:hAnsiTheme="minorHAnsi" w:cstheme="minorHAnsi"/>
        </w:rPr>
        <w:t>obu i formy</w:t>
      </w:r>
      <w:r w:rsidRPr="00563DCB">
        <w:rPr>
          <w:rFonts w:asciiTheme="minorHAnsi" w:hAnsiTheme="minorHAnsi" w:cstheme="minorHAnsi"/>
        </w:rPr>
        <w:t xml:space="preserve"> konsultacji, czas</w:t>
      </w:r>
      <w:r w:rsidRPr="00563DCB">
        <w:rPr>
          <w:rFonts w:asciiTheme="minorHAnsi" w:hAnsiTheme="minorHAnsi" w:cstheme="minorHAnsi"/>
        </w:rPr>
        <w:t>u i miejsca</w:t>
      </w:r>
      <w:r w:rsidRPr="00563DCB">
        <w:rPr>
          <w:rFonts w:asciiTheme="minorHAnsi" w:hAnsiTheme="minorHAnsi" w:cstheme="minorHAnsi"/>
        </w:rPr>
        <w:t xml:space="preserve"> ich przeprowadzenia, reguł ustalania wyników oraz spos</w:t>
      </w:r>
      <w:r w:rsidRPr="00563DCB">
        <w:rPr>
          <w:rFonts w:asciiTheme="minorHAnsi" w:hAnsiTheme="minorHAnsi" w:cstheme="minorHAnsi"/>
        </w:rPr>
        <w:t>o</w:t>
      </w:r>
      <w:r w:rsidRPr="00563DCB">
        <w:rPr>
          <w:rFonts w:asciiTheme="minorHAnsi" w:hAnsiTheme="minorHAnsi" w:cstheme="minorHAnsi"/>
        </w:rPr>
        <w:t>b</w:t>
      </w:r>
      <w:r w:rsidRPr="00563DCB">
        <w:rPr>
          <w:rFonts w:asciiTheme="minorHAnsi" w:hAnsiTheme="minorHAnsi" w:cstheme="minorHAnsi"/>
        </w:rPr>
        <w:t>u</w:t>
      </w:r>
      <w:r w:rsidRPr="00563DCB">
        <w:rPr>
          <w:rFonts w:asciiTheme="minorHAnsi" w:hAnsiTheme="minorHAnsi" w:cstheme="minorHAnsi"/>
        </w:rPr>
        <w:t xml:space="preserve"> przekazania tych wyników do wiadomości społeczności lokalnej</w:t>
      </w:r>
      <w:r w:rsidRPr="00563DCB">
        <w:rPr>
          <w:rFonts w:asciiTheme="minorHAnsi" w:hAnsiTheme="minorHAnsi" w:cstheme="minorHAnsi"/>
        </w:rPr>
        <w:t xml:space="preserve"> (vide: wyrok WSA </w:t>
      </w:r>
      <w:r>
        <w:rPr>
          <w:rFonts w:asciiTheme="minorHAnsi" w:hAnsiTheme="minorHAnsi" w:cstheme="minorHAnsi"/>
        </w:rPr>
        <w:br/>
      </w:r>
      <w:r w:rsidRPr="00563DCB">
        <w:rPr>
          <w:rFonts w:asciiTheme="minorHAnsi" w:hAnsiTheme="minorHAnsi" w:cstheme="minorHAnsi"/>
        </w:rPr>
        <w:t>w Warszawie z 14 listopada 2</w:t>
      </w:r>
      <w:r w:rsidRPr="00563DCB">
        <w:rPr>
          <w:rFonts w:asciiTheme="minorHAnsi" w:hAnsiTheme="minorHAnsi" w:cstheme="minorHAnsi"/>
        </w:rPr>
        <w:t>019 r. sygn. akt VIII SA/Wa 604/19,</w:t>
      </w:r>
      <w:r w:rsidRPr="00563DCB">
        <w:rPr>
          <w:rFonts w:asciiTheme="minorHAnsi" w:hAnsiTheme="minorHAnsi" w:cstheme="minorHAnsi"/>
        </w:rPr>
        <w:t xml:space="preserve"> </w:t>
      </w:r>
      <w:r w:rsidRPr="00563DCB">
        <w:rPr>
          <w:rFonts w:asciiTheme="minorHAnsi" w:hAnsiTheme="minorHAnsi" w:cstheme="minorHAnsi"/>
        </w:rPr>
        <w:t xml:space="preserve">wyrok WSA w Olsztynie </w:t>
      </w:r>
      <w:r>
        <w:rPr>
          <w:rFonts w:asciiTheme="minorHAnsi" w:hAnsiTheme="minorHAnsi" w:cstheme="minorHAnsi"/>
        </w:rPr>
        <w:br/>
      </w:r>
      <w:r w:rsidRPr="00563DCB">
        <w:rPr>
          <w:rFonts w:asciiTheme="minorHAnsi" w:hAnsiTheme="minorHAnsi" w:cstheme="minorHAnsi"/>
        </w:rPr>
        <w:t xml:space="preserve">z 10 grudnia 2015 r. sygn. akt I SA/Ol 661/15, </w:t>
      </w:r>
      <w:r w:rsidRPr="00563DCB">
        <w:rPr>
          <w:rFonts w:asciiTheme="minorHAnsi" w:hAnsiTheme="minorHAnsi" w:cstheme="minorHAnsi"/>
        </w:rPr>
        <w:t>wyrok WSA w Gliwicach z 14 stycznia 2014 r. sygn. akt I SA/Gl 1291/13</w:t>
      </w:r>
      <w:r w:rsidRPr="00563DCB">
        <w:rPr>
          <w:rFonts w:asciiTheme="minorHAnsi" w:hAnsiTheme="minorHAnsi" w:cstheme="minorHAnsi"/>
        </w:rPr>
        <w:t>). Przyjmuje</w:t>
      </w:r>
      <w:r w:rsidRPr="00563DCB">
        <w:rPr>
          <w:rFonts w:asciiTheme="minorHAnsi" w:hAnsiTheme="minorHAnsi" w:cstheme="minorHAnsi"/>
        </w:rPr>
        <w:t xml:space="preserve"> się ponadto, że przez zasady należy rozumieć </w:t>
      </w:r>
      <w:r w:rsidRPr="00563DCB">
        <w:rPr>
          <w:rFonts w:asciiTheme="minorHAnsi" w:hAnsiTheme="minorHAnsi" w:cstheme="minorHAnsi"/>
        </w:rPr>
        <w:lastRenderedPageBreak/>
        <w:t xml:space="preserve">unormowania zawierające w swej treści reguły rządzące instytucją konsultacji, </w:t>
      </w:r>
      <w:r w:rsidRPr="00563DCB">
        <w:rPr>
          <w:rFonts w:asciiTheme="minorHAnsi" w:hAnsiTheme="minorHAnsi" w:cstheme="minorHAnsi"/>
        </w:rPr>
        <w:t xml:space="preserve">tezy, w których treści zawarte jest prawo rządzące jakimiś procesami, podstawę, na której coś się opiera, </w:t>
      </w:r>
      <w:r w:rsidRPr="00563DCB">
        <w:rPr>
          <w:rFonts w:asciiTheme="minorHAnsi" w:hAnsiTheme="minorHAnsi" w:cstheme="minorHAnsi"/>
        </w:rPr>
        <w:t>fundamenty funkcjonowania konsultacji w gminie, zaś z pojęciem trybu wią</w:t>
      </w:r>
      <w:r w:rsidRPr="00563DCB">
        <w:rPr>
          <w:rFonts w:asciiTheme="minorHAnsi" w:hAnsiTheme="minorHAnsi" w:cstheme="minorHAnsi"/>
        </w:rPr>
        <w:t>że się sposób postępo</w:t>
      </w:r>
      <w:r w:rsidRPr="00563DCB">
        <w:rPr>
          <w:rFonts w:asciiTheme="minorHAnsi" w:hAnsiTheme="minorHAnsi" w:cstheme="minorHAnsi"/>
        </w:rPr>
        <w:t>wania konsultacyjnego, procedurę umożliwiającą</w:t>
      </w:r>
      <w:r w:rsidRPr="00563DCB">
        <w:rPr>
          <w:rFonts w:asciiTheme="minorHAnsi" w:hAnsiTheme="minorHAnsi" w:cstheme="minorHAnsi"/>
        </w:rPr>
        <w:t xml:space="preserve"> proces konsultacji (</w:t>
      </w:r>
      <w:r w:rsidRPr="00563DCB">
        <w:rPr>
          <w:rFonts w:asciiTheme="minorHAnsi" w:hAnsiTheme="minorHAnsi" w:cstheme="minorHAnsi"/>
        </w:rPr>
        <w:t xml:space="preserve">vide: wyrok WSA w Warszawie z 14 listopada 2019 r. sygn. akt VIII SA/Wa 604/19, wyrok WSA we Wrocławiu </w:t>
      </w:r>
      <w:r>
        <w:rPr>
          <w:rFonts w:asciiTheme="minorHAnsi" w:hAnsiTheme="minorHAnsi" w:cstheme="minorHAnsi"/>
        </w:rPr>
        <w:br/>
      </w:r>
      <w:r w:rsidRPr="00563DCB">
        <w:rPr>
          <w:rFonts w:asciiTheme="minorHAnsi" w:hAnsiTheme="minorHAnsi" w:cstheme="minorHAnsi"/>
        </w:rPr>
        <w:t>z 10 maja 2013 r. sygn. akt III SA/Wr 140/13,</w:t>
      </w:r>
      <w:r w:rsidRPr="00563DCB">
        <w:rPr>
          <w:rFonts w:asciiTheme="minorHAnsi" w:hAnsiTheme="minorHAnsi" w:cstheme="minorHAnsi"/>
        </w:rPr>
        <w:t xml:space="preserve"> wyrok WSA w Opolu </w:t>
      </w:r>
      <w:r w:rsidRPr="00563DCB">
        <w:rPr>
          <w:rFonts w:asciiTheme="minorHAnsi" w:hAnsiTheme="minorHAnsi" w:cstheme="minorHAnsi"/>
        </w:rPr>
        <w:t xml:space="preserve">z 13 czerwca 2006 r. </w:t>
      </w:r>
      <w:r>
        <w:rPr>
          <w:rFonts w:asciiTheme="minorHAnsi" w:hAnsiTheme="minorHAnsi" w:cstheme="minorHAnsi"/>
        </w:rPr>
        <w:t xml:space="preserve">sygn. akt </w:t>
      </w:r>
      <w:r w:rsidRPr="00563DCB">
        <w:rPr>
          <w:rFonts w:asciiTheme="minorHAnsi" w:hAnsiTheme="minorHAnsi" w:cstheme="minorHAnsi"/>
        </w:rPr>
        <w:t>II SA/Op 213/06).</w:t>
      </w:r>
    </w:p>
    <w:p w:rsidR="00A751C1" w:rsidRPr="00563DCB" w:rsidRDefault="00F87DCB" w:rsidP="00563DCB">
      <w:pPr>
        <w:pStyle w:val="NormalnyWeb"/>
        <w:spacing w:before="0" w:beforeAutospacing="0" w:after="0" w:afterAutospacing="0" w:line="300" w:lineRule="exact"/>
        <w:ind w:firstLine="708"/>
        <w:jc w:val="both"/>
        <w:rPr>
          <w:rFonts w:asciiTheme="minorHAnsi" w:hAnsiTheme="minorHAnsi" w:cstheme="minorHAnsi"/>
        </w:rPr>
      </w:pPr>
      <w:r w:rsidRPr="00563DCB">
        <w:rPr>
          <w:rFonts w:asciiTheme="minorHAnsi" w:hAnsiTheme="minorHAnsi" w:cstheme="minorHAnsi"/>
        </w:rPr>
        <w:t xml:space="preserve">Tymczasem w § 5, 7 i 13 uchwały uregulowano obowiązek Prezydenta polegający na prowadzeniu rejestru konsultacji społecznych i </w:t>
      </w:r>
      <w:r w:rsidRPr="00563DCB">
        <w:rPr>
          <w:rFonts w:asciiTheme="minorHAnsi" w:hAnsiTheme="minorHAnsi" w:cstheme="minorHAnsi"/>
        </w:rPr>
        <w:t>zawartość rejestru: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„§ 5. Prezydent Miasta Pruszkowa tworzy w Biuletynie Informac</w:t>
      </w:r>
      <w:r w:rsidRPr="00563DCB">
        <w:rPr>
          <w:rFonts w:asciiTheme="minorHAnsi" w:hAnsiTheme="minorHAnsi" w:cstheme="minorHAnsi"/>
          <w:i/>
        </w:rPr>
        <w:t>ji Publicznej rejestr konsultacji społecznych, który zawiera: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a) datę wpływu wniosku, uchwały Rady Miasta bądź zarządzenia;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b) dane wnioskodawcy;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c) przedmiot i cel prowadzenia konsultacji;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d) treść złożonego wniosku;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 xml:space="preserve">e) ostateczna treść poddana pod </w:t>
      </w:r>
      <w:r w:rsidRPr="00563DCB">
        <w:rPr>
          <w:rFonts w:asciiTheme="minorHAnsi" w:hAnsiTheme="minorHAnsi" w:cstheme="minorHAnsi"/>
          <w:i/>
        </w:rPr>
        <w:t>konsultacje społeczne;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f) odmowę przeprowadzenia konsultacji wraz z uzasadnieniem;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g) opinię Rady Społecznej;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h) termin rozpoczęcia i zakończenia prowadzenia konsultacji;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i) metody przeprowadzenia konsultacji;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j) sprawozdanie z przeprowadzonych konsultacji</w:t>
      </w:r>
      <w:r w:rsidRPr="00563DCB">
        <w:rPr>
          <w:rFonts w:asciiTheme="minorHAnsi" w:hAnsiTheme="minorHAnsi" w:cstheme="minorHAnsi"/>
          <w:i/>
        </w:rPr>
        <w:t>.</w:t>
      </w:r>
    </w:p>
    <w:p w:rsidR="00A751C1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Rejestr jest uzupełniany na bieżąco.</w:t>
      </w:r>
    </w:p>
    <w:p w:rsidR="00B3408A" w:rsidRPr="00563DCB" w:rsidRDefault="00F87DCB" w:rsidP="00563DCB">
      <w:pPr>
        <w:pStyle w:val="Default"/>
        <w:spacing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bCs/>
          <w:i/>
        </w:rPr>
        <w:t xml:space="preserve">§ 7. </w:t>
      </w:r>
      <w:r w:rsidRPr="00563DCB">
        <w:rPr>
          <w:rFonts w:asciiTheme="minorHAnsi" w:hAnsiTheme="minorHAnsi" w:cstheme="minorHAnsi"/>
          <w:i/>
        </w:rPr>
        <w:t xml:space="preserve">1. Prezydent Miasta Pruszkowa publikuje w rejestrze, o którym mowa w § 5 informację: </w:t>
      </w:r>
    </w:p>
    <w:p w:rsidR="00B3408A" w:rsidRPr="00563DCB" w:rsidRDefault="00F87DCB" w:rsidP="00563DCB">
      <w:pPr>
        <w:pStyle w:val="Default"/>
        <w:spacing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 xml:space="preserve">1) o pozostawieniu wniosku bez rozpoznania w terminie 21 dni od daty jego wpływu; </w:t>
      </w:r>
    </w:p>
    <w:p w:rsidR="00B3408A" w:rsidRPr="00563DCB" w:rsidRDefault="00F87DCB" w:rsidP="00563DCB">
      <w:pPr>
        <w:pStyle w:val="Default"/>
        <w:spacing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2) o odmowie przeprowadzenia konsultacji sp</w:t>
      </w:r>
      <w:r w:rsidRPr="00563DCB">
        <w:rPr>
          <w:rFonts w:asciiTheme="minorHAnsi" w:hAnsiTheme="minorHAnsi" w:cstheme="minorHAnsi"/>
          <w:i/>
        </w:rPr>
        <w:t xml:space="preserve">ołecznych wraz uzasadnieniem w terminie 45 dni od daty wpływu wniosku spełniającego wymogi formalne. 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i/>
        </w:rPr>
      </w:pPr>
      <w:r w:rsidRPr="00563DCB">
        <w:rPr>
          <w:rFonts w:asciiTheme="minorHAnsi" w:hAnsiTheme="minorHAnsi" w:cstheme="minorHAnsi"/>
          <w:i/>
        </w:rPr>
        <w:t>2. Wnioskodawcom, których wniosek pozostawiono bez rozpoznania lub odmówiono ich przeprowadzenia przysługuje prawo do złożenia skargi na taką czynność Pre</w:t>
      </w:r>
      <w:r w:rsidRPr="00563DCB">
        <w:rPr>
          <w:rFonts w:asciiTheme="minorHAnsi" w:hAnsiTheme="minorHAnsi" w:cstheme="minorHAnsi"/>
          <w:i/>
        </w:rPr>
        <w:t>zydenta Miasta Pruszkowa zgodnie z przepisami odrębnymi.</w:t>
      </w:r>
    </w:p>
    <w:p w:rsidR="00B3408A" w:rsidRPr="00563DCB" w:rsidRDefault="00F87DCB" w:rsidP="00563DCB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</w:rPr>
      </w:pPr>
      <w:r w:rsidRPr="00563DCB">
        <w:rPr>
          <w:rFonts w:asciiTheme="minorHAnsi" w:hAnsiTheme="minorHAnsi" w:cstheme="minorHAnsi"/>
          <w:bCs/>
          <w:i/>
        </w:rPr>
        <w:t xml:space="preserve">§ 13. </w:t>
      </w:r>
      <w:r w:rsidRPr="00563DCB">
        <w:rPr>
          <w:rFonts w:asciiTheme="minorHAnsi" w:hAnsiTheme="minorHAnsi" w:cstheme="minorHAnsi"/>
          <w:i/>
        </w:rPr>
        <w:t xml:space="preserve">Prezydent Miasta Pruszkowa przedstawia Radzie Miasta Pruszkowa wyniki konsultacji </w:t>
      </w:r>
      <w:r>
        <w:rPr>
          <w:rFonts w:asciiTheme="minorHAnsi" w:hAnsiTheme="minorHAnsi" w:cstheme="minorHAnsi"/>
          <w:i/>
        </w:rPr>
        <w:br/>
      </w:r>
      <w:r w:rsidRPr="00563DCB">
        <w:rPr>
          <w:rFonts w:asciiTheme="minorHAnsi" w:hAnsiTheme="minorHAnsi" w:cstheme="minorHAnsi"/>
          <w:i/>
        </w:rPr>
        <w:t xml:space="preserve">w postaci sprawozdania wraz ze stanowiskiem rozstrzygnięcia sprawy nie później niż w ciągu 14 dni od </w:t>
      </w:r>
      <w:r w:rsidRPr="00563DCB">
        <w:rPr>
          <w:rFonts w:asciiTheme="minorHAnsi" w:hAnsiTheme="minorHAnsi" w:cstheme="minorHAnsi"/>
          <w:i/>
        </w:rPr>
        <w:t>zakończenia konsultacji. Sprawozdanie oraz stanowisko Prezydenta Miasta są publikowane w rejestrze konsultacji.”</w:t>
      </w:r>
      <w:r w:rsidRPr="00563DCB">
        <w:rPr>
          <w:rFonts w:asciiTheme="minorHAnsi" w:hAnsiTheme="minorHAnsi" w:cstheme="minorHAnsi"/>
        </w:rPr>
        <w:t>.</w:t>
      </w:r>
    </w:p>
    <w:p w:rsidR="00A751C1" w:rsidRPr="00563DCB" w:rsidRDefault="00F87DCB" w:rsidP="000934DA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>W ocenie</w:t>
      </w:r>
      <w:r w:rsidRPr="00563DCB">
        <w:rPr>
          <w:rFonts w:cstheme="minorHAnsi"/>
          <w:sz w:val="24"/>
          <w:szCs w:val="24"/>
        </w:rPr>
        <w:t xml:space="preserve"> organu nadzoru</w:t>
      </w:r>
      <w:r w:rsidRPr="00563DCB">
        <w:rPr>
          <w:rFonts w:cstheme="minorHAnsi"/>
          <w:sz w:val="24"/>
          <w:szCs w:val="24"/>
        </w:rPr>
        <w:t xml:space="preserve"> tak szczegółowe ustalenie obowiązku prowadzenia rejestru nie mieści się w delegacji art. 5a ust.</w:t>
      </w:r>
      <w:r w:rsidRPr="00563DCB">
        <w:rPr>
          <w:rFonts w:cstheme="minorHAnsi"/>
          <w:sz w:val="24"/>
          <w:szCs w:val="24"/>
        </w:rPr>
        <w:t xml:space="preserve"> </w:t>
      </w:r>
      <w:r w:rsidRPr="00563DCB">
        <w:rPr>
          <w:rFonts w:cstheme="minorHAnsi"/>
          <w:sz w:val="24"/>
          <w:szCs w:val="24"/>
        </w:rPr>
        <w:t>2 u.s.g. oraz przekra</w:t>
      </w:r>
      <w:r w:rsidRPr="00563DCB">
        <w:rPr>
          <w:rFonts w:cstheme="minorHAnsi"/>
          <w:sz w:val="24"/>
          <w:szCs w:val="24"/>
        </w:rPr>
        <w:t>cza delegację z art. 18 ust. 2 pkt 2 u.s.g., który upoważnia radę gminy do stanowienia o kierunkach działania wójta, a nie do określania form działania. Przepis ten zezwala radzie gminy j</w:t>
      </w:r>
      <w:r w:rsidRPr="00563DCB">
        <w:rPr>
          <w:rFonts w:cstheme="minorHAnsi"/>
          <w:sz w:val="24"/>
          <w:szCs w:val="24"/>
        </w:rPr>
        <w:t xml:space="preserve">edynie na </w:t>
      </w:r>
      <w:r w:rsidRPr="000934DA">
        <w:rPr>
          <w:rFonts w:cstheme="minorHAnsi"/>
          <w:i/>
          <w:sz w:val="24"/>
          <w:szCs w:val="24"/>
        </w:rPr>
        <w:t>„</w:t>
      </w:r>
      <w:r w:rsidRPr="000934DA">
        <w:rPr>
          <w:rFonts w:cstheme="minorHAnsi"/>
          <w:i/>
          <w:sz w:val="24"/>
          <w:szCs w:val="24"/>
        </w:rPr>
        <w:t xml:space="preserve">stanowienie </w:t>
      </w:r>
      <w:r w:rsidRPr="000934DA">
        <w:rPr>
          <w:rFonts w:cstheme="minorHAnsi"/>
          <w:i/>
          <w:sz w:val="24"/>
          <w:szCs w:val="24"/>
        </w:rPr>
        <w:br/>
      </w:r>
      <w:r w:rsidRPr="000934DA">
        <w:rPr>
          <w:rFonts w:cstheme="minorHAnsi"/>
          <w:i/>
          <w:sz w:val="24"/>
          <w:szCs w:val="24"/>
        </w:rPr>
        <w:t>o kierunkach działania wójta</w:t>
      </w:r>
      <w:r w:rsidRPr="000934DA">
        <w:rPr>
          <w:rFonts w:cstheme="minorHAnsi"/>
          <w:i/>
          <w:sz w:val="24"/>
          <w:szCs w:val="24"/>
        </w:rPr>
        <w:t>”</w:t>
      </w:r>
      <w:r w:rsidRPr="00563DCB">
        <w:rPr>
          <w:rFonts w:cstheme="minorHAnsi"/>
          <w:sz w:val="24"/>
          <w:szCs w:val="24"/>
        </w:rPr>
        <w:t>, a więc zawiera</w:t>
      </w:r>
      <w:r w:rsidRPr="00563DCB">
        <w:rPr>
          <w:rFonts w:cstheme="minorHAnsi"/>
          <w:sz w:val="24"/>
          <w:szCs w:val="24"/>
        </w:rPr>
        <w:t xml:space="preserve"> upoważnienie do wydawania aktów kierunkowych, wskazujących jedynie cele, priorytety działania wójta, ale nie przesądzających w jaki sposób i w jakich formach</w:t>
      </w:r>
      <w:r w:rsidRPr="00563DCB">
        <w:rPr>
          <w:rFonts w:cstheme="minorHAnsi"/>
          <w:sz w:val="24"/>
          <w:szCs w:val="24"/>
        </w:rPr>
        <w:t xml:space="preserve"> i w jakim terminie</w:t>
      </w:r>
      <w:r w:rsidRPr="00563DCB">
        <w:rPr>
          <w:rFonts w:cstheme="minorHAnsi"/>
          <w:sz w:val="24"/>
          <w:szCs w:val="24"/>
        </w:rPr>
        <w:t xml:space="preserve"> ma to działanie być przez wójta podejmowane (</w:t>
      </w:r>
      <w:r>
        <w:rPr>
          <w:rFonts w:cstheme="minorHAnsi"/>
          <w:sz w:val="24"/>
          <w:szCs w:val="24"/>
        </w:rPr>
        <w:t xml:space="preserve">vide: </w:t>
      </w:r>
      <w:r w:rsidRPr="00563DCB">
        <w:rPr>
          <w:rFonts w:cstheme="minorHAnsi"/>
          <w:sz w:val="24"/>
          <w:szCs w:val="24"/>
        </w:rPr>
        <w:t>wyrok NSA z 19 września 201</w:t>
      </w:r>
      <w:r w:rsidRPr="00563DCB">
        <w:rPr>
          <w:rFonts w:cstheme="minorHAnsi"/>
          <w:sz w:val="24"/>
          <w:szCs w:val="24"/>
        </w:rPr>
        <w:t>7 r.</w:t>
      </w:r>
      <w:r>
        <w:rPr>
          <w:rFonts w:cstheme="minorHAnsi"/>
          <w:sz w:val="24"/>
          <w:szCs w:val="24"/>
        </w:rPr>
        <w:t xml:space="preserve"> sygn. akt</w:t>
      </w:r>
      <w:r w:rsidRPr="00563DCB">
        <w:rPr>
          <w:rFonts w:cstheme="minorHAnsi"/>
          <w:sz w:val="24"/>
          <w:szCs w:val="24"/>
        </w:rPr>
        <w:t xml:space="preserve"> II GSK 3514/15). Podejmowane na podstawie tego upoważnienia uchwały mogą mieć zate</w:t>
      </w:r>
      <w:r w:rsidRPr="00563DCB">
        <w:rPr>
          <w:rFonts w:cstheme="minorHAnsi"/>
          <w:sz w:val="24"/>
          <w:szCs w:val="24"/>
        </w:rPr>
        <w:t xml:space="preserve">m jedynie charakter wewnętrzny oraz </w:t>
      </w:r>
      <w:r w:rsidRPr="00563DCB">
        <w:rPr>
          <w:rFonts w:cstheme="minorHAnsi"/>
          <w:sz w:val="24"/>
          <w:szCs w:val="24"/>
        </w:rPr>
        <w:t>zawiera</w:t>
      </w:r>
      <w:r w:rsidRPr="00563DCB">
        <w:rPr>
          <w:rFonts w:cstheme="minorHAnsi"/>
          <w:sz w:val="24"/>
          <w:szCs w:val="24"/>
        </w:rPr>
        <w:t>ć</w:t>
      </w:r>
      <w:r w:rsidRPr="00563DCB">
        <w:rPr>
          <w:rFonts w:cstheme="minorHAnsi"/>
          <w:sz w:val="24"/>
          <w:szCs w:val="24"/>
        </w:rPr>
        <w:t xml:space="preserve"> wytyczne lub zalecenia dla organu wykonawczego. Mogą one określać ogólnie strategię działania wójta, wskazywać hie</w:t>
      </w:r>
      <w:r w:rsidRPr="00563DCB">
        <w:rPr>
          <w:rFonts w:cstheme="minorHAnsi"/>
          <w:sz w:val="24"/>
          <w:szCs w:val="24"/>
        </w:rPr>
        <w:t>rarchię priorytetów w zakresie realizacji celów i zadań mieszczących się w zadaniach gminy, ale nie mogą wkraczać wprost w zakres działania poszczególnych organów gminy (</w:t>
      </w:r>
      <w:r>
        <w:rPr>
          <w:rFonts w:cstheme="minorHAnsi"/>
          <w:sz w:val="24"/>
          <w:szCs w:val="24"/>
        </w:rPr>
        <w:t xml:space="preserve">vide: </w:t>
      </w:r>
      <w:r w:rsidRPr="00563DCB">
        <w:rPr>
          <w:rFonts w:cstheme="minorHAnsi"/>
          <w:sz w:val="24"/>
          <w:szCs w:val="24"/>
        </w:rPr>
        <w:t xml:space="preserve">wyrok WSA w Poznaniu z 8 marca 2018 r. </w:t>
      </w:r>
      <w:r>
        <w:rPr>
          <w:rFonts w:cstheme="minorHAnsi"/>
          <w:sz w:val="24"/>
          <w:szCs w:val="24"/>
        </w:rPr>
        <w:t xml:space="preserve">sygn. akt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lastRenderedPageBreak/>
        <w:t>IV SA/Po 1053/17). Akty te win</w:t>
      </w:r>
      <w:r w:rsidRPr="00563DCB">
        <w:rPr>
          <w:rFonts w:cstheme="minorHAnsi"/>
          <w:sz w:val="24"/>
          <w:szCs w:val="24"/>
        </w:rPr>
        <w:t>ny zawierać wyłącznie wytyczne, zalecenia lub wskazówki dla organu wykonawczego. Nie mogą natomiast nakładać na niego konkretnych obowiązków, bądź nakazywać stosowania konkretnych rozwiązań prawnych (</w:t>
      </w:r>
      <w:r>
        <w:rPr>
          <w:rFonts w:cstheme="minorHAnsi"/>
          <w:sz w:val="24"/>
          <w:szCs w:val="24"/>
        </w:rPr>
        <w:t>vide</w:t>
      </w:r>
      <w:r w:rsidRPr="00563DCB">
        <w:rPr>
          <w:rFonts w:cstheme="minorHAnsi"/>
          <w:sz w:val="24"/>
          <w:szCs w:val="24"/>
        </w:rPr>
        <w:t xml:space="preserve">: wyrok WSA w Opolu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26 listopada 2009 r. syg</w:t>
      </w:r>
      <w:r>
        <w:rPr>
          <w:rFonts w:cstheme="minorHAnsi"/>
          <w:sz w:val="24"/>
          <w:szCs w:val="24"/>
        </w:rPr>
        <w:t xml:space="preserve">n. akt </w:t>
      </w:r>
      <w:r w:rsidRPr="00563DCB">
        <w:rPr>
          <w:rFonts w:cstheme="minorHAnsi"/>
          <w:sz w:val="24"/>
          <w:szCs w:val="24"/>
        </w:rPr>
        <w:t xml:space="preserve">II SA/Op 356/09; wyrok WSA w Lublinie z 20 stycznia </w:t>
      </w:r>
      <w:r>
        <w:rPr>
          <w:rFonts w:cstheme="minorHAnsi"/>
          <w:sz w:val="24"/>
          <w:szCs w:val="24"/>
        </w:rPr>
        <w:br/>
        <w:t>2011 r. sygn. akt</w:t>
      </w:r>
      <w:r w:rsidRPr="00563DCB">
        <w:rPr>
          <w:rFonts w:cstheme="minorHAnsi"/>
          <w:sz w:val="24"/>
          <w:szCs w:val="24"/>
        </w:rPr>
        <w:t xml:space="preserve"> III SA/Lu 454/10, powołane w wyroku WSA w Łodzi z 30 sierpnia 2013 r.</w:t>
      </w:r>
      <w:r>
        <w:rPr>
          <w:rFonts w:cstheme="minorHAnsi"/>
          <w:sz w:val="24"/>
          <w:szCs w:val="24"/>
        </w:rPr>
        <w:t xml:space="preserve"> sygn. akt</w:t>
      </w:r>
      <w:r w:rsidRPr="00563DCB">
        <w:rPr>
          <w:rFonts w:cstheme="minorHAnsi"/>
          <w:sz w:val="24"/>
          <w:szCs w:val="24"/>
        </w:rPr>
        <w:t xml:space="preserve"> II SA/Łd 627/13). </w:t>
      </w:r>
    </w:p>
    <w:p w:rsidR="00A751C1" w:rsidRPr="00563DCB" w:rsidRDefault="00F87DCB" w:rsidP="000934DA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>Jeśli więc przyjąć koncepcję, iż uchwała w tym zakresie miała stanowić tzw. akt</w:t>
      </w:r>
      <w:r w:rsidRPr="00563DCB">
        <w:rPr>
          <w:rFonts w:cstheme="minorHAnsi"/>
          <w:sz w:val="24"/>
          <w:szCs w:val="24"/>
        </w:rPr>
        <w:t xml:space="preserve"> kierownictwa wewnętrznego, to należy przyjąć, że została podjęta z przekroczeniem ram dla kierunków działania organu wykonawczego.</w:t>
      </w:r>
    </w:p>
    <w:p w:rsidR="009C3F58" w:rsidRPr="00563DCB" w:rsidRDefault="00F87DCB" w:rsidP="00552CE8">
      <w:pPr>
        <w:spacing w:after="0" w:line="300" w:lineRule="exact"/>
        <w:ind w:firstLine="708"/>
        <w:jc w:val="both"/>
        <w:rPr>
          <w:rStyle w:val="info-list-value-uzasadnienie"/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>Ponadto podejmowane przez radę gminy na podstawie art. 18 ust. 2 pkt 2 u.s.g. nie mogą wkraczać w zakres kompetencji należny</w:t>
      </w:r>
      <w:r w:rsidRPr="00563DCB">
        <w:rPr>
          <w:rFonts w:cstheme="minorHAnsi"/>
          <w:sz w:val="24"/>
          <w:szCs w:val="24"/>
        </w:rPr>
        <w:t>ch organowi wykonawczemu z mocy ustawy, naruszałoby to bowiem ustawowy podział kompetencji pomiędzy organami gminy. W art. 30 ust. 2 pkt 2 u</w:t>
      </w:r>
      <w:r>
        <w:rPr>
          <w:rFonts w:cstheme="minorHAnsi"/>
          <w:sz w:val="24"/>
          <w:szCs w:val="24"/>
        </w:rPr>
        <w:t>.</w:t>
      </w:r>
      <w:r w:rsidRPr="00563DC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.g.</w:t>
      </w:r>
      <w:r w:rsidRPr="00563DCB">
        <w:rPr>
          <w:rFonts w:cstheme="minorHAnsi"/>
          <w:sz w:val="24"/>
          <w:szCs w:val="24"/>
        </w:rPr>
        <w:t xml:space="preserve"> przewidziano, że do zadań wójta należy w szczególności określanie sposobu wykonywania uchwał rady gminy. Okreś</w:t>
      </w:r>
      <w:r w:rsidRPr="00563DCB">
        <w:rPr>
          <w:rFonts w:cstheme="minorHAnsi"/>
          <w:sz w:val="24"/>
          <w:szCs w:val="24"/>
        </w:rPr>
        <w:t>lenie przez organ wykonawczy sposobu wykonania uchwały rady obejmować może wskazanie środków rzeczowych koniecznych do wykonania uchwały, ustalenie harmonogramu jej realizacji, wyznaczenie osób odpowiedzialnych za wykonanie uchwały lub poszczególnych jej e</w:t>
      </w:r>
      <w:r w:rsidRPr="00563DCB">
        <w:rPr>
          <w:rFonts w:cstheme="minorHAnsi"/>
          <w:sz w:val="24"/>
          <w:szCs w:val="24"/>
        </w:rPr>
        <w:t>lementów itp. A zatem do kompetencji wójta należy podejmowanie decyzji</w:t>
      </w:r>
      <w:r w:rsidRPr="00563DCB">
        <w:rPr>
          <w:rFonts w:cstheme="minorHAnsi"/>
          <w:sz w:val="24"/>
          <w:szCs w:val="24"/>
        </w:rPr>
        <w:t>:</w:t>
      </w:r>
      <w:r w:rsidRPr="00563DCB">
        <w:rPr>
          <w:rFonts w:cstheme="minorHAnsi"/>
          <w:sz w:val="24"/>
          <w:szCs w:val="24"/>
        </w:rPr>
        <w:t xml:space="preserve"> przez kogo, w jakich terminach i za pomocą jakich środków oraz w jakim trybie mają być realizowane zadania wynikające z uchwały rady. Tymczasem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t>w uchwale narzucono sposób jej wykonani</w:t>
      </w:r>
      <w:r w:rsidRPr="00563DCB">
        <w:rPr>
          <w:rFonts w:cstheme="minorHAnsi"/>
          <w:sz w:val="24"/>
          <w:szCs w:val="24"/>
        </w:rPr>
        <w:t xml:space="preserve">a – wprowadzono wymóg prowadzenia rejestru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t xml:space="preserve">o określonej </w:t>
      </w:r>
      <w:r w:rsidRPr="00563DCB">
        <w:rPr>
          <w:rFonts w:cstheme="minorHAnsi"/>
          <w:sz w:val="24"/>
          <w:szCs w:val="24"/>
        </w:rPr>
        <w:t xml:space="preserve">szczegółowo </w:t>
      </w:r>
      <w:r w:rsidRPr="00563DCB">
        <w:rPr>
          <w:rFonts w:cstheme="minorHAnsi"/>
          <w:sz w:val="24"/>
          <w:szCs w:val="24"/>
        </w:rPr>
        <w:t>treści.</w:t>
      </w:r>
    </w:p>
    <w:p w:rsidR="00A751C1" w:rsidRPr="00563DCB" w:rsidRDefault="00F87DCB" w:rsidP="00552CE8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Style w:val="info-list-value-uzasadnienie"/>
          <w:rFonts w:cstheme="minorHAnsi"/>
          <w:sz w:val="24"/>
          <w:szCs w:val="24"/>
        </w:rPr>
        <w:t xml:space="preserve">Nie można także uznać, że prowadzenie rejestru konsultacji społecznych, w formie </w:t>
      </w:r>
      <w:r>
        <w:rPr>
          <w:rStyle w:val="info-list-value-uzasadnienie"/>
          <w:rFonts w:cstheme="minorHAnsi"/>
          <w:sz w:val="24"/>
          <w:szCs w:val="24"/>
        </w:rPr>
        <w:br/>
      </w:r>
      <w:r w:rsidRPr="00563DCB">
        <w:rPr>
          <w:rStyle w:val="info-list-value-uzasadnienie"/>
          <w:rFonts w:cstheme="minorHAnsi"/>
          <w:sz w:val="24"/>
          <w:szCs w:val="24"/>
        </w:rPr>
        <w:t xml:space="preserve">i zakresie określonym przez radę, mieści się w pojęciu </w:t>
      </w:r>
      <w:r w:rsidRPr="00563DCB">
        <w:rPr>
          <w:rFonts w:cstheme="minorHAnsi"/>
          <w:sz w:val="24"/>
          <w:szCs w:val="24"/>
        </w:rPr>
        <w:t>sposobu przekazania wyników konsultacji do</w:t>
      </w:r>
      <w:r w:rsidRPr="00563DCB">
        <w:rPr>
          <w:rFonts w:cstheme="minorHAnsi"/>
          <w:sz w:val="24"/>
          <w:szCs w:val="24"/>
        </w:rPr>
        <w:t xml:space="preserve"> wiadomości społeczności lokalnej</w:t>
      </w:r>
      <w:r w:rsidRPr="00563DCB">
        <w:rPr>
          <w:rFonts w:cstheme="minorHAnsi"/>
          <w:sz w:val="24"/>
          <w:szCs w:val="24"/>
        </w:rPr>
        <w:t xml:space="preserve">. Sposób przekazania informacji to metoda, ścieżka przekazania informacji. </w:t>
      </w:r>
    </w:p>
    <w:p w:rsidR="008F7B9D" w:rsidRPr="008F7B9D" w:rsidRDefault="00F87DCB" w:rsidP="00552CE8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>Nadto stosownie do § 11</w:t>
      </w:r>
      <w:r>
        <w:rPr>
          <w:rFonts w:cstheme="minorHAnsi"/>
          <w:sz w:val="24"/>
          <w:szCs w:val="24"/>
        </w:rPr>
        <w:t xml:space="preserve"> </w:t>
      </w:r>
      <w:r w:rsidRPr="00563DCB">
        <w:rPr>
          <w:rFonts w:cstheme="minorHAnsi"/>
          <w:sz w:val="24"/>
          <w:szCs w:val="24"/>
        </w:rPr>
        <w:t>ust. 2 Statutu Miasta Pruszkowa d</w:t>
      </w:r>
      <w:r w:rsidRPr="008F7B9D">
        <w:rPr>
          <w:rFonts w:eastAsia="Times New Roman" w:cstheme="minorHAnsi"/>
          <w:sz w:val="24"/>
          <w:szCs w:val="24"/>
          <w:lang w:eastAsia="pl-PL"/>
        </w:rPr>
        <w:t>okumenty zawierające informację publiczną udostępniane są w Biuletynie Informacji Publiczn</w:t>
      </w:r>
      <w:r w:rsidRPr="008F7B9D">
        <w:rPr>
          <w:rFonts w:eastAsia="Times New Roman" w:cstheme="minorHAnsi"/>
          <w:sz w:val="24"/>
          <w:szCs w:val="24"/>
          <w:lang w:eastAsia="pl-PL"/>
        </w:rPr>
        <w:t>ej albo poprzez wyłożenie lub wywieszenie na tablicach ogłoszeń w siedzibie Urzędu lub jednostek organizacyjnych.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 Tym samym wskazanie</w:t>
      </w:r>
      <w:r w:rsidRPr="00563DCB">
        <w:rPr>
          <w:rFonts w:eastAsia="Times New Roman" w:cstheme="minorHAnsi"/>
          <w:sz w:val="24"/>
          <w:szCs w:val="24"/>
          <w:lang w:eastAsia="pl-PL"/>
        </w:rPr>
        <w:t>,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 jako jedynej metody upublicznia</w:t>
      </w:r>
      <w:r w:rsidRPr="00563DCB">
        <w:rPr>
          <w:rFonts w:eastAsia="Times New Roman" w:cstheme="minorHAnsi"/>
          <w:sz w:val="24"/>
          <w:szCs w:val="24"/>
          <w:lang w:eastAsia="pl-PL"/>
        </w:rPr>
        <w:t>,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 rejestru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 konsultacji społecznych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 w Biuletynie Informacji </w:t>
      </w:r>
      <w:r w:rsidRPr="00563DCB">
        <w:rPr>
          <w:rFonts w:eastAsia="Times New Roman" w:cstheme="minorHAnsi"/>
          <w:sz w:val="24"/>
          <w:szCs w:val="24"/>
          <w:lang w:eastAsia="pl-PL"/>
        </w:rPr>
        <w:t>Publicznej, zawęża ogólną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 zasadę statutową.</w:t>
      </w:r>
    </w:p>
    <w:p w:rsidR="00CA27B2" w:rsidRPr="00552CE8" w:rsidRDefault="00F87DCB" w:rsidP="00552CE8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52CE8">
        <w:rPr>
          <w:rStyle w:val="info-list-value-uzasadnienie"/>
          <w:rFonts w:cstheme="minorHAnsi"/>
          <w:sz w:val="24"/>
          <w:szCs w:val="24"/>
        </w:rPr>
        <w:t xml:space="preserve">Natomiast </w:t>
      </w:r>
      <w:r w:rsidRPr="00552CE8">
        <w:rPr>
          <w:rFonts w:cstheme="minorHAnsi"/>
          <w:sz w:val="24"/>
          <w:szCs w:val="24"/>
        </w:rPr>
        <w:t>w § 4,  6, 8, 9, 10, 15 i 16 uchwały uregulowano instytucję Rady Społecznej, wymóg zasięgnięcia opinii Rady Społecznej, skład Rady, sposób jej powoływania, sposób odwoływania jej członków, kadencję Rady, tryb jej pracy, zadania</w:t>
      </w:r>
      <w:r w:rsidRPr="00552CE8">
        <w:rPr>
          <w:rFonts w:cstheme="minorHAnsi"/>
          <w:sz w:val="24"/>
          <w:szCs w:val="24"/>
        </w:rPr>
        <w:t xml:space="preserve"> Rady oraz termin powołania i zwołania pierwszej Rady. </w:t>
      </w:r>
    </w:p>
    <w:p w:rsidR="00F8155E" w:rsidRPr="00563DCB" w:rsidRDefault="00F87DCB" w:rsidP="00552CE8">
      <w:pPr>
        <w:spacing w:after="0" w:line="300" w:lineRule="exact"/>
        <w:ind w:firstLine="708"/>
        <w:jc w:val="both"/>
        <w:rPr>
          <w:rFonts w:cstheme="minorHAnsi"/>
          <w:bCs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Żaden przepis ustawy nie przewiduje obowiązku powołania rady społecznej. Organ nadzoru dokonał kwerendy w zakresie powołania tego typu podmiotu na terenie i kraju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t>i stwierdził powołanie Rady Społeczn</w:t>
      </w:r>
      <w:r w:rsidRPr="00563DCB">
        <w:rPr>
          <w:rFonts w:cstheme="minorHAnsi"/>
          <w:sz w:val="24"/>
          <w:szCs w:val="24"/>
        </w:rPr>
        <w:t>ej w Toruniu, na mocy u</w:t>
      </w:r>
      <w:r w:rsidRPr="00563DCB">
        <w:rPr>
          <w:rFonts w:cstheme="minorHAnsi"/>
          <w:bCs/>
          <w:sz w:val="24"/>
          <w:szCs w:val="24"/>
        </w:rPr>
        <w:t xml:space="preserve">chwały Nr 835/18 Rady Miasta Torunia </w:t>
      </w:r>
      <w:r w:rsidRPr="00563DCB">
        <w:rPr>
          <w:rFonts w:cstheme="minorHAnsi"/>
          <w:sz w:val="24"/>
          <w:szCs w:val="24"/>
        </w:rPr>
        <w:t xml:space="preserve">z dnia 22 marca 2018 r. </w:t>
      </w:r>
      <w:r w:rsidRPr="00563DCB">
        <w:rPr>
          <w:rFonts w:cstheme="minorHAnsi"/>
          <w:bCs/>
          <w:sz w:val="24"/>
          <w:szCs w:val="24"/>
        </w:rPr>
        <w:t>zmieniającej uchwałę w sprawie Regulaminu konsultacji społecznych</w:t>
      </w:r>
      <w:r w:rsidRPr="00563DCB">
        <w:rPr>
          <w:rFonts w:cstheme="minorHAnsi"/>
          <w:bCs/>
          <w:sz w:val="24"/>
          <w:szCs w:val="24"/>
        </w:rPr>
        <w:t>, przy czym Rada ta ma wyłącznie charakter doradczy</w:t>
      </w:r>
      <w:r w:rsidRPr="00563DCB">
        <w:rPr>
          <w:rFonts w:cstheme="minorHAnsi"/>
          <w:bCs/>
          <w:sz w:val="24"/>
          <w:szCs w:val="24"/>
        </w:rPr>
        <w:t xml:space="preserve">. </w:t>
      </w:r>
    </w:p>
    <w:p w:rsidR="00CA27B2" w:rsidRPr="00563DCB" w:rsidRDefault="00F87DCB" w:rsidP="00552CE8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bCs/>
          <w:sz w:val="24"/>
          <w:szCs w:val="24"/>
        </w:rPr>
        <w:t>Nawet, jeżeli</w:t>
      </w:r>
      <w:r w:rsidRPr="00563DCB">
        <w:rPr>
          <w:rFonts w:cstheme="minorHAnsi"/>
          <w:b/>
          <w:bCs/>
          <w:sz w:val="24"/>
          <w:szCs w:val="24"/>
        </w:rPr>
        <w:t xml:space="preserve"> </w:t>
      </w:r>
      <w:r w:rsidRPr="00563DCB">
        <w:rPr>
          <w:rFonts w:cstheme="minorHAnsi"/>
          <w:bCs/>
          <w:sz w:val="24"/>
          <w:szCs w:val="24"/>
        </w:rPr>
        <w:t xml:space="preserve">przyjąć, że w pojęciu zasad i trybu </w:t>
      </w:r>
      <w:r w:rsidRPr="00563DCB">
        <w:rPr>
          <w:rFonts w:cstheme="minorHAnsi"/>
          <w:sz w:val="24"/>
          <w:szCs w:val="24"/>
        </w:rPr>
        <w:t>przeprowadzania konsultacji mieści się możliwość powołania Rady Społecznej jako ciała opiniodawczo – konsultacyjnego, to brak jest podstaw prawnych do zawężenia uprawnień Prezydenta do odmowy zarządzenia konsultacji społecznych tylko w przypadku negatywnej</w:t>
      </w:r>
      <w:r w:rsidRPr="00563DCB">
        <w:rPr>
          <w:rFonts w:cstheme="minorHAnsi"/>
          <w:sz w:val="24"/>
          <w:szCs w:val="24"/>
        </w:rPr>
        <w:t xml:space="preserve"> opinii Rady Społecznej (§6 ust. 4</w:t>
      </w:r>
      <w:r w:rsidRPr="00563DCB">
        <w:rPr>
          <w:rFonts w:cstheme="minorHAnsi"/>
          <w:sz w:val="24"/>
          <w:szCs w:val="24"/>
        </w:rPr>
        <w:t xml:space="preserve"> uchwały</w:t>
      </w:r>
      <w:r w:rsidRPr="00563DCB">
        <w:rPr>
          <w:rFonts w:cstheme="minorHAnsi"/>
          <w:sz w:val="24"/>
          <w:szCs w:val="24"/>
        </w:rPr>
        <w:t xml:space="preserve">). </w:t>
      </w:r>
    </w:p>
    <w:p w:rsidR="00A042A5" w:rsidRPr="00563DCB" w:rsidRDefault="00F87DCB" w:rsidP="00552CE8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>Brak jest też podstaw do nakładania na Radę Społeczną obowiązku opracowania katalogu dobrych praktyk (§ 16 uchwały), które mają być obligatoryjnie stosowane na terenie Miasta Pruszkowa (§ 10 ust. 1 pkt 4 i § 12</w:t>
      </w:r>
      <w:r w:rsidRPr="00563DCB">
        <w:rPr>
          <w:rFonts w:cstheme="minorHAnsi"/>
          <w:sz w:val="24"/>
          <w:szCs w:val="24"/>
        </w:rPr>
        <w:t xml:space="preserve"> uchwały). Ustalenie wiążącego trybu i zasad </w:t>
      </w:r>
      <w:r w:rsidRPr="00563DCB">
        <w:rPr>
          <w:rFonts w:cstheme="minorHAnsi"/>
          <w:sz w:val="24"/>
          <w:szCs w:val="24"/>
        </w:rPr>
        <w:lastRenderedPageBreak/>
        <w:t xml:space="preserve">konsultacji społecznych należy do Rady Miasta, a nie do Rady Społecznej. Przyjęcie zatem,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t>że konsultacje przeprowadza się z zachowaniem dobrych praktyk, których treść nie jest znana a także nie jest wiążąca, ze</w:t>
      </w:r>
      <w:r w:rsidRPr="00563DCB">
        <w:rPr>
          <w:rFonts w:cstheme="minorHAnsi"/>
          <w:sz w:val="24"/>
          <w:szCs w:val="24"/>
        </w:rPr>
        <w:t xml:space="preserve"> względu na przyjęcie ich odrębnie od aktu prawa miejscowego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t>i przez podmiot nieuprawniony, nie znajduje oparcia w obowiązujących przepisach prawa.</w:t>
      </w:r>
    </w:p>
    <w:p w:rsidR="007F1CE5" w:rsidRPr="00563DCB" w:rsidRDefault="00F87DCB" w:rsidP="00552CE8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>Nadto w</w:t>
      </w:r>
      <w:r w:rsidRPr="00563DCB">
        <w:rPr>
          <w:rFonts w:cstheme="minorHAnsi"/>
          <w:sz w:val="24"/>
          <w:szCs w:val="24"/>
        </w:rPr>
        <w:t xml:space="preserve"> § 12 </w:t>
      </w:r>
      <w:r w:rsidRPr="00563DCB">
        <w:rPr>
          <w:rFonts w:cstheme="minorHAnsi"/>
          <w:sz w:val="24"/>
          <w:szCs w:val="24"/>
        </w:rPr>
        <w:t xml:space="preserve">uchwały </w:t>
      </w:r>
      <w:r w:rsidRPr="00563DCB">
        <w:rPr>
          <w:rFonts w:cstheme="minorHAnsi"/>
          <w:sz w:val="24"/>
          <w:szCs w:val="24"/>
        </w:rPr>
        <w:t>Rada określiła otwarty katalog form przeprowadzania konsultacji</w:t>
      </w:r>
      <w:r w:rsidRPr="00563DCB">
        <w:rPr>
          <w:rFonts w:cstheme="minorHAnsi"/>
          <w:sz w:val="24"/>
          <w:szCs w:val="24"/>
        </w:rPr>
        <w:t xml:space="preserve">. W pojęciu zasad i trybu przeprowadzenia konsultacji </w:t>
      </w:r>
      <w:r w:rsidRPr="00563DCB">
        <w:rPr>
          <w:rFonts w:cstheme="minorHAnsi"/>
          <w:sz w:val="24"/>
          <w:szCs w:val="24"/>
        </w:rPr>
        <w:t xml:space="preserve">z mieszkańcami </w:t>
      </w:r>
      <w:r w:rsidRPr="00563DCB">
        <w:rPr>
          <w:rFonts w:cstheme="minorHAnsi"/>
          <w:sz w:val="24"/>
          <w:szCs w:val="24"/>
        </w:rPr>
        <w:t xml:space="preserve">mieści się obowiązek prawny określenia form konsultacji społecznych. Rada </w:t>
      </w:r>
      <w:r w:rsidRPr="00563DCB">
        <w:rPr>
          <w:rFonts w:cstheme="minorHAnsi"/>
          <w:sz w:val="24"/>
          <w:szCs w:val="24"/>
        </w:rPr>
        <w:t>winna</w:t>
      </w:r>
      <w:r w:rsidRPr="00563DCB">
        <w:rPr>
          <w:rFonts w:cstheme="minorHAnsi"/>
          <w:sz w:val="24"/>
          <w:szCs w:val="24"/>
        </w:rPr>
        <w:t xml:space="preserve"> zatem określić katalog wszelkich form konsultacji</w:t>
      </w:r>
      <w:r w:rsidRPr="00563DCB">
        <w:rPr>
          <w:rFonts w:cstheme="minorHAnsi"/>
          <w:sz w:val="24"/>
          <w:szCs w:val="24"/>
        </w:rPr>
        <w:t xml:space="preserve"> i to bez odwołania do dobrych praktyk, jako dokumentu opr</w:t>
      </w:r>
      <w:r w:rsidRPr="00563DCB">
        <w:rPr>
          <w:rFonts w:cstheme="minorHAnsi"/>
          <w:sz w:val="24"/>
          <w:szCs w:val="24"/>
        </w:rPr>
        <w:t>acow</w:t>
      </w:r>
      <w:r w:rsidRPr="00563DCB">
        <w:rPr>
          <w:rFonts w:cstheme="minorHAnsi"/>
          <w:sz w:val="24"/>
          <w:szCs w:val="24"/>
        </w:rPr>
        <w:t>anego przez Radę Społeczną, nie</w:t>
      </w:r>
      <w:r w:rsidRPr="00563DCB">
        <w:rPr>
          <w:rFonts w:cstheme="minorHAnsi"/>
          <w:sz w:val="24"/>
          <w:szCs w:val="24"/>
        </w:rPr>
        <w:t xml:space="preserve">mającego charakteru powszechnie wiążącego. </w:t>
      </w:r>
      <w:r w:rsidRPr="00563DCB">
        <w:rPr>
          <w:rFonts w:cstheme="minorHAnsi"/>
          <w:sz w:val="24"/>
          <w:szCs w:val="24"/>
        </w:rPr>
        <w:t>Pozostawienie katalogu otwartego w powiązaniu z dobrymi praktykami, które zostaną określone przez Radę Społeczną, powoduje, że w istocie formy konsultacji nie zostały wyczerpując</w:t>
      </w:r>
      <w:r w:rsidRPr="00563DCB">
        <w:rPr>
          <w:rFonts w:cstheme="minorHAnsi"/>
          <w:sz w:val="24"/>
          <w:szCs w:val="24"/>
        </w:rPr>
        <w:t xml:space="preserve">o określone w uchwale i będzie o nich decydował podmiot odrębny od Rady Miasta – Rada Społeczna. </w:t>
      </w:r>
      <w:r>
        <w:rPr>
          <w:rFonts w:cstheme="minorHAnsi"/>
          <w:sz w:val="24"/>
          <w:szCs w:val="24"/>
        </w:rPr>
        <w:t>W</w:t>
      </w:r>
      <w:r w:rsidRPr="00563DCB">
        <w:rPr>
          <w:rFonts w:cstheme="minorHAnsi"/>
          <w:sz w:val="24"/>
          <w:szCs w:val="24"/>
        </w:rPr>
        <w:t xml:space="preserve"> § 3 ust. 2 Rada wskazała, że wnioskodawca może złożyć propozycję form przeprowadzenia konsultacji, co potwierdza dowolność w tym zakresie i brak kompleksowej</w:t>
      </w:r>
      <w:r w:rsidRPr="00563DCB">
        <w:rPr>
          <w:rFonts w:cstheme="minorHAnsi"/>
          <w:sz w:val="24"/>
          <w:szCs w:val="24"/>
        </w:rPr>
        <w:t xml:space="preserve"> regulacji na poziomie uchwały.</w:t>
      </w:r>
      <w:r w:rsidRPr="00563DCB">
        <w:rPr>
          <w:rFonts w:cstheme="minorHAnsi"/>
          <w:sz w:val="24"/>
          <w:szCs w:val="24"/>
        </w:rPr>
        <w:t xml:space="preserve"> Wnioskodawca mógłby oczywiście wskazywać proponowaną formę konsultacji, ale spośród from określonych przez Radę Miasta w uchwale.</w:t>
      </w:r>
    </w:p>
    <w:p w:rsidR="00745D4C" w:rsidRPr="00745D4C" w:rsidRDefault="00F87DCB" w:rsidP="00563DCB">
      <w:pPr>
        <w:spacing w:after="0" w:line="300" w:lineRule="exact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3DCB">
        <w:rPr>
          <w:rFonts w:cstheme="minorHAnsi"/>
          <w:sz w:val="24"/>
          <w:szCs w:val="24"/>
        </w:rPr>
        <w:t>Ponadto ż</w:t>
      </w:r>
      <w:r w:rsidRPr="00563DCB">
        <w:rPr>
          <w:rFonts w:cstheme="minorHAnsi"/>
          <w:sz w:val="24"/>
          <w:szCs w:val="24"/>
        </w:rPr>
        <w:t>aden przepis ustawy nie daje podstaw do wprowadzania zasad składania skarg na Prezyde</w:t>
      </w:r>
      <w:r w:rsidRPr="00563DCB">
        <w:rPr>
          <w:rFonts w:cstheme="minorHAnsi"/>
          <w:sz w:val="24"/>
          <w:szCs w:val="24"/>
        </w:rPr>
        <w:t xml:space="preserve">nta i to przez określenie podmiotów uprawnionych </w:t>
      </w:r>
      <w:r w:rsidRPr="00563DCB">
        <w:rPr>
          <w:rFonts w:cstheme="minorHAnsi"/>
          <w:sz w:val="24"/>
          <w:szCs w:val="24"/>
        </w:rPr>
        <w:t xml:space="preserve">do złożenia skargi </w:t>
      </w:r>
      <w:r w:rsidRPr="00563DCB">
        <w:rPr>
          <w:rFonts w:cstheme="minorHAnsi"/>
          <w:sz w:val="24"/>
          <w:szCs w:val="24"/>
        </w:rPr>
        <w:t>i przedmiotu skargi w drodze uchwały (§ 7 ust. 2). Przepisy dotyczące skarg znajdują się w</w:t>
      </w:r>
      <w:r w:rsidRPr="00563DCB">
        <w:rPr>
          <w:rFonts w:cstheme="minorHAnsi"/>
          <w:sz w:val="24"/>
          <w:szCs w:val="24"/>
        </w:rPr>
        <w:t xml:space="preserve"> ustawie </w:t>
      </w:r>
      <w:r w:rsidRPr="00745D4C">
        <w:rPr>
          <w:rFonts w:eastAsia="Times New Roman" w:cstheme="minorHAnsi"/>
          <w:sz w:val="24"/>
          <w:szCs w:val="24"/>
          <w:lang w:eastAsia="pl-PL"/>
        </w:rPr>
        <w:t>z dnia 14 czerwca 1960 r.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5D4C">
        <w:rPr>
          <w:rFonts w:eastAsia="Times New Roman" w:cstheme="minorHAnsi"/>
          <w:i/>
          <w:sz w:val="24"/>
          <w:szCs w:val="24"/>
          <w:lang w:eastAsia="pl-PL"/>
        </w:rPr>
        <w:t>Kodeks postępowania administracyjnego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 (Dz. U. z 2020 r. poz. 25</w:t>
      </w:r>
      <w:r w:rsidRPr="00563DCB">
        <w:rPr>
          <w:rFonts w:eastAsia="Times New Roman" w:cstheme="minorHAnsi"/>
          <w:sz w:val="24"/>
          <w:szCs w:val="24"/>
          <w:lang w:eastAsia="pl-PL"/>
        </w:rPr>
        <w:t>6, z późn. zm.)</w:t>
      </w:r>
      <w:r>
        <w:rPr>
          <w:rFonts w:eastAsia="Times New Roman" w:cstheme="minorHAnsi"/>
          <w:sz w:val="24"/>
          <w:szCs w:val="24"/>
          <w:lang w:eastAsia="pl-PL"/>
        </w:rPr>
        <w:t>, zwanej dalej „k.p.a.”,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63DCB">
        <w:rPr>
          <w:rFonts w:cstheme="minorHAnsi"/>
          <w:sz w:val="24"/>
          <w:szCs w:val="24"/>
        </w:rPr>
        <w:t xml:space="preserve">i w sposób wyczerpujący regulują kwestie </w:t>
      </w:r>
      <w:r w:rsidRPr="00563DCB">
        <w:rPr>
          <w:rFonts w:cstheme="minorHAnsi"/>
          <w:sz w:val="24"/>
          <w:szCs w:val="24"/>
        </w:rPr>
        <w:t xml:space="preserve">podmiotu uprawnionego do złożenia skargi </w:t>
      </w:r>
      <w:r w:rsidRPr="00563DCB">
        <w:rPr>
          <w:rFonts w:cstheme="minorHAnsi"/>
          <w:sz w:val="24"/>
          <w:szCs w:val="24"/>
        </w:rPr>
        <w:t>skargowe</w:t>
      </w:r>
      <w:r w:rsidRPr="00563DCB">
        <w:rPr>
          <w:rFonts w:cstheme="minorHAnsi"/>
          <w:sz w:val="24"/>
          <w:szCs w:val="24"/>
        </w:rPr>
        <w:t xml:space="preserve"> i przedmiotu skargi</w:t>
      </w:r>
      <w:r w:rsidRPr="00563DCB">
        <w:rPr>
          <w:rFonts w:cstheme="minorHAnsi"/>
          <w:sz w:val="24"/>
          <w:szCs w:val="24"/>
        </w:rPr>
        <w:t>.</w:t>
      </w:r>
      <w:r w:rsidRPr="00563DCB">
        <w:rPr>
          <w:rFonts w:cstheme="minorHAnsi"/>
          <w:sz w:val="24"/>
          <w:szCs w:val="24"/>
        </w:rPr>
        <w:t xml:space="preserve"> Stosownie do art. 221 k.p.a. prawo składania skarg i wniosków zagwarantowane jest każdemu i realizowane </w:t>
      </w:r>
      <w:r w:rsidRPr="00563DCB">
        <w:rPr>
          <w:rFonts w:cstheme="minorHAnsi"/>
          <w:sz w:val="24"/>
          <w:szCs w:val="24"/>
        </w:rPr>
        <w:t>jest na zasadach określonych przepisami</w:t>
      </w:r>
      <w:r>
        <w:rPr>
          <w:rFonts w:cstheme="minorHAnsi"/>
          <w:sz w:val="24"/>
          <w:szCs w:val="24"/>
        </w:rPr>
        <w:t xml:space="preserve"> D</w:t>
      </w:r>
      <w:r w:rsidRPr="00563DCB">
        <w:rPr>
          <w:rFonts w:cstheme="minorHAnsi"/>
          <w:sz w:val="24"/>
          <w:szCs w:val="24"/>
        </w:rPr>
        <w:t>ziału VIII k.p.a.</w:t>
      </w:r>
      <w:r w:rsidRPr="00563DCB">
        <w:rPr>
          <w:rFonts w:cstheme="minorHAnsi"/>
          <w:sz w:val="24"/>
          <w:szCs w:val="24"/>
        </w:rPr>
        <w:t xml:space="preserve"> N</w:t>
      </w:r>
      <w:r w:rsidRPr="00563DCB">
        <w:rPr>
          <w:rFonts w:cstheme="minorHAnsi"/>
          <w:sz w:val="24"/>
          <w:szCs w:val="24"/>
        </w:rPr>
        <w:t>a mocy a</w:t>
      </w:r>
      <w:r w:rsidRPr="00563DCB">
        <w:rPr>
          <w:rFonts w:eastAsia="Times New Roman" w:cstheme="minorHAnsi"/>
          <w:sz w:val="24"/>
          <w:szCs w:val="24"/>
          <w:lang w:eastAsia="pl-PL"/>
        </w:rPr>
        <w:t>rt.  227 k.p.a. p</w:t>
      </w:r>
      <w:r w:rsidRPr="00745D4C">
        <w:rPr>
          <w:rFonts w:eastAsia="Times New Roman" w:cstheme="minorHAnsi"/>
          <w:sz w:val="24"/>
          <w:szCs w:val="24"/>
          <w:lang w:eastAsia="pl-PL"/>
        </w:rPr>
        <w:t xml:space="preserve">rzedmiotem skargi może być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45D4C">
        <w:rPr>
          <w:rFonts w:eastAsia="Times New Roman" w:cstheme="minorHAnsi"/>
          <w:sz w:val="24"/>
          <w:szCs w:val="24"/>
          <w:lang w:eastAsia="pl-PL"/>
        </w:rPr>
        <w:t>w szczególności zaniedbanie lub nienależyte wykonywanie zadań przez właściwe organy albo przez ich pracowników, naruszenie praworządności lub i</w:t>
      </w:r>
      <w:r w:rsidRPr="00745D4C">
        <w:rPr>
          <w:rFonts w:eastAsia="Times New Roman" w:cstheme="minorHAnsi"/>
          <w:sz w:val="24"/>
          <w:szCs w:val="24"/>
          <w:lang w:eastAsia="pl-PL"/>
        </w:rPr>
        <w:t>nteresów skarżących, a także przewlekłe lub biurokratyczne załatwianie spraw.</w:t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 Tym samym brak jest podstaw do regulowania kwestii skargowych w uchwale o zasadach i trybie przeprowadzania konsultacji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63DCB">
        <w:rPr>
          <w:rFonts w:eastAsia="Times New Roman" w:cstheme="minorHAnsi"/>
          <w:sz w:val="24"/>
          <w:szCs w:val="24"/>
          <w:lang w:eastAsia="pl-PL"/>
        </w:rPr>
        <w:t xml:space="preserve">z mieszkańcami. </w:t>
      </w:r>
    </w:p>
    <w:p w:rsidR="00CA27B2" w:rsidRPr="00563DCB" w:rsidRDefault="00F87DCB" w:rsidP="00552CE8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Za istotnie naruszający prawo należy uznać także § 14 uchwały, który wskazuje, że wyniki konsultacji winny być brane pod uwagę przy rozstrzygnięciach podejmowanych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t>w sprawie stanowiącej przedmiot konsultacji. Konsultacje społeczne przeprowadzane na podsta</w:t>
      </w:r>
      <w:r w:rsidRPr="00563DCB">
        <w:rPr>
          <w:rFonts w:cstheme="minorHAnsi"/>
          <w:sz w:val="24"/>
          <w:szCs w:val="24"/>
        </w:rPr>
        <w:t>wie art. 5a ust. 1 i 2 u.s.g. mają opiniotwórczy i niewiążący charakter, w przeciwieństwie chociażby do budżetu obywatelskiego. Inaczej niż referendum lokalne, nie służą one rozstrzyganiu spraw publicznych, lecz organizowaniu procesu podejmowania decyzji w</w:t>
      </w:r>
      <w:r w:rsidRPr="00563DCB">
        <w:rPr>
          <w:rFonts w:cstheme="minorHAnsi"/>
          <w:sz w:val="24"/>
          <w:szCs w:val="24"/>
        </w:rPr>
        <w:t xml:space="preserve"> taki sposób, aby w jego trakcie umożliwić decydentowi zapoznanie się z opiniami osób trzecich.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t>W tym sensie proces konsultacji zawsze ma charakter subsydiarny w stosunku do podstawowego działania organów wypracowujących rozstrzygnięcia. Ponadto w znaczen</w:t>
      </w:r>
      <w:r w:rsidRPr="00563DCB">
        <w:rPr>
          <w:rFonts w:cstheme="minorHAnsi"/>
          <w:sz w:val="24"/>
          <w:szCs w:val="24"/>
        </w:rPr>
        <w:t xml:space="preserve">iu społecznym konsultacje mają na celu umożliwienie członkom wspólnoty samorządowej wypowiedzenia swojej opinii </w:t>
      </w:r>
      <w:r w:rsidRPr="00563DCB">
        <w:rPr>
          <w:rFonts w:cstheme="minorHAnsi"/>
          <w:i/>
          <w:sz w:val="24"/>
          <w:szCs w:val="24"/>
        </w:rPr>
        <w:t>in gremio</w:t>
      </w:r>
      <w:r w:rsidRPr="00563DCB">
        <w:rPr>
          <w:rFonts w:cstheme="minorHAnsi"/>
          <w:sz w:val="24"/>
          <w:szCs w:val="24"/>
        </w:rPr>
        <w:t xml:space="preserve"> na określony temat będący przedmiotem konsultacji. Dlatego też nie mogą mieć one charakteru wiążącego. Z delegacji art. 5a. ust. 1 i 2</w:t>
      </w:r>
      <w:r w:rsidRPr="00563DCB">
        <w:rPr>
          <w:rFonts w:cstheme="minorHAnsi"/>
          <w:sz w:val="24"/>
          <w:szCs w:val="24"/>
        </w:rPr>
        <w:t xml:space="preserve"> nie wynika także uprawnienie dla Rady do ustalenia stopnia związania konsultacjami, a jedynie uprawnienie do ustalenia zasad i trybu przeprowadzania konsultacji z mieszkańcami gminy. </w:t>
      </w:r>
    </w:p>
    <w:p w:rsidR="009615A1" w:rsidRPr="00563DCB" w:rsidRDefault="00F87DCB" w:rsidP="00563DCB">
      <w:pPr>
        <w:spacing w:after="0" w:line="300" w:lineRule="exact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Nadto w § 10 ust. 1 pkt 2 znajduje się odwołanie do § 13 ust. 2, zaś § </w:t>
      </w:r>
      <w:r w:rsidRPr="00563DCB">
        <w:rPr>
          <w:rFonts w:cstheme="minorHAnsi"/>
          <w:sz w:val="24"/>
          <w:szCs w:val="24"/>
        </w:rPr>
        <w:t>13 nie dzieli się na ustępy.</w:t>
      </w:r>
    </w:p>
    <w:p w:rsidR="00BA7520" w:rsidRPr="00563DCB" w:rsidRDefault="00F87DCB" w:rsidP="00552CE8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 xml:space="preserve">Ze względu rodzaj i ilość istotnych naruszeń prawa, wzajemne wewnętrzne powiązania między poszczególnymi paragrafami, w tym odnoszącymi się do Rady Społecznej oraz rejestru </w:t>
      </w:r>
      <w:r w:rsidRPr="00563DCB">
        <w:rPr>
          <w:rFonts w:cstheme="minorHAnsi"/>
          <w:sz w:val="24"/>
          <w:szCs w:val="24"/>
        </w:rPr>
        <w:lastRenderedPageBreak/>
        <w:t>konsultacji społecznych, a także niewypełnienie delega</w:t>
      </w:r>
      <w:r w:rsidRPr="00563DCB">
        <w:rPr>
          <w:rFonts w:cstheme="minorHAnsi"/>
          <w:sz w:val="24"/>
          <w:szCs w:val="24"/>
        </w:rPr>
        <w:t xml:space="preserve">cji ustawowej w odniesieniu do otwartego katalogu form konsultacji w powiązaniu z dobrymi praktykami przyjmowanymi </w:t>
      </w:r>
      <w:r>
        <w:rPr>
          <w:rFonts w:cstheme="minorHAnsi"/>
          <w:sz w:val="24"/>
          <w:szCs w:val="24"/>
        </w:rPr>
        <w:br/>
      </w:r>
      <w:r w:rsidRPr="00563DCB">
        <w:rPr>
          <w:rFonts w:cstheme="minorHAnsi"/>
          <w:sz w:val="24"/>
          <w:szCs w:val="24"/>
        </w:rPr>
        <w:t>w ramach uprawnień Rady Społecznej, organ nadzoru uznaje, że koniecznym i uzasadnionym jest stwierdzenie nieważności przedmiotowej uchwały w</w:t>
      </w:r>
      <w:r w:rsidRPr="00563DCB">
        <w:rPr>
          <w:rFonts w:cstheme="minorHAnsi"/>
          <w:sz w:val="24"/>
          <w:szCs w:val="24"/>
        </w:rPr>
        <w:t xml:space="preserve"> całości. </w:t>
      </w:r>
    </w:p>
    <w:p w:rsidR="00BA7520" w:rsidRPr="00563DCB" w:rsidRDefault="00F87DCB" w:rsidP="00563DCB">
      <w:pPr>
        <w:spacing w:after="0" w:line="300" w:lineRule="exact"/>
        <w:ind w:firstLine="709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>Na niniejsze rozstrzygnięcie nadzorcze Miastu przysługuje skarga do Wojewódzkiego Sądu Administracyjnego w Warszawie w terminie 30 dni od daty doręczenia, wnoszona za pośrednictwem organu, który skarżone orzeczenie wydał.</w:t>
      </w:r>
    </w:p>
    <w:p w:rsidR="00BA7520" w:rsidRPr="00563DCB" w:rsidRDefault="00F87DCB" w:rsidP="00563DCB">
      <w:pPr>
        <w:spacing w:after="0" w:line="300" w:lineRule="exact"/>
        <w:ind w:firstLine="709"/>
        <w:jc w:val="both"/>
        <w:rPr>
          <w:rFonts w:cstheme="minorHAnsi"/>
          <w:sz w:val="24"/>
          <w:szCs w:val="24"/>
        </w:rPr>
      </w:pPr>
      <w:r w:rsidRPr="00563DCB">
        <w:rPr>
          <w:rFonts w:cstheme="minorHAnsi"/>
          <w:sz w:val="24"/>
          <w:szCs w:val="24"/>
        </w:rPr>
        <w:t>Informuję, że rozstrzyg</w:t>
      </w:r>
      <w:r w:rsidRPr="00563DCB">
        <w:rPr>
          <w:rFonts w:cstheme="minorHAnsi"/>
          <w:sz w:val="24"/>
          <w:szCs w:val="24"/>
        </w:rPr>
        <w:t>nięcie nadzorcze wstrzymuje wykonanie uchwały z mocy prawa, z dniem jego doręczenia.</w:t>
      </w:r>
    </w:p>
    <w:p w:rsidR="00BA7520" w:rsidRPr="00563DCB" w:rsidRDefault="00F87DCB" w:rsidP="00563DCB">
      <w:pPr>
        <w:spacing w:after="0" w:line="300" w:lineRule="exact"/>
        <w:ind w:firstLine="709"/>
        <w:jc w:val="both"/>
        <w:rPr>
          <w:rFonts w:cstheme="minorHAnsi"/>
          <w:sz w:val="24"/>
          <w:szCs w:val="24"/>
        </w:rPr>
      </w:pPr>
    </w:p>
    <w:p w:rsidR="00BA7520" w:rsidRDefault="00F87DCB" w:rsidP="00CA27B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BA7520" w:rsidRPr="00D549D6" w:rsidRDefault="00F87DCB" w:rsidP="00CA27B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CA27B2" w:rsidRPr="00D549D6" w:rsidRDefault="00F87DCB" w:rsidP="00CA27B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4587"/>
      </w:tblGrid>
      <w:tr w:rsidR="00DC5793" w:rsidTr="00D12980">
        <w:tc>
          <w:tcPr>
            <w:tcW w:w="4814" w:type="dxa"/>
            <w:shd w:val="clear" w:color="auto" w:fill="auto"/>
          </w:tcPr>
          <w:p w:rsidR="00BA7520" w:rsidRPr="00622CF2" w:rsidRDefault="00F87DCB" w:rsidP="00D12980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BA7520" w:rsidRPr="00622CF2" w:rsidRDefault="00F87DCB" w:rsidP="00D12980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622CF2">
              <w:rPr>
                <w:b w:val="0"/>
                <w:i/>
                <w:sz w:val="24"/>
              </w:rPr>
              <w:t>Konstanty Radziwiłł</w:t>
            </w:r>
          </w:p>
          <w:p w:rsidR="00BA7520" w:rsidRPr="00622CF2" w:rsidRDefault="00F87DCB" w:rsidP="00D12980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622CF2">
              <w:rPr>
                <w:b w:val="0"/>
                <w:i/>
                <w:sz w:val="24"/>
              </w:rPr>
              <w:t xml:space="preserve">Wojewoda Mazowiecki </w:t>
            </w:r>
          </w:p>
          <w:p w:rsidR="00BA7520" w:rsidRPr="00622CF2" w:rsidRDefault="00F87DCB" w:rsidP="00D12980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 w:rsidRPr="00622CF2">
              <w:rPr>
                <w:b w:val="0"/>
                <w:i/>
                <w:sz w:val="24"/>
              </w:rPr>
              <w:t>/podpisano elektronicznie/</w:t>
            </w:r>
          </w:p>
        </w:tc>
      </w:tr>
    </w:tbl>
    <w:p w:rsidR="00CA27B2" w:rsidRDefault="00F87DCB"/>
    <w:sectPr w:rsidR="00CA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93"/>
    <w:rsid w:val="00DC5793"/>
    <w:rsid w:val="00F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9DDF5-CA0F-4BAD-8E3F-E759C0B9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-list-value-uzasadnienie">
    <w:name w:val="info-list-value-uzasadnienie"/>
    <w:basedOn w:val="Domylnaczcionkaakapitu"/>
    <w:rsid w:val="00CA27B2"/>
  </w:style>
  <w:style w:type="paragraph" w:styleId="NormalnyWeb">
    <w:name w:val="Normal (Web)"/>
    <w:basedOn w:val="Normalny"/>
    <w:uiPriority w:val="99"/>
    <w:unhideWhenUsed/>
    <w:rsid w:val="00CA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A27B2"/>
  </w:style>
  <w:style w:type="character" w:customStyle="1" w:styleId="warheader">
    <w:name w:val="war_header"/>
    <w:basedOn w:val="Domylnaczcionkaakapitu"/>
    <w:rsid w:val="00CA27B2"/>
  </w:style>
  <w:style w:type="character" w:customStyle="1" w:styleId="Teksttreci4">
    <w:name w:val="Tekst treści (4)_"/>
    <w:link w:val="Teksttreci40"/>
    <w:locked/>
    <w:rsid w:val="00BA7520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A7520"/>
    <w:pPr>
      <w:widowControl w:val="0"/>
      <w:shd w:val="clear" w:color="auto" w:fill="FFFFFF"/>
      <w:spacing w:after="0" w:line="338" w:lineRule="exact"/>
      <w:ind w:firstLine="709"/>
      <w:jc w:val="both"/>
    </w:pPr>
    <w:rPr>
      <w:rFonts w:ascii="Calibri" w:hAnsi="Calibri"/>
      <w:b/>
      <w:sz w:val="28"/>
    </w:rPr>
  </w:style>
  <w:style w:type="paragraph" w:styleId="Tekstpodstawowy">
    <w:name w:val="Body Text"/>
    <w:basedOn w:val="Normalny"/>
    <w:link w:val="TekstpodstawowyZnak"/>
    <w:rsid w:val="00316C0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16C0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B34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8F7B9D"/>
  </w:style>
  <w:style w:type="character" w:customStyle="1" w:styleId="alb-s">
    <w:name w:val="a_lb-s"/>
    <w:basedOn w:val="Domylnaczcionkaakapitu"/>
    <w:rsid w:val="0074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Jadczyk-Sternicka</dc:creator>
  <cp:lastModifiedBy>Beata Darnowska</cp:lastModifiedBy>
  <cp:revision>2</cp:revision>
  <dcterms:created xsi:type="dcterms:W3CDTF">2021-01-05T09:35:00Z</dcterms:created>
  <dcterms:modified xsi:type="dcterms:W3CDTF">2021-01-05T09:35:00Z</dcterms:modified>
</cp:coreProperties>
</file>