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6"/>
        <w:gridCol w:w="1397"/>
        <w:gridCol w:w="2321"/>
        <w:gridCol w:w="6156"/>
        <w:gridCol w:w="3184"/>
      </w:tblGrid>
      <w:tr w:rsidR="00B04B29" w:rsidRPr="00F46380" w14:paraId="298C84E7" w14:textId="77777777" w:rsidTr="654B62F2">
        <w:trPr>
          <w:trHeight w:val="425"/>
        </w:trPr>
        <w:tc>
          <w:tcPr>
            <w:tcW w:w="784" w:type="dxa"/>
          </w:tcPr>
          <w:p w14:paraId="178BC78E" w14:textId="3FA9F517" w:rsidR="00B04B29" w:rsidRPr="00F46380" w:rsidRDefault="00B04B29" w:rsidP="000F12B9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Lp.</w:t>
            </w:r>
          </w:p>
        </w:tc>
        <w:tc>
          <w:tcPr>
            <w:tcW w:w="1087" w:type="dxa"/>
          </w:tcPr>
          <w:p w14:paraId="687355F2" w14:textId="3E857F06" w:rsidR="00B04B29" w:rsidRPr="00F46380" w:rsidRDefault="00B04B29" w:rsidP="00E8209D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Instytucja</w:t>
            </w:r>
          </w:p>
        </w:tc>
        <w:tc>
          <w:tcPr>
            <w:tcW w:w="2385" w:type="dxa"/>
          </w:tcPr>
          <w:p w14:paraId="4A7D16E8" w14:textId="54151516" w:rsidR="00B04B29" w:rsidRPr="00F46380" w:rsidRDefault="00B04B29" w:rsidP="00E8209D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Jednostka redakcyjna</w:t>
            </w:r>
          </w:p>
        </w:tc>
        <w:tc>
          <w:tcPr>
            <w:tcW w:w="6424" w:type="dxa"/>
          </w:tcPr>
          <w:p w14:paraId="2BB50A12" w14:textId="2432C35A" w:rsidR="00B04B29" w:rsidRPr="00F46380" w:rsidRDefault="00B04B29" w:rsidP="00E8209D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Treść uwagi</w:t>
            </w:r>
          </w:p>
        </w:tc>
        <w:tc>
          <w:tcPr>
            <w:tcW w:w="3314" w:type="dxa"/>
          </w:tcPr>
          <w:p w14:paraId="5B501041" w14:textId="1F71ECB4" w:rsidR="00B04B29" w:rsidRPr="00F46380" w:rsidRDefault="00B04B29" w:rsidP="00E8209D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Odniesienie</w:t>
            </w:r>
          </w:p>
        </w:tc>
      </w:tr>
      <w:tr w:rsidR="00580E8E" w:rsidRPr="00F46380" w14:paraId="22F15013" w14:textId="77777777" w:rsidTr="654B62F2">
        <w:trPr>
          <w:trHeight w:val="425"/>
        </w:trPr>
        <w:tc>
          <w:tcPr>
            <w:tcW w:w="784" w:type="dxa"/>
          </w:tcPr>
          <w:p w14:paraId="09809F57" w14:textId="560564BA" w:rsidR="00580E8E" w:rsidRPr="00F46380" w:rsidRDefault="00580E8E" w:rsidP="00580E8E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Theme="minorHAnsi" w:hAnsiTheme="minorHAnsi" w:cstheme="minorHAnsi"/>
              </w:rPr>
            </w:pPr>
          </w:p>
          <w:p w14:paraId="5283EF8A" w14:textId="77777777" w:rsidR="00580E8E" w:rsidRPr="00F46380" w:rsidRDefault="00580E8E" w:rsidP="000F12B9">
            <w:pPr>
              <w:rPr>
                <w:rFonts w:cstheme="minorHAnsi"/>
              </w:rPr>
            </w:pPr>
          </w:p>
          <w:p w14:paraId="7E80B7A4" w14:textId="266D8494" w:rsidR="00580E8E" w:rsidRPr="00F46380" w:rsidRDefault="00580E8E" w:rsidP="000F12B9">
            <w:pPr>
              <w:rPr>
                <w:rFonts w:cstheme="minorHAnsi"/>
              </w:rPr>
            </w:pPr>
          </w:p>
        </w:tc>
        <w:tc>
          <w:tcPr>
            <w:tcW w:w="1087" w:type="dxa"/>
          </w:tcPr>
          <w:p w14:paraId="2B12008C" w14:textId="67F4C8D8" w:rsidR="00580E8E" w:rsidRPr="00F46380" w:rsidRDefault="00580E8E" w:rsidP="00E8209D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KIGEIT</w:t>
            </w:r>
          </w:p>
        </w:tc>
        <w:tc>
          <w:tcPr>
            <w:tcW w:w="2385" w:type="dxa"/>
          </w:tcPr>
          <w:p w14:paraId="6CABB8F9" w14:textId="428623C2" w:rsidR="00580E8E" w:rsidRPr="00F46380" w:rsidRDefault="00580E8E" w:rsidP="00E8209D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Uwaga ogólna</w:t>
            </w:r>
          </w:p>
        </w:tc>
        <w:tc>
          <w:tcPr>
            <w:tcW w:w="6424" w:type="dxa"/>
          </w:tcPr>
          <w:p w14:paraId="1678279B" w14:textId="4F0548B6" w:rsidR="00580E8E" w:rsidRPr="00F46380" w:rsidRDefault="00580E8E" w:rsidP="00580E8E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W ocenie Izby proponowane zmiany zasługują na pełne poparcie. Brak jest bowiem podstaw, które uzasadniałyby stosowanie odmiennych obowiązków w porównywalnych okolicznościach, tj. wobec podmiotów  objętych jednym programem wsparcia. Pozwoli to na uniknięcie niedyskryminacji, a jednocześnie spełnienie</w:t>
            </w:r>
            <w:r w:rsidR="00511F64" w:rsidRPr="00F46380">
              <w:rPr>
                <w:rFonts w:cstheme="minorHAnsi"/>
              </w:rPr>
              <w:t xml:space="preserve"> </w:t>
            </w:r>
            <w:r w:rsidRPr="00F46380">
              <w:rPr>
                <w:rFonts w:cstheme="minorHAnsi"/>
              </w:rPr>
              <w:t xml:space="preserve">warunków wynikających z rozporządzenia GBER, które pozwala na stosowanie przepisów sprzed nowelizacji jedynie do 30 grudnia 2023 roku. Usunie także problemy praktyczne związane z dostępem do sieci zarówno po stronie ostatecznych odbiorców, czyli operatorów sieci dostępowych, jak również operatorów korzystających. </w:t>
            </w:r>
          </w:p>
          <w:p w14:paraId="2216CE04" w14:textId="7E0C1DE8" w:rsidR="00580E8E" w:rsidRPr="00F46380" w:rsidRDefault="00580E8E" w:rsidP="00580E8E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 xml:space="preserve">Z perspektywy operatorów korzystających, którzy świadczą usługi detaliczne na rzecz użytkowników końcowych, w tym konsumentów, pozostawienie zasad wynikających z obecnego stanu prawnego mogłoby prowadzić do problemów w określaniu zakresu obowiązków mających zastosowanie do poszczególnych </w:t>
            </w:r>
          </w:p>
          <w:p w14:paraId="38588772" w14:textId="31E45431" w:rsidR="00580E8E" w:rsidRPr="00F46380" w:rsidRDefault="00580E8E" w:rsidP="00580E8E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 xml:space="preserve">punktów adresowych objętych wsparciem. Jednocześnie prowadziłoby to do powstania ryzyka stosowania różnych metod określania cen przez tych samych ostatecznych odbiorców wsparcia. </w:t>
            </w:r>
          </w:p>
          <w:p w14:paraId="37510245" w14:textId="77777777" w:rsidR="00580E8E" w:rsidRPr="00F46380" w:rsidRDefault="00580E8E" w:rsidP="00580E8E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 xml:space="preserve">Dlatego proponowane rozwiązanie jest ze wszech miar zasadne. </w:t>
            </w:r>
          </w:p>
          <w:p w14:paraId="12E4188E" w14:textId="00E92B68" w:rsidR="00580E8E" w:rsidRPr="00F46380" w:rsidRDefault="00580E8E" w:rsidP="00511F64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Ma to kluczowe znaczenie z punktu widzenia kształtowania opłat hurtowych za dostęp do sieci finansowanych ze środków publicznych. Chociaż rozporządzenie Komisji (UE) nr 2023/1315 z</w:t>
            </w:r>
            <w:r w:rsidR="00F46380">
              <w:rPr>
                <w:rFonts w:cstheme="minorHAnsi"/>
              </w:rPr>
              <w:t> </w:t>
            </w:r>
            <w:r w:rsidRPr="00F46380">
              <w:rPr>
                <w:rFonts w:cstheme="minorHAnsi"/>
              </w:rPr>
              <w:t>dnia 23 czerwca 2023 r., które znowelizowało rozporządzenie GBER, przewiduje te same metody do określania cen dostępu hurtowego, to brak jest w nim hierarchicznego/sekwencyjnego podejścia co do wyboru właściwej metody. Tym samym Krajowa Izba Gospodarcza Elektroniki i Telekomunikacji zapewnia Prezesowi UKE większą elastyczność w doborze takich środków regulacyjnych, które w największym stopniu będą przyczyniać się do redukcji ryzyka monopolizacji obszarów objętych wsparciem.</w:t>
            </w:r>
          </w:p>
        </w:tc>
        <w:tc>
          <w:tcPr>
            <w:tcW w:w="3314" w:type="dxa"/>
          </w:tcPr>
          <w:p w14:paraId="538EA8DF" w14:textId="79FC2D78" w:rsidR="00580E8E" w:rsidRPr="00F46380" w:rsidRDefault="00580E8E" w:rsidP="00E8209D">
            <w:pPr>
              <w:rPr>
                <w:rFonts w:cstheme="minorHAnsi"/>
                <w:b/>
                <w:bCs/>
              </w:rPr>
            </w:pPr>
            <w:r w:rsidRPr="00F46380">
              <w:rPr>
                <w:rFonts w:cstheme="minorHAnsi"/>
                <w:b/>
                <w:bCs/>
              </w:rPr>
              <w:t>Stanowisko przyjęte do wiadomości</w:t>
            </w:r>
          </w:p>
        </w:tc>
      </w:tr>
      <w:tr w:rsidR="00580E8E" w:rsidRPr="00F46380" w14:paraId="2C8245EA" w14:textId="77777777" w:rsidTr="654B62F2">
        <w:trPr>
          <w:trHeight w:val="425"/>
        </w:trPr>
        <w:tc>
          <w:tcPr>
            <w:tcW w:w="784" w:type="dxa"/>
          </w:tcPr>
          <w:p w14:paraId="2817D518" w14:textId="77777777" w:rsidR="00580E8E" w:rsidRPr="00F46380" w:rsidRDefault="00580E8E" w:rsidP="00580E8E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87" w:type="dxa"/>
          </w:tcPr>
          <w:p w14:paraId="4F376ADE" w14:textId="04245814" w:rsidR="00580E8E" w:rsidRPr="00F46380" w:rsidRDefault="00A5446D" w:rsidP="00E8209D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Konfederacja</w:t>
            </w:r>
          </w:p>
          <w:p w14:paraId="0153AF51" w14:textId="320D4998" w:rsidR="00A5446D" w:rsidRPr="00F46380" w:rsidRDefault="00A5446D" w:rsidP="00E8209D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Lewiatan</w:t>
            </w:r>
          </w:p>
          <w:p w14:paraId="3556CC24" w14:textId="34056D1B" w:rsidR="00A5446D" w:rsidRPr="00F46380" w:rsidRDefault="00A5446D" w:rsidP="00E8209D">
            <w:pPr>
              <w:rPr>
                <w:rFonts w:cstheme="minorHAnsi"/>
              </w:rPr>
            </w:pPr>
          </w:p>
        </w:tc>
        <w:tc>
          <w:tcPr>
            <w:tcW w:w="2385" w:type="dxa"/>
          </w:tcPr>
          <w:p w14:paraId="5DE2536C" w14:textId="1DBC8E91" w:rsidR="00580E8E" w:rsidRPr="00F46380" w:rsidRDefault="008013B2" w:rsidP="00E8209D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Uwaga ogólna</w:t>
            </w:r>
          </w:p>
        </w:tc>
        <w:tc>
          <w:tcPr>
            <w:tcW w:w="6424" w:type="dxa"/>
          </w:tcPr>
          <w:p w14:paraId="5361AA21" w14:textId="31255943" w:rsidR="008013B2" w:rsidRPr="00F46380" w:rsidRDefault="008013B2" w:rsidP="008013B2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Zgodnie z uzasadnieniem proponowane zmiany mają na celu zrównanie sytuacji prawnej wszystkich ostatecznych odbiorców uzyskujących wsparcie w ramach inwestycji C1.1.1 KPO na budowę sieci dostępu do szybkiego internetu w białych plamach, w zakresie zasad zapewnienia dostępu hurtowego do tych sieci, bez względu na moment zawarcia przez nich umowy o objęcie przedsięwzięcia wsparciem. (…)</w:t>
            </w:r>
          </w:p>
          <w:p w14:paraId="7FA1F0E8" w14:textId="77777777" w:rsidR="008013B2" w:rsidRPr="00F46380" w:rsidRDefault="008013B2" w:rsidP="008013B2">
            <w:pPr>
              <w:rPr>
                <w:rFonts w:cstheme="minorHAnsi"/>
              </w:rPr>
            </w:pPr>
          </w:p>
          <w:p w14:paraId="404BB9C0" w14:textId="64C89FA9" w:rsidR="008013B2" w:rsidRPr="00F46380" w:rsidRDefault="008013B2" w:rsidP="008013B2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 xml:space="preserve">Sytuację prawną, w której podmioty uczestniczące w tym samym programie wsparcia, zobowiązane są do stosowania odmiennych obowiązków w zakresie dostępu hurtowego, należy uznać za niepożądaną, zarówno ze strony odbiorców wsparcia, czyli operatorów sieci dostępowych, jak również podmiotów korzystających z tego dostępu i świadczących usługi użytkownikom końcowym. </w:t>
            </w:r>
          </w:p>
          <w:p w14:paraId="3421C408" w14:textId="77777777" w:rsidR="008013B2" w:rsidRPr="00F46380" w:rsidRDefault="008013B2" w:rsidP="008013B2">
            <w:pPr>
              <w:rPr>
                <w:rFonts w:cstheme="minorHAnsi"/>
              </w:rPr>
            </w:pPr>
          </w:p>
          <w:p w14:paraId="0E6A331D" w14:textId="7FA68E5D" w:rsidR="008013B2" w:rsidRPr="00F46380" w:rsidRDefault="008013B2" w:rsidP="008013B2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Mogłaby ona prowadzić do dyskryminujących warunków dla różnych odbiorców wsparcia, co jednocześnie stawiałoby pod znakiem zapytania zgodność przyznawanej pomocy publicznej z</w:t>
            </w:r>
            <w:r w:rsidR="00F46380">
              <w:rPr>
                <w:rFonts w:cstheme="minorHAnsi"/>
              </w:rPr>
              <w:t> </w:t>
            </w:r>
            <w:r w:rsidRPr="00F46380">
              <w:rPr>
                <w:rFonts w:cstheme="minorHAnsi"/>
              </w:rPr>
              <w:t>prawem unijnym. Ponadto, tego samego beneficjenta mogłyby obowiązywać różne zasady w stosunku do różnych obszarów konkursowych, co także byłoby sytuacją niewskazaną i</w:t>
            </w:r>
            <w:r w:rsidR="00F46380">
              <w:rPr>
                <w:rFonts w:cstheme="minorHAnsi"/>
              </w:rPr>
              <w:t> </w:t>
            </w:r>
            <w:r w:rsidRPr="00F46380">
              <w:rPr>
                <w:rFonts w:cstheme="minorHAnsi"/>
              </w:rPr>
              <w:t>utrudniającą współpracę hurtową. W naszej ocenie warunki hurtowe, jako jeden z istotnych elementów interwencji w</w:t>
            </w:r>
            <w:r w:rsidR="00F46380">
              <w:rPr>
                <w:rFonts w:cstheme="minorHAnsi"/>
              </w:rPr>
              <w:t> </w:t>
            </w:r>
            <w:r w:rsidRPr="00F46380">
              <w:rPr>
                <w:rFonts w:cstheme="minorHAnsi"/>
              </w:rPr>
              <w:t>obszarze sieci szerokopasmowych, powinny być jasne i</w:t>
            </w:r>
            <w:r w:rsidR="00F46380">
              <w:rPr>
                <w:rFonts w:cstheme="minorHAnsi"/>
              </w:rPr>
              <w:t> </w:t>
            </w:r>
            <w:r w:rsidRPr="00F46380">
              <w:rPr>
                <w:rFonts w:cstheme="minorHAnsi"/>
              </w:rPr>
              <w:t xml:space="preserve">precyzyjne, a przede wszystkim zmierzać do swojego podstawowego celu czyli zapewnienia efektywnego dostępu na niedyskryminujących dla beneficjentów warunkach.  </w:t>
            </w:r>
          </w:p>
          <w:p w14:paraId="1B378899" w14:textId="77777777" w:rsidR="008013B2" w:rsidRPr="00F46380" w:rsidRDefault="008013B2" w:rsidP="008013B2">
            <w:pPr>
              <w:rPr>
                <w:rFonts w:cstheme="minorHAnsi"/>
              </w:rPr>
            </w:pPr>
          </w:p>
          <w:p w14:paraId="4EA747FA" w14:textId="163F0A97" w:rsidR="00580E8E" w:rsidRPr="00F46380" w:rsidRDefault="008013B2" w:rsidP="008013B2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Poza powyższym, zauważamy, że sposób procedowania omawianej zmiany nie przyczynia się do zapewnienia pewności otoczenia prawnego. Planowane jest bowiem ich dokonanie z</w:t>
            </w:r>
            <w:r w:rsidR="00F46380">
              <w:rPr>
                <w:rFonts w:cstheme="minorHAnsi"/>
              </w:rPr>
              <w:t> </w:t>
            </w:r>
            <w:r w:rsidRPr="00F46380">
              <w:rPr>
                <w:rFonts w:cstheme="minorHAnsi"/>
              </w:rPr>
              <w:t xml:space="preserve">mocą wsteczną, wobec umów zawartych ok trzech miesięcy </w:t>
            </w:r>
            <w:r w:rsidRPr="00F46380">
              <w:rPr>
                <w:rFonts w:cstheme="minorHAnsi"/>
              </w:rPr>
              <w:lastRenderedPageBreak/>
              <w:t>wcześniej. Postulujemy, aby w ramach kolejnych naborów zapewnić stabilne otocznie naborów jeszcze przed ich ogłoszeniem bez konieczności dokonywania licznych modyfikacji w toku naboru, jak i po jego zakończeniu.</w:t>
            </w:r>
          </w:p>
        </w:tc>
        <w:tc>
          <w:tcPr>
            <w:tcW w:w="3314" w:type="dxa"/>
          </w:tcPr>
          <w:p w14:paraId="02811153" w14:textId="4D2C78A2" w:rsidR="00580E8E" w:rsidRPr="00F46380" w:rsidRDefault="008013B2" w:rsidP="00E8209D">
            <w:pPr>
              <w:rPr>
                <w:rFonts w:cstheme="minorHAnsi"/>
                <w:b/>
                <w:bCs/>
              </w:rPr>
            </w:pPr>
            <w:r w:rsidRPr="00F46380">
              <w:rPr>
                <w:rFonts w:cstheme="minorHAnsi"/>
                <w:b/>
                <w:bCs/>
              </w:rPr>
              <w:lastRenderedPageBreak/>
              <w:t>Stanowisko przyjęte do wiadomości</w:t>
            </w:r>
          </w:p>
        </w:tc>
      </w:tr>
      <w:tr w:rsidR="008013B2" w:rsidRPr="00F46380" w14:paraId="44764303" w14:textId="77777777" w:rsidTr="654B62F2">
        <w:trPr>
          <w:trHeight w:val="425"/>
        </w:trPr>
        <w:tc>
          <w:tcPr>
            <w:tcW w:w="784" w:type="dxa"/>
          </w:tcPr>
          <w:p w14:paraId="59CD5BCB" w14:textId="77777777" w:rsidR="008013B2" w:rsidRPr="00F46380" w:rsidRDefault="008013B2" w:rsidP="00580E8E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87" w:type="dxa"/>
          </w:tcPr>
          <w:p w14:paraId="36476DC3" w14:textId="14BF65D1" w:rsidR="008013B2" w:rsidRPr="00F46380" w:rsidRDefault="008013B2" w:rsidP="00E8209D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PIIT</w:t>
            </w:r>
          </w:p>
        </w:tc>
        <w:tc>
          <w:tcPr>
            <w:tcW w:w="2385" w:type="dxa"/>
          </w:tcPr>
          <w:p w14:paraId="6D4AA4B5" w14:textId="17895717" w:rsidR="008013B2" w:rsidRPr="00F46380" w:rsidRDefault="008013B2" w:rsidP="00E8209D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Uwaga ogólna</w:t>
            </w:r>
          </w:p>
        </w:tc>
        <w:tc>
          <w:tcPr>
            <w:tcW w:w="6424" w:type="dxa"/>
          </w:tcPr>
          <w:p w14:paraId="266281A1" w14:textId="6720DBB7" w:rsidR="008013B2" w:rsidRPr="00F46380" w:rsidRDefault="008013B2" w:rsidP="008013B2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 xml:space="preserve">Na wstępie zauważamy, że zupełnie niezrozumiały jest sposób prowadzenia prac legislacyjnych w zakresie przedmiotowej zmiany. Na etapie procedowania rozporządzenia nowelizowanego odnotowaliśmy stanowisko resortu wskazujące na zamiar wprowadzenia zmiany, którą opisuje aktualny projekt </w:t>
            </w:r>
          </w:p>
          <w:p w14:paraId="728FE2F1" w14:textId="2FDFEEAE" w:rsidR="008013B2" w:rsidRPr="00F46380" w:rsidRDefault="008013B2" w:rsidP="008013B2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rozporządzenia. Z niejasnych przyczyn zmiana taka nie została jednak wprowadzona w tekście opublikowanym w Dzienniku Ustaw. Sytuacja ta spowodowała, że beneficjenci podpisujący umowy w 2023 mieliby formalnie inny zestaw obowiązków dot. dostępu hurtowego, niż Ci podpisujący umowy w 2024 r. – mimo że do podpisania wszystkich umów doprowadziły jednakowe w</w:t>
            </w:r>
            <w:r w:rsidR="00F46380">
              <w:rPr>
                <w:rFonts w:cstheme="minorHAnsi"/>
              </w:rPr>
              <w:t> </w:t>
            </w:r>
            <w:r w:rsidRPr="00F46380">
              <w:rPr>
                <w:rFonts w:cstheme="minorHAnsi"/>
              </w:rPr>
              <w:t>tym zakresie warunki konkursów. Rozporządzenie nowelizujące ma spowodować, że zmiana zostanie wprowadzona do istniejących stanów prawnych ze skutkiem wstecznym, i to zapewne o niemal trzy miesiące. Tymczasem pewność warunków realizacji projektów ma kluczowe znaczenie dla podejmowanych decyzji inwestycyjnych. Liczymy, że takie zdarzenia nie będą miały miejsca w toku dalszych prac, a warstwa formalna konkursów zostanie stabilnie przygotowana jeszcze przed ich uruchomieniem. (…)</w:t>
            </w:r>
          </w:p>
          <w:p w14:paraId="268DBA63" w14:textId="77777777" w:rsidR="008013B2" w:rsidRPr="00F46380" w:rsidRDefault="008013B2" w:rsidP="008013B2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Zgodnie z uzasadnieniem zasadniczym celem projektowanego rozporządzenia jest zrównanie sytuacji prawnej wszystkich ostatecznych odbiorców uzyskujących wsparcie w ramach inwestycji C1.1.1 KPO w zakresie zasad zapewnienia dostępu hurtowego do tych sieci, bez względu na moment zawarcia przez nich umowy o objęcie przedsięwzięcia wsparciem. (…)</w:t>
            </w:r>
          </w:p>
          <w:p w14:paraId="157056E8" w14:textId="3628D21A" w:rsidR="008013B2" w:rsidRPr="00F46380" w:rsidRDefault="008013B2" w:rsidP="008013B2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W naszej ocenie - z perspektywy zarówno dysponentów sieci, jak i</w:t>
            </w:r>
            <w:r w:rsidR="00F46380">
              <w:rPr>
                <w:rFonts w:cstheme="minorHAnsi"/>
              </w:rPr>
              <w:t> </w:t>
            </w:r>
            <w:r w:rsidRPr="00F46380">
              <w:rPr>
                <w:rFonts w:cstheme="minorHAnsi"/>
              </w:rPr>
              <w:t xml:space="preserve">korzystających na zasadach hurtowych– kluczowe jest zapewnienie: niedyskryminujących warunków, przejrzystości </w:t>
            </w:r>
            <w:r w:rsidRPr="00F46380">
              <w:rPr>
                <w:rFonts w:cstheme="minorHAnsi"/>
              </w:rPr>
              <w:lastRenderedPageBreak/>
              <w:t xml:space="preserve">zasad, a także unikanie potencjalnych wątpliwości interpretacyjnych co do warunków i zasad kształtowania opłat za dostęp do sieci w poszczególnych punktach adresowych. Nie istnieją bowiem żadne obiektywne i racjonalne powody uzasadniające stosowanie odmiennych obowiązków wobec podmiotów objętych jednym programem wsparcia. Dotyczy to zarówno samego rozporządzenia, jak i pozostałych warunków dot. dostępu hurtowego. </w:t>
            </w:r>
          </w:p>
          <w:p w14:paraId="639DAFE9" w14:textId="5F37394D" w:rsidR="008013B2" w:rsidRPr="00F46380" w:rsidRDefault="008013B2" w:rsidP="008013B2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Stan taki jest również pożądany ze strony Operatorów Korzystających, którzy w oparciu o usługi hurtowe świadczone na zasadach określonych w rozporządzeniu GBER, świadczą usługi detaliczne na rzecz użytkowników końcowych, w tym konsumentów. Utrzymywanie stanu niejasności obowiązujących zasad może prowadzić do problemów w określaniu zakresu obowiązków mających zastosowanie do poszczególnych punktów adresowych objętych wsparciem. Jednocześnie prowadziłoby to do powstania ryzyka stosowania różnych metod określania cen przez tych samych ostatecznych odbiorców wsparcia.</w:t>
            </w:r>
          </w:p>
        </w:tc>
        <w:tc>
          <w:tcPr>
            <w:tcW w:w="3314" w:type="dxa"/>
          </w:tcPr>
          <w:p w14:paraId="337256BC" w14:textId="4804F079" w:rsidR="008013B2" w:rsidRPr="00F46380" w:rsidRDefault="008013B2" w:rsidP="00E8209D">
            <w:pPr>
              <w:rPr>
                <w:rFonts w:cstheme="minorHAnsi"/>
                <w:b/>
                <w:bCs/>
              </w:rPr>
            </w:pPr>
            <w:r w:rsidRPr="00F46380">
              <w:rPr>
                <w:rFonts w:cstheme="minorHAnsi"/>
                <w:b/>
                <w:bCs/>
              </w:rPr>
              <w:lastRenderedPageBreak/>
              <w:t>Stanowisko przyjęte do wiadomości</w:t>
            </w:r>
          </w:p>
        </w:tc>
      </w:tr>
      <w:tr w:rsidR="00FA70DB" w:rsidRPr="00F46380" w14:paraId="359CABB1" w14:textId="77777777" w:rsidTr="654B62F2">
        <w:trPr>
          <w:trHeight w:val="425"/>
        </w:trPr>
        <w:tc>
          <w:tcPr>
            <w:tcW w:w="784" w:type="dxa"/>
          </w:tcPr>
          <w:p w14:paraId="0AB0C4D9" w14:textId="50694BBE" w:rsidR="00FA70DB" w:rsidRPr="00F46380" w:rsidRDefault="00FA70DB" w:rsidP="008013B2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Theme="minorHAnsi" w:hAnsiTheme="minorHAnsi" w:cstheme="minorHAnsi"/>
              </w:rPr>
            </w:pPr>
          </w:p>
          <w:p w14:paraId="707778BC" w14:textId="77777777" w:rsidR="00FA70DB" w:rsidRPr="00F46380" w:rsidRDefault="00FA70DB" w:rsidP="000F12B9">
            <w:pPr>
              <w:rPr>
                <w:rFonts w:cstheme="minorHAnsi"/>
              </w:rPr>
            </w:pPr>
          </w:p>
          <w:p w14:paraId="51E36810" w14:textId="7ED946A1" w:rsidR="00FA70DB" w:rsidRPr="00F46380" w:rsidRDefault="00FA70DB" w:rsidP="000F12B9">
            <w:pPr>
              <w:rPr>
                <w:rFonts w:cstheme="minorHAnsi"/>
              </w:rPr>
            </w:pPr>
          </w:p>
        </w:tc>
        <w:tc>
          <w:tcPr>
            <w:tcW w:w="1087" w:type="dxa"/>
          </w:tcPr>
          <w:p w14:paraId="1C1C118B" w14:textId="3F49EDF7" w:rsidR="00FA70DB" w:rsidRPr="00F46380" w:rsidRDefault="003322AB" w:rsidP="00E8209D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ZTK</w:t>
            </w:r>
          </w:p>
        </w:tc>
        <w:tc>
          <w:tcPr>
            <w:tcW w:w="2385" w:type="dxa"/>
          </w:tcPr>
          <w:p w14:paraId="7BD9D244" w14:textId="62A1063D" w:rsidR="00FA70DB" w:rsidRPr="00F46380" w:rsidRDefault="003322AB" w:rsidP="00E8209D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OSR</w:t>
            </w:r>
            <w:r w:rsidR="00D6360F" w:rsidRPr="00F46380">
              <w:rPr>
                <w:rFonts w:cstheme="minorHAnsi"/>
              </w:rPr>
              <w:t xml:space="preserve"> w części „Informacje na temat zakresu, czasu trwania i podsumowanie wyników konsultacji”</w:t>
            </w:r>
          </w:p>
        </w:tc>
        <w:tc>
          <w:tcPr>
            <w:tcW w:w="6424" w:type="dxa"/>
          </w:tcPr>
          <w:p w14:paraId="4808275C" w14:textId="77777777" w:rsidR="003322AB" w:rsidRPr="00F46380" w:rsidRDefault="003322AB" w:rsidP="003322AB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a/ błędnie zaliczono w pkt. 2 na stronie 3 OSR Związek Telewizji Kablowych w Polsce Izba Gospodarcza do organizacji pracodawców w ujęciu art. 1 ust. 1 ustawy z dnia 23.05.1991 r. o organizacjach pracodawców (tekst jedn. Dz. U. z 2022 r. poz. 97), zwanej dalej ustawą o organizacjach pracodawców, w sytuacji gdy Związek Telewizji Kablowych w Polsce Izba Gospodarcza jest izbą gospodarczą w ujęciu art. 2 ustawy z dnia 30.05.1989 r. o izbach gospodarczych (tekst jedn. Dz. U. z  2019 r. poz. 579), zwanej dalej ustawą o izbach gospodarczych,</w:t>
            </w:r>
          </w:p>
          <w:p w14:paraId="7BDABD19" w14:textId="77777777" w:rsidR="003322AB" w:rsidRPr="00F46380" w:rsidRDefault="003322AB" w:rsidP="003322AB">
            <w:pPr>
              <w:rPr>
                <w:rFonts w:cstheme="minorHAnsi"/>
              </w:rPr>
            </w:pPr>
          </w:p>
          <w:p w14:paraId="11956FA1" w14:textId="77777777" w:rsidR="003322AB" w:rsidRPr="00F46380" w:rsidRDefault="003322AB" w:rsidP="003322AB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ab/>
              <w:t xml:space="preserve">b/ błędnie natomiast w pkt. 7 na stronie 2 OSR  zaliczono Polską Izbę Radiodyfuzji Cyfrowej do organizacji samorządu gospodarczego, w sytuacji gdy Polska Izba Radiodyfuzji Cyfrowej nie jest organizacją samorządu gospodarczego lecz jest organizacją pracodawców w ujęciu 1 ust. 1 ustawy o organizacjach </w:t>
            </w:r>
            <w:r w:rsidRPr="00F46380">
              <w:rPr>
                <w:rFonts w:cstheme="minorHAnsi"/>
              </w:rPr>
              <w:lastRenderedPageBreak/>
              <w:t>pracodawców, wobec czego winna była być umieszczona na stronie 3 OSR wśród organizacji pracodawców.</w:t>
            </w:r>
          </w:p>
          <w:p w14:paraId="2CE83D98" w14:textId="77777777" w:rsidR="003322AB" w:rsidRPr="00F46380" w:rsidRDefault="003322AB" w:rsidP="003322AB">
            <w:pPr>
              <w:rPr>
                <w:rFonts w:cstheme="minorHAnsi"/>
              </w:rPr>
            </w:pPr>
          </w:p>
          <w:p w14:paraId="648FBC58" w14:textId="06382925" w:rsidR="003322AB" w:rsidRPr="00F46380" w:rsidRDefault="003322AB" w:rsidP="003322AB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ab/>
              <w:t>Przedmiotowe informacje można było ustalić w oparciu o</w:t>
            </w:r>
            <w:r w:rsidR="00F46380">
              <w:rPr>
                <w:rFonts w:cstheme="minorHAnsi"/>
              </w:rPr>
              <w:t> </w:t>
            </w:r>
            <w:r w:rsidRPr="00F46380">
              <w:rPr>
                <w:rFonts w:cstheme="minorHAnsi"/>
              </w:rPr>
              <w:t>analizę wpisów dokonanych w Krajowym Rejestrze Sądowym- Rejestrze Stowarzyszeń, Innych Organizacji Społecznych i Zawodowych, Fundacji oraz Samodzielnych Publicznych Zakładów Opieki Zdrowotnej, w którego dziale pierwszym zamieszczono informację o formie prawnej wpisanego podmiotu [art. 38 pkt. 1 lit. b w zw. z art. 49 ust. 1 ustawy z dnia 20.08.1997 r. o Krajowym Rejestrze Sądowym (tekst jedn. Dz. U. z 2023 r. poz. 685 z późn. zm.), zwanej dalej ustawą o KRS].</w:t>
            </w:r>
          </w:p>
          <w:p w14:paraId="6E64738F" w14:textId="79396AC9" w:rsidR="00FA70DB" w:rsidRPr="00F46380" w:rsidRDefault="003322AB" w:rsidP="003322AB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Dla Związku Telewizji Kablowych w Polsce Izba Gospodarcza dane te znajdują się w dziale 1 rubryka 1 ust. 1 Krajowego Rejestru Sądowego nr 0000128771, a dla Polskiej Izby Radiodyfuzji Cyfrowej w dziale 1 rubryka 1 ust. 1 Krajowego Rejestru Sądowego nr 0000271396.</w:t>
            </w:r>
          </w:p>
        </w:tc>
        <w:tc>
          <w:tcPr>
            <w:tcW w:w="3314" w:type="dxa"/>
          </w:tcPr>
          <w:p w14:paraId="71B9EECE" w14:textId="5710F354" w:rsidR="00FA70DB" w:rsidRPr="00F46380" w:rsidRDefault="00B03916" w:rsidP="00E8209D">
            <w:pPr>
              <w:rPr>
                <w:rFonts w:cstheme="minorHAnsi"/>
                <w:b/>
              </w:rPr>
            </w:pPr>
            <w:r w:rsidRPr="00F46380">
              <w:rPr>
                <w:rFonts w:cstheme="minorHAnsi"/>
                <w:b/>
              </w:rPr>
              <w:lastRenderedPageBreak/>
              <w:t>Uwag</w:t>
            </w:r>
            <w:r w:rsidR="007350D1" w:rsidRPr="00F46380">
              <w:rPr>
                <w:rFonts w:cstheme="minorHAnsi"/>
                <w:b/>
              </w:rPr>
              <w:t>a</w:t>
            </w:r>
            <w:r w:rsidRPr="00F46380">
              <w:rPr>
                <w:rFonts w:cstheme="minorHAnsi"/>
                <w:b/>
              </w:rPr>
              <w:t xml:space="preserve"> uwzględniona</w:t>
            </w:r>
          </w:p>
          <w:p w14:paraId="736A3A18" w14:textId="77777777" w:rsidR="00B03916" w:rsidRPr="00F46380" w:rsidRDefault="00B03916" w:rsidP="00E8209D">
            <w:pPr>
              <w:rPr>
                <w:rFonts w:cstheme="minorHAnsi"/>
              </w:rPr>
            </w:pPr>
          </w:p>
          <w:p w14:paraId="1EB234B4" w14:textId="69EF8A39" w:rsidR="00B03916" w:rsidRPr="00F46380" w:rsidRDefault="00B03916" w:rsidP="00156EBF">
            <w:pPr>
              <w:rPr>
                <w:rFonts w:cstheme="minorHAnsi"/>
              </w:rPr>
            </w:pPr>
            <w:r w:rsidRPr="00F46380">
              <w:rPr>
                <w:rFonts w:cstheme="minorHAnsi"/>
              </w:rPr>
              <w:t>Po analizie</w:t>
            </w:r>
            <w:r w:rsidR="003322AB" w:rsidRPr="00F46380">
              <w:rPr>
                <w:rFonts w:cstheme="minorHAnsi"/>
              </w:rPr>
              <w:t xml:space="preserve"> uwagi</w:t>
            </w:r>
            <w:r w:rsidRPr="00F46380">
              <w:rPr>
                <w:rFonts w:cstheme="minorHAnsi"/>
              </w:rPr>
              <w:t xml:space="preserve">, </w:t>
            </w:r>
            <w:r w:rsidR="003322AB" w:rsidRPr="00F46380">
              <w:rPr>
                <w:rFonts w:cstheme="minorHAnsi"/>
              </w:rPr>
              <w:t>w OSR dokonano korekty zgodnej z</w:t>
            </w:r>
            <w:r w:rsidR="00F46380">
              <w:rPr>
                <w:rFonts w:cstheme="minorHAnsi"/>
              </w:rPr>
              <w:t> </w:t>
            </w:r>
            <w:r w:rsidR="003322AB" w:rsidRPr="00F46380">
              <w:rPr>
                <w:rFonts w:cstheme="minorHAnsi"/>
              </w:rPr>
              <w:t xml:space="preserve">aktualnymi wpisami </w:t>
            </w:r>
            <w:r w:rsidR="00D6360F" w:rsidRPr="00F46380">
              <w:rPr>
                <w:rFonts w:cstheme="minorHAnsi"/>
              </w:rPr>
              <w:t xml:space="preserve">ujawnionymi </w:t>
            </w:r>
            <w:r w:rsidR="003322AB" w:rsidRPr="00F46380">
              <w:rPr>
                <w:rFonts w:cstheme="minorHAnsi"/>
              </w:rPr>
              <w:t>w Krajowym Rejestrze Sądowym</w:t>
            </w:r>
            <w:r w:rsidR="00D6360F" w:rsidRPr="00F46380">
              <w:rPr>
                <w:rFonts w:cstheme="minorHAnsi"/>
              </w:rPr>
              <w:t xml:space="preserve">, </w:t>
            </w:r>
            <w:r w:rsidR="003322AB" w:rsidRPr="00F46380">
              <w:rPr>
                <w:rFonts w:cstheme="minorHAnsi"/>
              </w:rPr>
              <w:t xml:space="preserve">w wyniku czego Związek Telewizji Kablowych w Polsce Izba Gospodarcza został </w:t>
            </w:r>
            <w:r w:rsidR="002F689E" w:rsidRPr="00F46380">
              <w:rPr>
                <w:rFonts w:cstheme="minorHAnsi"/>
              </w:rPr>
              <w:t xml:space="preserve">w OSR </w:t>
            </w:r>
            <w:r w:rsidR="003322AB" w:rsidRPr="00F46380">
              <w:rPr>
                <w:rFonts w:cstheme="minorHAnsi"/>
              </w:rPr>
              <w:t>zakwalifikowany do izb gospodarczych, natomiast Polsk</w:t>
            </w:r>
            <w:r w:rsidR="00D6360F" w:rsidRPr="00F46380">
              <w:rPr>
                <w:rFonts w:cstheme="minorHAnsi"/>
              </w:rPr>
              <w:t>a</w:t>
            </w:r>
            <w:r w:rsidR="003322AB" w:rsidRPr="00F46380">
              <w:rPr>
                <w:rFonts w:cstheme="minorHAnsi"/>
              </w:rPr>
              <w:t xml:space="preserve"> Izb</w:t>
            </w:r>
            <w:r w:rsidR="00D6360F" w:rsidRPr="00F46380">
              <w:rPr>
                <w:rFonts w:cstheme="minorHAnsi"/>
              </w:rPr>
              <w:t>a</w:t>
            </w:r>
            <w:r w:rsidR="003322AB" w:rsidRPr="00F46380">
              <w:rPr>
                <w:rFonts w:cstheme="minorHAnsi"/>
              </w:rPr>
              <w:t xml:space="preserve"> Radiodyfuzji Cyfrowej została zakwalifikowana do organizacji pracodawców.</w:t>
            </w:r>
          </w:p>
        </w:tc>
      </w:tr>
    </w:tbl>
    <w:p w14:paraId="205655D4" w14:textId="3D8A5F57" w:rsidR="001B0E08" w:rsidRPr="00F46380" w:rsidRDefault="001B0E08" w:rsidP="00D45C28">
      <w:pPr>
        <w:ind w:left="567"/>
        <w:rPr>
          <w:rFonts w:cstheme="minorHAnsi"/>
        </w:rPr>
      </w:pPr>
    </w:p>
    <w:sectPr w:rsidR="001B0E08" w:rsidRPr="00F46380" w:rsidSect="00370D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EBC59" w14:textId="77777777" w:rsidR="00370DF4" w:rsidRDefault="00370DF4" w:rsidP="00C27301">
      <w:pPr>
        <w:spacing w:after="0" w:line="240" w:lineRule="auto"/>
      </w:pPr>
      <w:r>
        <w:separator/>
      </w:r>
    </w:p>
  </w:endnote>
  <w:endnote w:type="continuationSeparator" w:id="0">
    <w:p w14:paraId="40DF3CB2" w14:textId="77777777" w:rsidR="00370DF4" w:rsidRDefault="00370DF4" w:rsidP="00C27301">
      <w:pPr>
        <w:spacing w:after="0" w:line="240" w:lineRule="auto"/>
      </w:pPr>
      <w:r>
        <w:continuationSeparator/>
      </w:r>
    </w:p>
  </w:endnote>
  <w:endnote w:type="continuationNotice" w:id="1">
    <w:p w14:paraId="5A6A7F98" w14:textId="77777777" w:rsidR="00370DF4" w:rsidRDefault="00370D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F4630" w14:textId="77777777" w:rsidR="00152B5D" w:rsidRDefault="00152B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110901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DF2952F" w14:textId="13E6F092" w:rsidR="00504557" w:rsidRDefault="0050455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27D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27D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A83104" w14:textId="77777777" w:rsidR="00504557" w:rsidRDefault="005045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E0C92" w14:textId="77777777" w:rsidR="00152B5D" w:rsidRDefault="00152B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BF77F" w14:textId="77777777" w:rsidR="00370DF4" w:rsidRDefault="00370DF4" w:rsidP="00C27301">
      <w:pPr>
        <w:spacing w:after="0" w:line="240" w:lineRule="auto"/>
      </w:pPr>
      <w:r>
        <w:separator/>
      </w:r>
    </w:p>
  </w:footnote>
  <w:footnote w:type="continuationSeparator" w:id="0">
    <w:p w14:paraId="5CB1F5B7" w14:textId="77777777" w:rsidR="00370DF4" w:rsidRDefault="00370DF4" w:rsidP="00C27301">
      <w:pPr>
        <w:spacing w:after="0" w:line="240" w:lineRule="auto"/>
      </w:pPr>
      <w:r>
        <w:continuationSeparator/>
      </w:r>
    </w:p>
  </w:footnote>
  <w:footnote w:type="continuationNotice" w:id="1">
    <w:p w14:paraId="678248EA" w14:textId="77777777" w:rsidR="00370DF4" w:rsidRDefault="00370D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D0951" w14:textId="77777777" w:rsidR="00152B5D" w:rsidRDefault="00152B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DD3DB" w14:textId="5F9C8C1F" w:rsidR="00504557" w:rsidRDefault="00504557">
    <w:pPr>
      <w:pStyle w:val="Nagwek"/>
    </w:pPr>
    <w:r>
      <w:t xml:space="preserve">Tabela uwag zgłoszonych w ramach </w:t>
    </w:r>
    <w:r w:rsidR="007E1D0A">
      <w:t>konsultacji</w:t>
    </w:r>
    <w:r>
      <w:t xml:space="preserve"> projektu </w:t>
    </w:r>
    <w:r w:rsidR="00606A5A" w:rsidRPr="002E42B1">
      <w:rPr>
        <w:rFonts w:cstheme="minorHAnsi"/>
      </w:rPr>
      <w:t>rozporządzenia</w:t>
    </w:r>
    <w:r w:rsidR="009E53F6">
      <w:rPr>
        <w:rFonts w:cstheme="minorHAnsi"/>
      </w:rPr>
      <w:t xml:space="preserve"> </w:t>
    </w:r>
    <w:r w:rsidR="00152B5D">
      <w:rPr>
        <w:rFonts w:cstheme="minorHAnsi"/>
      </w:rPr>
      <w:t xml:space="preserve">Ministra Cyfryzacji </w:t>
    </w:r>
    <w:r w:rsidR="003322AB" w:rsidRPr="003322AB">
      <w:rPr>
        <w:rFonts w:cstheme="minorHAnsi"/>
      </w:rPr>
      <w:t>w sprawie zmiany rozporządzenia zmieniającego rozporządzenie w sprawie udzielania pomocy na rozwój infrastruktury szerokopasmowej w ramach Krajowego Planu Odbudowy i Zwiększania Odporności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F980C" w14:textId="77777777" w:rsidR="00152B5D" w:rsidRDefault="00152B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C0C0A"/>
    <w:multiLevelType w:val="hybridMultilevel"/>
    <w:tmpl w:val="3E18A6E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0421AC"/>
    <w:multiLevelType w:val="hybridMultilevel"/>
    <w:tmpl w:val="FDD8F27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726A6B"/>
    <w:multiLevelType w:val="hybridMultilevel"/>
    <w:tmpl w:val="913E7B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47195"/>
    <w:multiLevelType w:val="hybridMultilevel"/>
    <w:tmpl w:val="B3461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A6A9F"/>
    <w:multiLevelType w:val="hybridMultilevel"/>
    <w:tmpl w:val="6670514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5292F9C"/>
    <w:multiLevelType w:val="hybridMultilevel"/>
    <w:tmpl w:val="D330871E"/>
    <w:lvl w:ilvl="0" w:tplc="2C9488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652C1"/>
    <w:multiLevelType w:val="hybridMultilevel"/>
    <w:tmpl w:val="DA520FA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AAF7017"/>
    <w:multiLevelType w:val="hybridMultilevel"/>
    <w:tmpl w:val="CA92CBB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4C55A3E"/>
    <w:multiLevelType w:val="hybridMultilevel"/>
    <w:tmpl w:val="25ACA778"/>
    <w:lvl w:ilvl="0" w:tplc="66EC0A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C72ADE"/>
    <w:multiLevelType w:val="hybridMultilevel"/>
    <w:tmpl w:val="925EA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A0831"/>
    <w:multiLevelType w:val="hybridMultilevel"/>
    <w:tmpl w:val="C8A63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162A7E"/>
    <w:multiLevelType w:val="hybridMultilevel"/>
    <w:tmpl w:val="913E7B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3C4D73"/>
    <w:multiLevelType w:val="hybridMultilevel"/>
    <w:tmpl w:val="3CF87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4520544">
    <w:abstractNumId w:val="5"/>
  </w:num>
  <w:num w:numId="2" w16cid:durableId="1929535794">
    <w:abstractNumId w:val="9"/>
  </w:num>
  <w:num w:numId="3" w16cid:durableId="1436099325">
    <w:abstractNumId w:val="10"/>
  </w:num>
  <w:num w:numId="4" w16cid:durableId="1611006342">
    <w:abstractNumId w:val="8"/>
  </w:num>
  <w:num w:numId="5" w16cid:durableId="1750540100">
    <w:abstractNumId w:val="7"/>
  </w:num>
  <w:num w:numId="6" w16cid:durableId="1373383778">
    <w:abstractNumId w:val="0"/>
  </w:num>
  <w:num w:numId="7" w16cid:durableId="1590233039">
    <w:abstractNumId w:val="4"/>
  </w:num>
  <w:num w:numId="8" w16cid:durableId="879823639">
    <w:abstractNumId w:val="1"/>
  </w:num>
  <w:num w:numId="9" w16cid:durableId="1514497264">
    <w:abstractNumId w:val="6"/>
  </w:num>
  <w:num w:numId="10" w16cid:durableId="2068528220">
    <w:abstractNumId w:val="2"/>
  </w:num>
  <w:num w:numId="11" w16cid:durableId="626550400">
    <w:abstractNumId w:val="11"/>
  </w:num>
  <w:num w:numId="12" w16cid:durableId="1523132095">
    <w:abstractNumId w:val="12"/>
  </w:num>
  <w:num w:numId="13" w16cid:durableId="21272378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07B"/>
    <w:rsid w:val="000118C9"/>
    <w:rsid w:val="00037C15"/>
    <w:rsid w:val="000704E9"/>
    <w:rsid w:val="00081348"/>
    <w:rsid w:val="000865BB"/>
    <w:rsid w:val="00097F65"/>
    <w:rsid w:val="000C40DF"/>
    <w:rsid w:val="000C49E9"/>
    <w:rsid w:val="000D0566"/>
    <w:rsid w:val="000E1E65"/>
    <w:rsid w:val="000F12B9"/>
    <w:rsid w:val="001459AA"/>
    <w:rsid w:val="00152B5D"/>
    <w:rsid w:val="00156EBF"/>
    <w:rsid w:val="00170829"/>
    <w:rsid w:val="001A2137"/>
    <w:rsid w:val="001B0E08"/>
    <w:rsid w:val="001B39ED"/>
    <w:rsid w:val="001B6A6C"/>
    <w:rsid w:val="001E6847"/>
    <w:rsid w:val="001F71A8"/>
    <w:rsid w:val="00207DE1"/>
    <w:rsid w:val="00216012"/>
    <w:rsid w:val="002306AD"/>
    <w:rsid w:val="00263E15"/>
    <w:rsid w:val="00274F7D"/>
    <w:rsid w:val="002A3D9D"/>
    <w:rsid w:val="002B03A9"/>
    <w:rsid w:val="002D004A"/>
    <w:rsid w:val="002D2110"/>
    <w:rsid w:val="002D65F7"/>
    <w:rsid w:val="002E54AF"/>
    <w:rsid w:val="002F2908"/>
    <w:rsid w:val="002F689E"/>
    <w:rsid w:val="003322AB"/>
    <w:rsid w:val="0034025C"/>
    <w:rsid w:val="0034307F"/>
    <w:rsid w:val="00352418"/>
    <w:rsid w:val="00364E2E"/>
    <w:rsid w:val="00367F22"/>
    <w:rsid w:val="00370DF4"/>
    <w:rsid w:val="0037396A"/>
    <w:rsid w:val="00377131"/>
    <w:rsid w:val="003817F9"/>
    <w:rsid w:val="0038393A"/>
    <w:rsid w:val="003B712B"/>
    <w:rsid w:val="003E2918"/>
    <w:rsid w:val="003F4DC3"/>
    <w:rsid w:val="004061FD"/>
    <w:rsid w:val="00407F6E"/>
    <w:rsid w:val="00410E9E"/>
    <w:rsid w:val="0042240D"/>
    <w:rsid w:val="00432C25"/>
    <w:rsid w:val="00450D00"/>
    <w:rsid w:val="004A431E"/>
    <w:rsid w:val="004B7BFD"/>
    <w:rsid w:val="004C1399"/>
    <w:rsid w:val="004D105D"/>
    <w:rsid w:val="004D19D6"/>
    <w:rsid w:val="004D1B83"/>
    <w:rsid w:val="004D4A28"/>
    <w:rsid w:val="004E053B"/>
    <w:rsid w:val="004E2BC7"/>
    <w:rsid w:val="00504557"/>
    <w:rsid w:val="00511F64"/>
    <w:rsid w:val="00527D80"/>
    <w:rsid w:val="005436B0"/>
    <w:rsid w:val="0056489A"/>
    <w:rsid w:val="00571A02"/>
    <w:rsid w:val="00573FFE"/>
    <w:rsid w:val="00576EAA"/>
    <w:rsid w:val="005776A8"/>
    <w:rsid w:val="00580E8E"/>
    <w:rsid w:val="005B3924"/>
    <w:rsid w:val="005B44BC"/>
    <w:rsid w:val="005C323B"/>
    <w:rsid w:val="005C726E"/>
    <w:rsid w:val="005E0B4A"/>
    <w:rsid w:val="005E1601"/>
    <w:rsid w:val="005E7728"/>
    <w:rsid w:val="006001A7"/>
    <w:rsid w:val="00601913"/>
    <w:rsid w:val="00606A5A"/>
    <w:rsid w:val="00624A53"/>
    <w:rsid w:val="006265DF"/>
    <w:rsid w:val="0063689A"/>
    <w:rsid w:val="006507BE"/>
    <w:rsid w:val="0065391B"/>
    <w:rsid w:val="006558A6"/>
    <w:rsid w:val="00656291"/>
    <w:rsid w:val="00677C3C"/>
    <w:rsid w:val="006D4058"/>
    <w:rsid w:val="006F34FA"/>
    <w:rsid w:val="006F35E3"/>
    <w:rsid w:val="006F773B"/>
    <w:rsid w:val="00704421"/>
    <w:rsid w:val="0070498A"/>
    <w:rsid w:val="00711A7F"/>
    <w:rsid w:val="00716271"/>
    <w:rsid w:val="007350D1"/>
    <w:rsid w:val="0074653E"/>
    <w:rsid w:val="00776291"/>
    <w:rsid w:val="007878F5"/>
    <w:rsid w:val="00797F9D"/>
    <w:rsid w:val="007B3B28"/>
    <w:rsid w:val="007B6071"/>
    <w:rsid w:val="007C1518"/>
    <w:rsid w:val="007E1D0A"/>
    <w:rsid w:val="007E25C4"/>
    <w:rsid w:val="007E27DB"/>
    <w:rsid w:val="008013B2"/>
    <w:rsid w:val="0082107B"/>
    <w:rsid w:val="00823E57"/>
    <w:rsid w:val="0083756D"/>
    <w:rsid w:val="00863FAD"/>
    <w:rsid w:val="00867EF1"/>
    <w:rsid w:val="00875C61"/>
    <w:rsid w:val="00891C27"/>
    <w:rsid w:val="008A4897"/>
    <w:rsid w:val="008B7D55"/>
    <w:rsid w:val="008E4381"/>
    <w:rsid w:val="008E5E8F"/>
    <w:rsid w:val="008F10DE"/>
    <w:rsid w:val="008F2809"/>
    <w:rsid w:val="008F7238"/>
    <w:rsid w:val="00920467"/>
    <w:rsid w:val="00923CC7"/>
    <w:rsid w:val="00937913"/>
    <w:rsid w:val="00941CFE"/>
    <w:rsid w:val="009423D4"/>
    <w:rsid w:val="009501DB"/>
    <w:rsid w:val="009541A2"/>
    <w:rsid w:val="00964356"/>
    <w:rsid w:val="00964ADE"/>
    <w:rsid w:val="0096508A"/>
    <w:rsid w:val="00966CDD"/>
    <w:rsid w:val="00967BFB"/>
    <w:rsid w:val="00995206"/>
    <w:rsid w:val="009A3B40"/>
    <w:rsid w:val="009A7ECF"/>
    <w:rsid w:val="009B3293"/>
    <w:rsid w:val="009B38DB"/>
    <w:rsid w:val="009E21AF"/>
    <w:rsid w:val="009E53F6"/>
    <w:rsid w:val="00A175BA"/>
    <w:rsid w:val="00A35188"/>
    <w:rsid w:val="00A369F9"/>
    <w:rsid w:val="00A461DF"/>
    <w:rsid w:val="00A50180"/>
    <w:rsid w:val="00A512D7"/>
    <w:rsid w:val="00A5446D"/>
    <w:rsid w:val="00A830EC"/>
    <w:rsid w:val="00A939D7"/>
    <w:rsid w:val="00AB0F68"/>
    <w:rsid w:val="00AB2846"/>
    <w:rsid w:val="00AD2FB3"/>
    <w:rsid w:val="00AE3323"/>
    <w:rsid w:val="00AF5537"/>
    <w:rsid w:val="00B01A5C"/>
    <w:rsid w:val="00B03916"/>
    <w:rsid w:val="00B04B29"/>
    <w:rsid w:val="00B05394"/>
    <w:rsid w:val="00B05BDB"/>
    <w:rsid w:val="00B37782"/>
    <w:rsid w:val="00B517C5"/>
    <w:rsid w:val="00B83344"/>
    <w:rsid w:val="00BA5088"/>
    <w:rsid w:val="00BC09FF"/>
    <w:rsid w:val="00BD5827"/>
    <w:rsid w:val="00BE431F"/>
    <w:rsid w:val="00BE72B1"/>
    <w:rsid w:val="00C27301"/>
    <w:rsid w:val="00C30588"/>
    <w:rsid w:val="00C404F1"/>
    <w:rsid w:val="00C624BA"/>
    <w:rsid w:val="00C808D8"/>
    <w:rsid w:val="00CB4A6B"/>
    <w:rsid w:val="00CB6E20"/>
    <w:rsid w:val="00CB795F"/>
    <w:rsid w:val="00CC0700"/>
    <w:rsid w:val="00CC2E57"/>
    <w:rsid w:val="00CD2E49"/>
    <w:rsid w:val="00CD678A"/>
    <w:rsid w:val="00CE3EDD"/>
    <w:rsid w:val="00D0190D"/>
    <w:rsid w:val="00D27898"/>
    <w:rsid w:val="00D306F5"/>
    <w:rsid w:val="00D33C2B"/>
    <w:rsid w:val="00D45C28"/>
    <w:rsid w:val="00D469E2"/>
    <w:rsid w:val="00D51B7C"/>
    <w:rsid w:val="00D6360F"/>
    <w:rsid w:val="00D65D15"/>
    <w:rsid w:val="00D7702A"/>
    <w:rsid w:val="00D83172"/>
    <w:rsid w:val="00D9780E"/>
    <w:rsid w:val="00D97947"/>
    <w:rsid w:val="00DA2888"/>
    <w:rsid w:val="00DB18BC"/>
    <w:rsid w:val="00DC6FFF"/>
    <w:rsid w:val="00DE7F6F"/>
    <w:rsid w:val="00DF7C44"/>
    <w:rsid w:val="00E16259"/>
    <w:rsid w:val="00E31381"/>
    <w:rsid w:val="00E366FB"/>
    <w:rsid w:val="00E4068B"/>
    <w:rsid w:val="00E546F1"/>
    <w:rsid w:val="00E77B73"/>
    <w:rsid w:val="00E817A8"/>
    <w:rsid w:val="00E8209D"/>
    <w:rsid w:val="00E842F7"/>
    <w:rsid w:val="00E85458"/>
    <w:rsid w:val="00EB22BE"/>
    <w:rsid w:val="00EC67DB"/>
    <w:rsid w:val="00ED27F5"/>
    <w:rsid w:val="00ED2BAF"/>
    <w:rsid w:val="00EE4E16"/>
    <w:rsid w:val="00EF7453"/>
    <w:rsid w:val="00EF7DB3"/>
    <w:rsid w:val="00F13355"/>
    <w:rsid w:val="00F35B43"/>
    <w:rsid w:val="00F433ED"/>
    <w:rsid w:val="00F46380"/>
    <w:rsid w:val="00FA70DB"/>
    <w:rsid w:val="00FB6A70"/>
    <w:rsid w:val="00FC2913"/>
    <w:rsid w:val="00FC3DB7"/>
    <w:rsid w:val="00FD3790"/>
    <w:rsid w:val="00FF75C7"/>
    <w:rsid w:val="16E072C4"/>
    <w:rsid w:val="1FECE98F"/>
    <w:rsid w:val="202CA07C"/>
    <w:rsid w:val="2E5EDCE2"/>
    <w:rsid w:val="3755B295"/>
    <w:rsid w:val="413793B8"/>
    <w:rsid w:val="481C49FC"/>
    <w:rsid w:val="49D56722"/>
    <w:rsid w:val="522E599B"/>
    <w:rsid w:val="654B62F2"/>
    <w:rsid w:val="6B5CAC57"/>
    <w:rsid w:val="6EC2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8FAB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9FF"/>
  </w:style>
  <w:style w:type="paragraph" w:styleId="Nagwek1">
    <w:name w:val="heading 1"/>
    <w:basedOn w:val="Normalny"/>
    <w:next w:val="Normalny"/>
    <w:link w:val="Nagwek1Znak"/>
    <w:qFormat/>
    <w:rsid w:val="005C323B"/>
    <w:pPr>
      <w:keepNext/>
      <w:spacing w:after="0" w:line="240" w:lineRule="auto"/>
      <w:jc w:val="both"/>
      <w:outlineLvl w:val="0"/>
    </w:pPr>
    <w:rPr>
      <w:rFonts w:eastAsia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autoRedefine/>
    <w:qFormat/>
    <w:rsid w:val="001E6847"/>
    <w:pPr>
      <w:keepNext/>
      <w:spacing w:after="0" w:line="240" w:lineRule="auto"/>
      <w:jc w:val="center"/>
      <w:outlineLvl w:val="1"/>
    </w:pPr>
    <w:rPr>
      <w:rFonts w:eastAsia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323B"/>
    <w:rPr>
      <w:rFonts w:eastAsia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E6847"/>
    <w:rPr>
      <w:rFonts w:eastAsia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821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2107B"/>
    <w:pPr>
      <w:spacing w:line="252" w:lineRule="auto"/>
      <w:ind w:left="720"/>
      <w:contextualSpacing/>
    </w:pPr>
    <w:rPr>
      <w:rFonts w:ascii="Calibri" w:hAnsi="Calibri" w:cs="Calibri"/>
    </w:rPr>
  </w:style>
  <w:style w:type="paragraph" w:customStyle="1" w:styleId="ZROZDZODDZOZNzmoznrozdzoddzartykuempunktem">
    <w:name w:val="Z/ROZDZ(ODDZ)_OZN – zm. ozn. rozdz. (oddz.) artykułem (punktem)"/>
    <w:next w:val="Normalny"/>
    <w:uiPriority w:val="29"/>
    <w:qFormat/>
    <w:rsid w:val="0082107B"/>
    <w:pPr>
      <w:keepNext/>
      <w:suppressAutoHyphens/>
      <w:spacing w:after="0" w:line="360" w:lineRule="auto"/>
      <w:ind w:left="510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82107B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2107B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82107B"/>
  </w:style>
  <w:style w:type="paragraph" w:customStyle="1" w:styleId="ZLITzmlitartykuempunktem">
    <w:name w:val="Z/LIT – zm. lit. artykułem (punktem)"/>
    <w:basedOn w:val="Normalny"/>
    <w:uiPriority w:val="32"/>
    <w:qFormat/>
    <w:rsid w:val="0082107B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9423D4"/>
    <w:rPr>
      <w:b w:val="0"/>
      <w:i w:val="0"/>
      <w:vanish w:val="0"/>
      <w:spacing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367F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67F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67F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7F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7F2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F2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301"/>
  </w:style>
  <w:style w:type="paragraph" w:styleId="Stopka">
    <w:name w:val="footer"/>
    <w:basedOn w:val="Normalny"/>
    <w:link w:val="StopkaZnak"/>
    <w:uiPriority w:val="99"/>
    <w:unhideWhenUsed/>
    <w:rsid w:val="00C27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30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77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77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772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E1601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7D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7D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7DE1"/>
    <w:rPr>
      <w:vertAlign w:val="superscript"/>
    </w:rPr>
  </w:style>
  <w:style w:type="paragraph" w:styleId="Poprawka">
    <w:name w:val="Revision"/>
    <w:hidden/>
    <w:uiPriority w:val="99"/>
    <w:semiHidden/>
    <w:rsid w:val="004E05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20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4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4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C58E7ED7D5FC42891179C030573E1E" ma:contentTypeVersion="6" ma:contentTypeDescription="Utwórz nowy dokument." ma:contentTypeScope="" ma:versionID="f2830368545cb974484c7230e940e644">
  <xsd:schema xmlns:xsd="http://www.w3.org/2001/XMLSchema" xmlns:xs="http://www.w3.org/2001/XMLSchema" xmlns:p="http://schemas.microsoft.com/office/2006/metadata/properties" xmlns:ns2="8ec367dd-d5af-4f47-bdf8-5556732963d4" xmlns:ns3="0bf41241-5b92-4058-8568-013744b84d7f" targetNamespace="http://schemas.microsoft.com/office/2006/metadata/properties" ma:root="true" ma:fieldsID="78d53edaa35e8bbcd26750432d20f92b" ns2:_="" ns3:_="">
    <xsd:import namespace="8ec367dd-d5af-4f47-bdf8-5556732963d4"/>
    <xsd:import namespace="0bf41241-5b92-4058-8568-013744b84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367dd-d5af-4f47-bdf8-5556732963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41241-5b92-4058-8568-013744b84d7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bf41241-5b92-4058-8568-013744b84d7f">
      <UserInfo>
        <DisplayName>Cieszyński Janusz</DisplayName>
        <AccountId>38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EEC717-5A55-4DC1-BE26-0677F989FC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c367dd-d5af-4f47-bdf8-5556732963d4"/>
    <ds:schemaRef ds:uri="0bf41241-5b92-4058-8568-013744b84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9CE83E-8513-47DE-9634-F5F23FFF7F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DB01AE-5C0D-4F84-92B7-9C56E2F40A56}">
  <ds:schemaRefs>
    <ds:schemaRef ds:uri="http://schemas.microsoft.com/office/2006/metadata/properties"/>
    <ds:schemaRef ds:uri="http://schemas.microsoft.com/office/infopath/2007/PartnerControls"/>
    <ds:schemaRef ds:uri="0bf41241-5b92-4058-8568-013744b84d7f"/>
  </ds:schemaRefs>
</ds:datastoreItem>
</file>

<file path=customXml/itemProps4.xml><?xml version="1.0" encoding="utf-8"?>
<ds:datastoreItem xmlns:ds="http://schemas.openxmlformats.org/officeDocument/2006/customXml" ds:itemID="{05392D6C-70A3-48D4-A1CE-AD6C90A15B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1245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2024-03-18T12:15:00Z</dcterms:created>
  <dcterms:modified xsi:type="dcterms:W3CDTF">2024-03-24T19:52:00Z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0x010100D2C58E7ED7D5FC42891179C030573E1E</vt:lpwstr>
  </property>
</Properties>
</file>