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F5BD9" w14:textId="7259E1AC" w:rsidR="00986570" w:rsidRPr="004F2491" w:rsidRDefault="004F2491" w:rsidP="004F2491">
      <w:pPr>
        <w:spacing w:after="0" w:line="360" w:lineRule="auto"/>
        <w:jc w:val="center"/>
        <w:rPr>
          <w:rFonts w:ascii="Times New Roman" w:hAnsi="Times New Roman" w:cs="Times New Roman"/>
          <w:b/>
          <w:bCs/>
          <w:color w:val="000000" w:themeColor="text1"/>
          <w:kern w:val="0"/>
          <w:sz w:val="24"/>
          <w:szCs w:val="24"/>
        </w:rPr>
      </w:pPr>
      <w:r w:rsidRPr="004F2491">
        <w:rPr>
          <w:rFonts w:ascii="Times New Roman" w:hAnsi="Times New Roman" w:cs="Times New Roman"/>
          <w:b/>
          <w:bCs/>
          <w:kern w:val="0"/>
          <w:sz w:val="24"/>
          <w:szCs w:val="24"/>
          <w14:ligatures w14:val="none"/>
        </w:rPr>
        <w:t xml:space="preserve">Opinia </w:t>
      </w:r>
      <w:r w:rsidR="00D13CEE" w:rsidRPr="00D13CEE">
        <w:rPr>
          <w:rFonts w:ascii="Times New Roman" w:hAnsi="Times New Roman" w:cs="Times New Roman"/>
          <w:b/>
          <w:bCs/>
          <w:kern w:val="0"/>
          <w:sz w:val="24"/>
          <w:szCs w:val="24"/>
          <w14:ligatures w14:val="none"/>
        </w:rPr>
        <w:t xml:space="preserve">Komisji Kodyfikacyjnej Prawa Karnego </w:t>
      </w:r>
      <w:r w:rsidRPr="004F2491">
        <w:rPr>
          <w:rFonts w:ascii="Times New Roman" w:hAnsi="Times New Roman" w:cs="Times New Roman"/>
          <w:b/>
          <w:bCs/>
          <w:kern w:val="0"/>
          <w:sz w:val="24"/>
          <w:szCs w:val="24"/>
          <w14:ligatures w14:val="none"/>
        </w:rPr>
        <w:t>dotycząc</w:t>
      </w:r>
      <w:r>
        <w:rPr>
          <w:rFonts w:ascii="Times New Roman" w:hAnsi="Times New Roman" w:cs="Times New Roman"/>
          <w:b/>
          <w:bCs/>
          <w:kern w:val="0"/>
          <w:sz w:val="24"/>
          <w:szCs w:val="24"/>
          <w14:ligatures w14:val="none"/>
        </w:rPr>
        <w:t>a</w:t>
      </w:r>
      <w:r w:rsidRPr="004F2491">
        <w:rPr>
          <w:rFonts w:ascii="Times New Roman" w:hAnsi="Times New Roman" w:cs="Times New Roman"/>
          <w:b/>
          <w:bCs/>
          <w:kern w:val="0"/>
          <w:sz w:val="24"/>
          <w:szCs w:val="24"/>
          <w14:ligatures w14:val="none"/>
        </w:rPr>
        <w:t xml:space="preserve"> propozycji Ministerstwa Sprawiedliwości w zakresie wprowadzeni</w:t>
      </w:r>
      <w:r>
        <w:rPr>
          <w:rFonts w:ascii="Times New Roman" w:hAnsi="Times New Roman" w:cs="Times New Roman"/>
          <w:b/>
          <w:bCs/>
          <w:kern w:val="0"/>
          <w:sz w:val="24"/>
          <w:szCs w:val="24"/>
          <w14:ligatures w14:val="none"/>
        </w:rPr>
        <w:t>a</w:t>
      </w:r>
      <w:r w:rsidRPr="004F2491">
        <w:rPr>
          <w:rFonts w:ascii="Times New Roman" w:hAnsi="Times New Roman" w:cs="Times New Roman"/>
          <w:b/>
          <w:bCs/>
          <w:kern w:val="0"/>
          <w:sz w:val="24"/>
          <w:szCs w:val="24"/>
          <w14:ligatures w14:val="none"/>
        </w:rPr>
        <w:t xml:space="preserve"> art. </w:t>
      </w:r>
      <w:r w:rsidRPr="004F2491">
        <w:rPr>
          <w:rFonts w:ascii="Times New Roman" w:hAnsi="Times New Roman" w:cs="Times New Roman"/>
          <w:b/>
          <w:bCs/>
          <w:color w:val="000000" w:themeColor="text1"/>
          <w:sz w:val="24"/>
          <w:szCs w:val="24"/>
        </w:rPr>
        <w:t xml:space="preserve">611f¹ </w:t>
      </w:r>
      <w:r w:rsidRPr="004F2491">
        <w:rPr>
          <w:rFonts w:ascii="Times New Roman" w:hAnsi="Times New Roman" w:cs="Times New Roman"/>
          <w:b/>
          <w:bCs/>
          <w:kern w:val="0"/>
          <w:sz w:val="24"/>
          <w:szCs w:val="24"/>
          <w14:ligatures w14:val="none"/>
        </w:rPr>
        <w:t xml:space="preserve">k.p.k. w związku ratyfikacją </w:t>
      </w:r>
      <w:r w:rsidRPr="004F2491">
        <w:rPr>
          <w:rStyle w:val="Pogrubienie"/>
          <w:rFonts w:ascii="Times New Roman" w:eastAsiaTheme="majorEastAsia" w:hAnsi="Times New Roman" w:cs="Times New Roman"/>
          <w:bCs w:val="0"/>
          <w:color w:val="000000" w:themeColor="text1"/>
          <w:sz w:val="24"/>
          <w:szCs w:val="24"/>
        </w:rPr>
        <w:t>Protokołu między Rzecząpospolitą Polską a Ukrainą o zmianie Umowy między Rzecząpospolitą Polską a Ukrainą o pomocy prawnej i stosunkach prawnych w sprawach cywilnych i karnych z dnia 24 maja 1993 r., podpisanego w Warszawie dnia 19 września 2023 r.</w:t>
      </w:r>
      <w:r w:rsidR="00605A8D">
        <w:rPr>
          <w:rStyle w:val="Pogrubienie"/>
          <w:rFonts w:ascii="Times New Roman" w:eastAsiaTheme="majorEastAsia" w:hAnsi="Times New Roman" w:cs="Times New Roman"/>
          <w:b w:val="0"/>
          <w:bCs w:val="0"/>
          <w:color w:val="000000" w:themeColor="text1"/>
          <w:sz w:val="24"/>
          <w:szCs w:val="24"/>
        </w:rPr>
        <w:t xml:space="preserve"> </w:t>
      </w:r>
    </w:p>
    <w:p w14:paraId="66193FF3" w14:textId="77777777" w:rsidR="00986570" w:rsidRPr="004F2491" w:rsidRDefault="00986570" w:rsidP="00C13928">
      <w:pPr>
        <w:spacing w:after="0" w:line="360" w:lineRule="auto"/>
        <w:ind w:firstLine="709"/>
        <w:jc w:val="both"/>
        <w:rPr>
          <w:rFonts w:ascii="Times New Roman" w:hAnsi="Times New Roman" w:cs="Times New Roman"/>
          <w:b/>
          <w:bCs/>
          <w:color w:val="000000" w:themeColor="text1"/>
          <w:kern w:val="0"/>
          <w:sz w:val="24"/>
          <w:szCs w:val="24"/>
        </w:rPr>
      </w:pPr>
    </w:p>
    <w:p w14:paraId="2D7495BE" w14:textId="0CB781AE" w:rsidR="00986570" w:rsidRPr="004F2491" w:rsidRDefault="005B5FD3" w:rsidP="00C13928">
      <w:pPr>
        <w:pStyle w:val="NormalnyWeb"/>
        <w:shd w:val="clear" w:color="auto" w:fill="FFFFFF"/>
        <w:spacing w:before="0" w:beforeAutospacing="0" w:after="0" w:afterAutospacing="0" w:line="360" w:lineRule="auto"/>
        <w:ind w:firstLine="709"/>
        <w:jc w:val="both"/>
        <w:rPr>
          <w:bCs/>
          <w:color w:val="000000" w:themeColor="text1"/>
        </w:rPr>
      </w:pPr>
      <w:r w:rsidRPr="004F2491">
        <w:rPr>
          <w:rStyle w:val="Pogrubienie"/>
          <w:rFonts w:eastAsiaTheme="majorEastAsia"/>
          <w:bCs w:val="0"/>
          <w:color w:val="000000" w:themeColor="text1"/>
        </w:rPr>
        <w:t>1.</w:t>
      </w:r>
      <w:r w:rsidRPr="004F2491">
        <w:rPr>
          <w:rStyle w:val="Pogrubienie"/>
          <w:rFonts w:eastAsiaTheme="majorEastAsia"/>
          <w:b w:val="0"/>
          <w:bCs w:val="0"/>
          <w:color w:val="000000" w:themeColor="text1"/>
        </w:rPr>
        <w:t xml:space="preserve"> </w:t>
      </w:r>
      <w:r w:rsidR="00986570" w:rsidRPr="004F2491">
        <w:rPr>
          <w:rStyle w:val="Pogrubienie"/>
          <w:rFonts w:eastAsiaTheme="majorEastAsia"/>
          <w:b w:val="0"/>
          <w:bCs w:val="0"/>
          <w:color w:val="000000" w:themeColor="text1"/>
        </w:rPr>
        <w:t xml:space="preserve">Ustawa z </w:t>
      </w:r>
      <w:r w:rsidR="00AE2B43">
        <w:rPr>
          <w:rStyle w:val="Pogrubienie"/>
          <w:rFonts w:eastAsiaTheme="majorEastAsia"/>
          <w:b w:val="0"/>
          <w:bCs w:val="0"/>
          <w:color w:val="000000" w:themeColor="text1"/>
        </w:rPr>
        <w:t xml:space="preserve">dnia </w:t>
      </w:r>
      <w:r w:rsidR="00986570" w:rsidRPr="004F2491">
        <w:rPr>
          <w:rStyle w:val="Pogrubienie"/>
          <w:rFonts w:eastAsiaTheme="majorEastAsia"/>
          <w:b w:val="0"/>
          <w:bCs w:val="0"/>
          <w:color w:val="000000" w:themeColor="text1"/>
        </w:rPr>
        <w:t>12</w:t>
      </w:r>
      <w:r w:rsidR="00AE2B43">
        <w:rPr>
          <w:rStyle w:val="Pogrubienie"/>
          <w:rFonts w:eastAsiaTheme="majorEastAsia"/>
          <w:b w:val="0"/>
          <w:bCs w:val="0"/>
          <w:color w:val="000000" w:themeColor="text1"/>
        </w:rPr>
        <w:t xml:space="preserve"> kwietnia </w:t>
      </w:r>
      <w:r w:rsidR="00986570" w:rsidRPr="004F2491">
        <w:rPr>
          <w:rStyle w:val="Pogrubienie"/>
          <w:rFonts w:eastAsiaTheme="majorEastAsia"/>
          <w:b w:val="0"/>
          <w:bCs w:val="0"/>
          <w:color w:val="000000" w:themeColor="text1"/>
        </w:rPr>
        <w:t>2024 r. o ratyfikacji Protokołu między Rzecząpospolitą Polską a Ukrainą o zmianie Umowy między Rzecząpospolitą Polską a Ukrainą o pomocy prawnej i stosunkach prawnych w sprawach cywilnych i karnych z dnia 24 maja 1993 r., podpisanego w Warszawie dnia 19 września 2023 r.</w:t>
      </w:r>
      <w:r w:rsidR="00986570" w:rsidRPr="004F2491">
        <w:rPr>
          <w:color w:val="000000" w:themeColor="text1"/>
        </w:rPr>
        <w:t> </w:t>
      </w:r>
      <w:r w:rsidR="00E701D0">
        <w:rPr>
          <w:color w:val="000000" w:themeColor="text1"/>
        </w:rPr>
        <w:t>–</w:t>
      </w:r>
      <w:r w:rsidR="00E701D0" w:rsidRPr="004F2491">
        <w:rPr>
          <w:color w:val="000000" w:themeColor="text1"/>
        </w:rPr>
        <w:t xml:space="preserve"> </w:t>
      </w:r>
      <w:r w:rsidR="00986570" w:rsidRPr="004F2491">
        <w:rPr>
          <w:color w:val="000000" w:themeColor="text1"/>
        </w:rPr>
        <w:t xml:space="preserve">weszła w życie </w:t>
      </w:r>
      <w:r w:rsidR="00E701D0">
        <w:rPr>
          <w:color w:val="000000" w:themeColor="text1"/>
        </w:rPr>
        <w:t xml:space="preserve">w dniu </w:t>
      </w:r>
      <w:r w:rsidR="00986570" w:rsidRPr="004F2491">
        <w:rPr>
          <w:color w:val="000000" w:themeColor="text1"/>
        </w:rPr>
        <w:t>11 maja 2024 r.</w:t>
      </w:r>
      <w:r w:rsidR="00620646" w:rsidRPr="004F2491">
        <w:rPr>
          <w:rStyle w:val="Odwoanieprzypisudolnego"/>
          <w:color w:val="000000" w:themeColor="text1"/>
        </w:rPr>
        <w:footnoteReference w:id="1"/>
      </w:r>
      <w:r w:rsidR="00620646" w:rsidRPr="004F2491">
        <w:rPr>
          <w:color w:val="000000" w:themeColor="text1"/>
        </w:rPr>
        <w:t xml:space="preserve">. </w:t>
      </w:r>
      <w:r w:rsidR="00A15BEB" w:rsidRPr="004F2491">
        <w:rPr>
          <w:bCs/>
          <w:color w:val="000000" w:themeColor="text1"/>
        </w:rPr>
        <w:t>Powstaje zatem pytanie</w:t>
      </w:r>
      <w:r w:rsidR="00E701D0">
        <w:rPr>
          <w:bCs/>
          <w:color w:val="000000" w:themeColor="text1"/>
        </w:rPr>
        <w:t>,</w:t>
      </w:r>
      <w:r w:rsidR="00A15BEB" w:rsidRPr="004F2491">
        <w:rPr>
          <w:bCs/>
          <w:color w:val="000000" w:themeColor="text1"/>
        </w:rPr>
        <w:t xml:space="preserve"> czy konieczna jest nowelizacja </w:t>
      </w:r>
      <w:r w:rsidR="00442ED2">
        <w:rPr>
          <w:bCs/>
          <w:color w:val="000000" w:themeColor="text1"/>
        </w:rPr>
        <w:t>Kodeksu postępowania karnego</w:t>
      </w:r>
      <w:r w:rsidR="00A15BEB" w:rsidRPr="004F2491">
        <w:rPr>
          <w:bCs/>
          <w:color w:val="000000" w:themeColor="text1"/>
        </w:rPr>
        <w:t xml:space="preserve"> w r</w:t>
      </w:r>
      <w:r w:rsidR="00A37213" w:rsidRPr="004F2491">
        <w:rPr>
          <w:bCs/>
          <w:color w:val="000000" w:themeColor="text1"/>
        </w:rPr>
        <w:t xml:space="preserve">amach implementacji Protokołu oraz o jej </w:t>
      </w:r>
      <w:r w:rsidR="00E701D0" w:rsidRPr="004F2491">
        <w:rPr>
          <w:bCs/>
          <w:color w:val="000000" w:themeColor="text1"/>
        </w:rPr>
        <w:t xml:space="preserve">ewentualny </w:t>
      </w:r>
      <w:r w:rsidR="00A37213" w:rsidRPr="004F2491">
        <w:rPr>
          <w:bCs/>
          <w:color w:val="000000" w:themeColor="text1"/>
        </w:rPr>
        <w:t>zakres przedmiotowy.</w:t>
      </w:r>
    </w:p>
    <w:p w14:paraId="692E8B97" w14:textId="4FF6E85F" w:rsidR="00986570" w:rsidRPr="004F2491" w:rsidRDefault="00986570" w:rsidP="00C13928">
      <w:pPr>
        <w:spacing w:after="0" w:line="360" w:lineRule="auto"/>
        <w:ind w:firstLine="709"/>
        <w:jc w:val="both"/>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 xml:space="preserve">Protokół wprowadza bezpośredni tryb przekazywania wniosków o przejęcie i przekazanie do wykonania orzeczeń skazujących na kary nieizolacyjne między polskimi sądami a właściwymi organami ukraińskimi. </w:t>
      </w:r>
    </w:p>
    <w:p w14:paraId="39AE09A8" w14:textId="76F6AD93" w:rsidR="00986570" w:rsidRPr="004F2491" w:rsidRDefault="00986570" w:rsidP="00C13928">
      <w:pPr>
        <w:spacing w:after="0" w:line="360" w:lineRule="auto"/>
        <w:ind w:firstLine="709"/>
        <w:jc w:val="both"/>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 xml:space="preserve">Obrót prawny w zakresie przekazywania kar obecnie odbywa się za pośrednictwem </w:t>
      </w:r>
      <w:r w:rsidR="00FF7D88" w:rsidRPr="004F2491">
        <w:rPr>
          <w:rFonts w:ascii="Times New Roman" w:hAnsi="Times New Roman" w:cs="Times New Roman"/>
          <w:color w:val="000000" w:themeColor="text1"/>
          <w:sz w:val="24"/>
          <w:szCs w:val="24"/>
        </w:rPr>
        <w:t>resortu</w:t>
      </w:r>
      <w:r w:rsidRPr="004F2491">
        <w:rPr>
          <w:rFonts w:ascii="Times New Roman" w:hAnsi="Times New Roman" w:cs="Times New Roman"/>
          <w:color w:val="000000" w:themeColor="text1"/>
          <w:sz w:val="24"/>
          <w:szCs w:val="24"/>
        </w:rPr>
        <w:t xml:space="preserve"> sprawiedliwości. Oznacza to, że do Ministra Sprawiedliwości należy ostateczna decyzja</w:t>
      </w:r>
      <w:r w:rsidR="00B34AFF">
        <w:rPr>
          <w:rFonts w:ascii="Times New Roman" w:hAnsi="Times New Roman" w:cs="Times New Roman"/>
          <w:color w:val="000000" w:themeColor="text1"/>
          <w:sz w:val="24"/>
          <w:szCs w:val="24"/>
        </w:rPr>
        <w:t>,</w:t>
      </w:r>
      <w:r w:rsidRPr="004F2491">
        <w:rPr>
          <w:rFonts w:ascii="Times New Roman" w:hAnsi="Times New Roman" w:cs="Times New Roman"/>
          <w:color w:val="000000" w:themeColor="text1"/>
          <w:sz w:val="24"/>
          <w:szCs w:val="24"/>
        </w:rPr>
        <w:t xml:space="preserve"> czy przejąć karę z Ukrainy lub przekazać ją </w:t>
      </w:r>
      <w:r w:rsidR="00DC374F" w:rsidRPr="004F2491">
        <w:rPr>
          <w:rFonts w:ascii="Times New Roman" w:hAnsi="Times New Roman" w:cs="Times New Roman"/>
          <w:color w:val="000000" w:themeColor="text1"/>
          <w:sz w:val="24"/>
          <w:szCs w:val="24"/>
        </w:rPr>
        <w:t>do</w:t>
      </w:r>
      <w:r w:rsidRPr="004F2491">
        <w:rPr>
          <w:rFonts w:ascii="Times New Roman" w:hAnsi="Times New Roman" w:cs="Times New Roman"/>
          <w:color w:val="000000" w:themeColor="text1"/>
          <w:sz w:val="24"/>
          <w:szCs w:val="24"/>
        </w:rPr>
        <w:t xml:space="preserve"> Ukrain</w:t>
      </w:r>
      <w:r w:rsidR="00DC374F" w:rsidRPr="004F2491">
        <w:rPr>
          <w:rFonts w:ascii="Times New Roman" w:hAnsi="Times New Roman" w:cs="Times New Roman"/>
          <w:color w:val="000000" w:themeColor="text1"/>
          <w:sz w:val="24"/>
          <w:szCs w:val="24"/>
        </w:rPr>
        <w:t>y</w:t>
      </w:r>
      <w:r w:rsidRPr="004F2491">
        <w:rPr>
          <w:rFonts w:ascii="Times New Roman" w:hAnsi="Times New Roman" w:cs="Times New Roman"/>
          <w:color w:val="000000" w:themeColor="text1"/>
          <w:sz w:val="24"/>
          <w:szCs w:val="24"/>
        </w:rPr>
        <w:t xml:space="preserve"> do wykonania. Z uwagi na skalę obrotu z Ukrainą i liczbę potencjalnie podlegających przekazaniu tam nowych kar nieizolacyjnych konieczne było zawarcie w znowelizowanej Umowie postanowienia przewidującego częściową decentralizację obrotu. Przejmowanie i przekazywanie do wykonania orzeczeń o karach nieizolacyjnych i kosztach procesu zostało powierzone organom wskazanym przez Ministra Sprawiedliwości (po </w:t>
      </w:r>
      <w:r w:rsidR="00B34AFF">
        <w:rPr>
          <w:rFonts w:ascii="Times New Roman" w:hAnsi="Times New Roman" w:cs="Times New Roman"/>
          <w:color w:val="000000" w:themeColor="text1"/>
          <w:sz w:val="24"/>
          <w:szCs w:val="24"/>
        </w:rPr>
        <w:t>s</w:t>
      </w:r>
      <w:r w:rsidRPr="004F2491">
        <w:rPr>
          <w:rFonts w:ascii="Times New Roman" w:hAnsi="Times New Roman" w:cs="Times New Roman"/>
          <w:color w:val="000000" w:themeColor="text1"/>
          <w:sz w:val="24"/>
          <w:szCs w:val="24"/>
        </w:rPr>
        <w:t>tronie polskiej będą to sądy), o ile Minister Sprawiedliwości nie przejmie konkretnej sprawy do własnego rozstrzygnięcia (art. 82 ust. 2</w:t>
      </w:r>
      <w:r w:rsidR="00AB6BB5" w:rsidRPr="004F2491">
        <w:rPr>
          <w:rFonts w:ascii="Times New Roman" w:hAnsi="Times New Roman" w:cs="Times New Roman"/>
          <w:color w:val="000000" w:themeColor="text1"/>
          <w:sz w:val="24"/>
          <w:szCs w:val="24"/>
        </w:rPr>
        <w:t xml:space="preserve"> Umowy</w:t>
      </w:r>
      <w:r w:rsidRPr="004F2491">
        <w:rPr>
          <w:rFonts w:ascii="Times New Roman" w:hAnsi="Times New Roman" w:cs="Times New Roman"/>
          <w:color w:val="000000" w:themeColor="text1"/>
          <w:sz w:val="24"/>
          <w:szCs w:val="24"/>
        </w:rPr>
        <w:t>).</w:t>
      </w:r>
    </w:p>
    <w:p w14:paraId="2CDC81DE" w14:textId="3329C2A7" w:rsidR="00986570" w:rsidRPr="004F2491" w:rsidRDefault="005B5FD3" w:rsidP="00C13928">
      <w:pPr>
        <w:spacing w:after="0" w:line="360" w:lineRule="auto"/>
        <w:ind w:firstLine="709"/>
        <w:jc w:val="both"/>
        <w:rPr>
          <w:rFonts w:ascii="Times New Roman" w:hAnsi="Times New Roman" w:cs="Times New Roman"/>
          <w:color w:val="000000" w:themeColor="text1"/>
          <w:sz w:val="24"/>
          <w:szCs w:val="24"/>
        </w:rPr>
      </w:pPr>
      <w:r w:rsidRPr="004F2491">
        <w:rPr>
          <w:rFonts w:ascii="Times New Roman" w:hAnsi="Times New Roman" w:cs="Times New Roman"/>
          <w:b/>
          <w:bCs/>
          <w:color w:val="000000" w:themeColor="text1"/>
          <w:sz w:val="24"/>
          <w:szCs w:val="24"/>
        </w:rPr>
        <w:t xml:space="preserve">2. </w:t>
      </w:r>
      <w:r w:rsidR="00986570" w:rsidRPr="004F2491">
        <w:rPr>
          <w:rFonts w:ascii="Times New Roman" w:hAnsi="Times New Roman" w:cs="Times New Roman"/>
          <w:bCs/>
          <w:color w:val="000000" w:themeColor="text1"/>
          <w:sz w:val="24"/>
          <w:szCs w:val="24"/>
        </w:rPr>
        <w:t xml:space="preserve">Ministerstwo Sprawiedliwości zaproponowało, aby </w:t>
      </w:r>
      <w:r w:rsidR="00724948" w:rsidRPr="004F2491">
        <w:rPr>
          <w:rFonts w:ascii="Times New Roman" w:hAnsi="Times New Roman" w:cs="Times New Roman"/>
          <w:bCs/>
          <w:color w:val="000000" w:themeColor="text1"/>
          <w:sz w:val="24"/>
          <w:szCs w:val="24"/>
        </w:rPr>
        <w:t>po art. 611f k.p.k. dodać</w:t>
      </w:r>
      <w:r w:rsidR="004331C2" w:rsidRPr="004F2491">
        <w:rPr>
          <w:rFonts w:ascii="Times New Roman" w:hAnsi="Times New Roman" w:cs="Times New Roman"/>
          <w:bCs/>
          <w:color w:val="000000" w:themeColor="text1"/>
          <w:sz w:val="24"/>
          <w:szCs w:val="24"/>
        </w:rPr>
        <w:t xml:space="preserve"> art. 611f¹, w następującym brzemieniu:</w:t>
      </w:r>
    </w:p>
    <w:p w14:paraId="706A3CF9" w14:textId="77777777" w:rsidR="00B34AFF" w:rsidRPr="006C40F2" w:rsidRDefault="00986570" w:rsidP="006C40F2">
      <w:pPr>
        <w:spacing w:after="0" w:line="360" w:lineRule="auto"/>
        <w:ind w:left="426" w:right="425" w:firstLine="709"/>
        <w:jc w:val="both"/>
        <w:rPr>
          <w:rFonts w:ascii="Times New Roman" w:hAnsi="Times New Roman" w:cs="Times New Roman"/>
          <w:i/>
          <w:iCs/>
          <w:color w:val="000000" w:themeColor="text1"/>
          <w:sz w:val="24"/>
          <w:szCs w:val="24"/>
        </w:rPr>
      </w:pPr>
      <w:r w:rsidRPr="00B34AFF">
        <w:rPr>
          <w:rFonts w:ascii="Times New Roman" w:hAnsi="Times New Roman" w:cs="Times New Roman"/>
          <w:color w:val="000000" w:themeColor="text1"/>
          <w:sz w:val="24"/>
          <w:szCs w:val="24"/>
        </w:rPr>
        <w:t>„</w:t>
      </w:r>
      <w:r w:rsidRPr="006C40F2">
        <w:rPr>
          <w:rFonts w:ascii="Times New Roman" w:hAnsi="Times New Roman" w:cs="Times New Roman"/>
          <w:i/>
          <w:iCs/>
          <w:color w:val="000000" w:themeColor="text1"/>
          <w:sz w:val="24"/>
          <w:szCs w:val="24"/>
        </w:rPr>
        <w:t>Art. 611f</w:t>
      </w:r>
      <w:r w:rsidR="00724948" w:rsidRPr="006C40F2">
        <w:rPr>
          <w:rFonts w:ascii="Times New Roman" w:hAnsi="Times New Roman" w:cs="Times New Roman"/>
          <w:i/>
          <w:iCs/>
          <w:color w:val="000000" w:themeColor="text1"/>
          <w:sz w:val="24"/>
          <w:szCs w:val="24"/>
        </w:rPr>
        <w:t>¹</w:t>
      </w:r>
      <w:r w:rsidRPr="006C40F2">
        <w:rPr>
          <w:rFonts w:ascii="Times New Roman" w:hAnsi="Times New Roman" w:cs="Times New Roman"/>
          <w:i/>
          <w:iCs/>
          <w:color w:val="000000" w:themeColor="text1"/>
          <w:sz w:val="24"/>
          <w:szCs w:val="24"/>
        </w:rPr>
        <w:t xml:space="preserve"> § 1. Jeżeli umowa międzynarodowa, której Rzeczypospolita Polska jest stroną przewiduje bezpośrednie przekazywanie wniosków o przejęcie i przekazanie orzeczeń do wykonania między polskimi sądami a właściwymi organami państwa obcego:</w:t>
      </w:r>
    </w:p>
    <w:p w14:paraId="646FA556" w14:textId="364948E1" w:rsidR="00B34AFF" w:rsidRPr="006C40F2" w:rsidRDefault="00986570" w:rsidP="006C40F2">
      <w:pPr>
        <w:spacing w:after="0" w:line="360" w:lineRule="auto"/>
        <w:ind w:left="426" w:right="425"/>
        <w:jc w:val="both"/>
        <w:rPr>
          <w:rFonts w:ascii="Times New Roman" w:hAnsi="Times New Roman" w:cs="Times New Roman"/>
          <w:i/>
          <w:iCs/>
          <w:color w:val="000000" w:themeColor="text1"/>
          <w:sz w:val="24"/>
          <w:szCs w:val="24"/>
        </w:rPr>
      </w:pPr>
      <w:r w:rsidRPr="006C40F2">
        <w:rPr>
          <w:rFonts w:ascii="Times New Roman" w:hAnsi="Times New Roman" w:cs="Times New Roman"/>
          <w:i/>
          <w:iCs/>
          <w:color w:val="000000" w:themeColor="text1"/>
          <w:sz w:val="24"/>
          <w:szCs w:val="24"/>
        </w:rPr>
        <w:lastRenderedPageBreak/>
        <w:t>1) przepisów niniejszego rozdziału o udziale Ministra Sprawiedliwości w przejmowaniu i przekazywaniu orzeczeń do wykonania nie stosuje się;</w:t>
      </w:r>
    </w:p>
    <w:p w14:paraId="0E317FFA" w14:textId="347DADF7" w:rsidR="00B34AFF" w:rsidRPr="006C40F2" w:rsidRDefault="00986570" w:rsidP="006C40F2">
      <w:pPr>
        <w:spacing w:after="0" w:line="360" w:lineRule="auto"/>
        <w:ind w:left="426" w:right="425"/>
        <w:jc w:val="both"/>
        <w:rPr>
          <w:rFonts w:ascii="Times New Roman" w:hAnsi="Times New Roman" w:cs="Times New Roman"/>
          <w:i/>
          <w:iCs/>
          <w:color w:val="000000" w:themeColor="text1"/>
          <w:sz w:val="24"/>
          <w:szCs w:val="24"/>
        </w:rPr>
      </w:pPr>
      <w:r w:rsidRPr="006C40F2">
        <w:rPr>
          <w:rFonts w:ascii="Times New Roman" w:hAnsi="Times New Roman" w:cs="Times New Roman"/>
          <w:i/>
          <w:iCs/>
          <w:color w:val="000000" w:themeColor="text1"/>
          <w:sz w:val="24"/>
          <w:szCs w:val="24"/>
        </w:rPr>
        <w:t>2) postępowanie w przedmiocie dopuszczalności przejęcia lub przekazania można wszcząć z urzędu;</w:t>
      </w:r>
    </w:p>
    <w:p w14:paraId="68ECC7E4" w14:textId="5487A87B" w:rsidR="00B34AFF" w:rsidRPr="006C40F2" w:rsidRDefault="00986570" w:rsidP="006C40F2">
      <w:pPr>
        <w:spacing w:after="0" w:line="360" w:lineRule="auto"/>
        <w:ind w:left="426" w:right="425"/>
        <w:jc w:val="both"/>
        <w:rPr>
          <w:rFonts w:ascii="Times New Roman" w:hAnsi="Times New Roman" w:cs="Times New Roman"/>
          <w:i/>
          <w:iCs/>
          <w:color w:val="000000" w:themeColor="text1"/>
          <w:sz w:val="24"/>
          <w:szCs w:val="24"/>
        </w:rPr>
      </w:pPr>
      <w:r w:rsidRPr="006C40F2">
        <w:rPr>
          <w:rFonts w:ascii="Times New Roman" w:hAnsi="Times New Roman" w:cs="Times New Roman"/>
          <w:i/>
          <w:iCs/>
          <w:color w:val="000000" w:themeColor="text1"/>
          <w:sz w:val="24"/>
          <w:szCs w:val="24"/>
        </w:rPr>
        <w:t>3) o przekazanie orzeczenia do wykonania sąd może zwrócić się do właściwego organu państwa obcego z urzędu;</w:t>
      </w:r>
    </w:p>
    <w:p w14:paraId="352B1771" w14:textId="7B64EC0F" w:rsidR="00592134" w:rsidRPr="006C40F2" w:rsidRDefault="00986570" w:rsidP="006C40F2">
      <w:pPr>
        <w:spacing w:after="0" w:line="360" w:lineRule="auto"/>
        <w:ind w:left="426" w:right="425"/>
        <w:jc w:val="both"/>
        <w:rPr>
          <w:rFonts w:ascii="Times New Roman" w:hAnsi="Times New Roman" w:cs="Times New Roman"/>
          <w:i/>
          <w:iCs/>
          <w:color w:val="000000" w:themeColor="text1"/>
          <w:sz w:val="24"/>
          <w:szCs w:val="24"/>
        </w:rPr>
      </w:pPr>
      <w:r w:rsidRPr="006C40F2">
        <w:rPr>
          <w:rFonts w:ascii="Times New Roman" w:hAnsi="Times New Roman" w:cs="Times New Roman"/>
          <w:i/>
          <w:iCs/>
          <w:color w:val="000000" w:themeColor="text1"/>
          <w:sz w:val="24"/>
          <w:szCs w:val="24"/>
        </w:rPr>
        <w:t>4) stwierdzenie dopuszczalności przejęcia lub przekazania jest równoznaczne ze zgodą na przejęcie lub przekazanie.</w:t>
      </w:r>
    </w:p>
    <w:p w14:paraId="1686CA44" w14:textId="77777777" w:rsidR="00592134" w:rsidRPr="006C40F2" w:rsidRDefault="00986570" w:rsidP="006C40F2">
      <w:pPr>
        <w:spacing w:after="0" w:line="360" w:lineRule="auto"/>
        <w:ind w:left="426" w:right="425"/>
        <w:jc w:val="both"/>
        <w:rPr>
          <w:rFonts w:ascii="Times New Roman" w:hAnsi="Times New Roman" w:cs="Times New Roman"/>
          <w:i/>
          <w:iCs/>
          <w:color w:val="000000" w:themeColor="text1"/>
          <w:sz w:val="24"/>
          <w:szCs w:val="24"/>
        </w:rPr>
      </w:pPr>
      <w:r w:rsidRPr="006C40F2">
        <w:rPr>
          <w:rFonts w:ascii="Times New Roman" w:hAnsi="Times New Roman" w:cs="Times New Roman"/>
          <w:i/>
          <w:iCs/>
          <w:color w:val="000000" w:themeColor="text1"/>
          <w:sz w:val="24"/>
          <w:szCs w:val="24"/>
        </w:rPr>
        <w:t xml:space="preserve">§ 2. Minister Sprawiedliwości może przejąć do swego prowadzenia każdą sprawę w przedmiocie przejęcia lub przekazania orzeczenia do wykonania, jeżeli umowa międzynarodowa nie sprzeciwia się temu. </w:t>
      </w:r>
    </w:p>
    <w:p w14:paraId="2C65A4C0" w14:textId="69C0F668" w:rsidR="001F7CFE" w:rsidRPr="00B34AFF" w:rsidRDefault="00986570" w:rsidP="006C40F2">
      <w:pPr>
        <w:spacing w:after="0" w:line="360" w:lineRule="auto"/>
        <w:ind w:left="426" w:right="425"/>
        <w:jc w:val="both"/>
        <w:rPr>
          <w:rFonts w:ascii="Times New Roman" w:hAnsi="Times New Roman" w:cs="Times New Roman"/>
          <w:color w:val="000000" w:themeColor="text1"/>
          <w:sz w:val="24"/>
          <w:szCs w:val="24"/>
        </w:rPr>
      </w:pPr>
      <w:r w:rsidRPr="006C40F2">
        <w:rPr>
          <w:rFonts w:ascii="Times New Roman" w:hAnsi="Times New Roman" w:cs="Times New Roman"/>
          <w:i/>
          <w:iCs/>
          <w:color w:val="000000" w:themeColor="text1"/>
          <w:sz w:val="24"/>
          <w:szCs w:val="24"/>
        </w:rPr>
        <w:t>§ 3. Przejęcie sprawy przez Ministra Sprawiedliwości do swego prowadzenia może nastąpić do czasu prawomocnego zakończenia postępowania w przedmiocie dopuszczalności przejęcia lub przekazania orzeczenia do wykonania. W razie skutecznego przejęcia sprawy § 1 nie stosuje się, a postępowanie prowadzi się od początku.</w:t>
      </w:r>
      <w:r w:rsidRPr="00B34AFF">
        <w:rPr>
          <w:rFonts w:ascii="Times New Roman" w:hAnsi="Times New Roman" w:cs="Times New Roman"/>
          <w:color w:val="000000" w:themeColor="text1"/>
          <w:sz w:val="24"/>
          <w:szCs w:val="24"/>
        </w:rPr>
        <w:t>”.</w:t>
      </w:r>
    </w:p>
    <w:p w14:paraId="24E72CEC" w14:textId="357F5985" w:rsidR="009D51E9" w:rsidRDefault="001F7CFE" w:rsidP="00C13928">
      <w:pPr>
        <w:spacing w:after="0" w:line="360" w:lineRule="auto"/>
        <w:ind w:firstLine="709"/>
        <w:jc w:val="both"/>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Ponadto, p</w:t>
      </w:r>
      <w:r w:rsidR="00932CD6" w:rsidRPr="004F2491">
        <w:rPr>
          <w:rFonts w:ascii="Times New Roman" w:hAnsi="Times New Roman" w:cs="Times New Roman"/>
          <w:color w:val="000000" w:themeColor="text1"/>
          <w:sz w:val="24"/>
          <w:szCs w:val="24"/>
        </w:rPr>
        <w:t>onieważ o</w:t>
      </w:r>
      <w:r w:rsidR="00986570" w:rsidRPr="004F2491">
        <w:rPr>
          <w:rFonts w:ascii="Times New Roman" w:hAnsi="Times New Roman" w:cs="Times New Roman"/>
          <w:color w:val="000000" w:themeColor="text1"/>
          <w:sz w:val="24"/>
          <w:szCs w:val="24"/>
        </w:rPr>
        <w:t>cena</w:t>
      </w:r>
      <w:r w:rsidR="00B34AFF">
        <w:rPr>
          <w:rFonts w:ascii="Times New Roman" w:hAnsi="Times New Roman" w:cs="Times New Roman"/>
          <w:color w:val="000000" w:themeColor="text1"/>
          <w:sz w:val="24"/>
          <w:szCs w:val="24"/>
        </w:rPr>
        <w:t>,</w:t>
      </w:r>
      <w:r w:rsidR="00986570" w:rsidRPr="004F2491">
        <w:rPr>
          <w:rFonts w:ascii="Times New Roman" w:hAnsi="Times New Roman" w:cs="Times New Roman"/>
          <w:color w:val="000000" w:themeColor="text1"/>
          <w:sz w:val="24"/>
          <w:szCs w:val="24"/>
        </w:rPr>
        <w:t xml:space="preserve"> czy sprawa powinna być przejęta</w:t>
      </w:r>
      <w:r w:rsidR="00B34AFF">
        <w:rPr>
          <w:rFonts w:ascii="Times New Roman" w:hAnsi="Times New Roman" w:cs="Times New Roman"/>
          <w:color w:val="000000" w:themeColor="text1"/>
          <w:sz w:val="24"/>
          <w:szCs w:val="24"/>
        </w:rPr>
        <w:t>,</w:t>
      </w:r>
      <w:r w:rsidR="00986570" w:rsidRPr="004F2491">
        <w:rPr>
          <w:rFonts w:ascii="Times New Roman" w:hAnsi="Times New Roman" w:cs="Times New Roman"/>
          <w:color w:val="000000" w:themeColor="text1"/>
          <w:sz w:val="24"/>
          <w:szCs w:val="24"/>
        </w:rPr>
        <w:t xml:space="preserve"> musi być podjęta na podstawie akt sprawy</w:t>
      </w:r>
      <w:r w:rsidR="00B97215" w:rsidRPr="004F2491">
        <w:rPr>
          <w:rFonts w:ascii="Times New Roman" w:hAnsi="Times New Roman" w:cs="Times New Roman"/>
          <w:color w:val="000000" w:themeColor="text1"/>
          <w:sz w:val="24"/>
          <w:szCs w:val="24"/>
        </w:rPr>
        <w:t>,</w:t>
      </w:r>
      <w:r w:rsidR="00986570" w:rsidRPr="004F2491">
        <w:rPr>
          <w:rFonts w:ascii="Times New Roman" w:hAnsi="Times New Roman" w:cs="Times New Roman"/>
          <w:color w:val="000000" w:themeColor="text1"/>
          <w:sz w:val="24"/>
          <w:szCs w:val="24"/>
        </w:rPr>
        <w:t xml:space="preserve"> niezbędne jest </w:t>
      </w:r>
      <w:r w:rsidR="00336EDA" w:rsidRPr="004F2491">
        <w:rPr>
          <w:rFonts w:ascii="Times New Roman" w:hAnsi="Times New Roman" w:cs="Times New Roman"/>
          <w:color w:val="000000" w:themeColor="text1"/>
          <w:sz w:val="24"/>
          <w:szCs w:val="24"/>
        </w:rPr>
        <w:t xml:space="preserve">zdaniem Ministerstwa Sprawiedliwości </w:t>
      </w:r>
      <w:r w:rsidR="00986570" w:rsidRPr="004F2491">
        <w:rPr>
          <w:rFonts w:ascii="Times New Roman" w:hAnsi="Times New Roman" w:cs="Times New Roman"/>
          <w:color w:val="000000" w:themeColor="text1"/>
          <w:sz w:val="24"/>
          <w:szCs w:val="24"/>
        </w:rPr>
        <w:t xml:space="preserve">wprowadzenie do ustawy z dnia 27 lipca 2001 r. </w:t>
      </w:r>
      <w:r w:rsidR="009D51E9">
        <w:rPr>
          <w:rFonts w:ascii="Times New Roman" w:hAnsi="Times New Roman" w:cs="Times New Roman"/>
          <w:color w:val="000000" w:themeColor="text1"/>
          <w:sz w:val="24"/>
          <w:szCs w:val="24"/>
        </w:rPr>
        <w:t>–</w:t>
      </w:r>
      <w:r w:rsidR="009D51E9" w:rsidRPr="004F2491">
        <w:rPr>
          <w:rFonts w:ascii="Times New Roman" w:hAnsi="Times New Roman" w:cs="Times New Roman"/>
          <w:color w:val="000000" w:themeColor="text1"/>
          <w:sz w:val="24"/>
          <w:szCs w:val="24"/>
        </w:rPr>
        <w:t xml:space="preserve"> </w:t>
      </w:r>
      <w:r w:rsidR="00986570" w:rsidRPr="004F2491">
        <w:rPr>
          <w:rFonts w:ascii="Times New Roman" w:hAnsi="Times New Roman" w:cs="Times New Roman"/>
          <w:color w:val="000000" w:themeColor="text1"/>
          <w:sz w:val="24"/>
          <w:szCs w:val="24"/>
        </w:rPr>
        <w:t>Prawo o ustroju sądów powszechnych</w:t>
      </w:r>
      <w:r w:rsidR="00B97215" w:rsidRPr="004F2491">
        <w:rPr>
          <w:rFonts w:ascii="Times New Roman" w:hAnsi="Times New Roman" w:cs="Times New Roman"/>
          <w:color w:val="000000" w:themeColor="text1"/>
          <w:sz w:val="24"/>
          <w:szCs w:val="24"/>
        </w:rPr>
        <w:t xml:space="preserve">, </w:t>
      </w:r>
      <w:r w:rsidR="00986570" w:rsidRPr="004F2491">
        <w:rPr>
          <w:rFonts w:ascii="Times New Roman" w:hAnsi="Times New Roman" w:cs="Times New Roman"/>
          <w:color w:val="000000" w:themeColor="text1"/>
          <w:sz w:val="24"/>
          <w:szCs w:val="24"/>
        </w:rPr>
        <w:t>możliwości żądania przez MS akt sądowych lub informacji z takich akt. Odpowiedni przepis ustawy – Prawo o ustroju sądów powszechnych</w:t>
      </w:r>
      <w:r w:rsidR="00336EDA" w:rsidRPr="004F2491">
        <w:rPr>
          <w:rFonts w:ascii="Times New Roman" w:hAnsi="Times New Roman" w:cs="Times New Roman"/>
          <w:color w:val="000000" w:themeColor="text1"/>
          <w:sz w:val="24"/>
          <w:szCs w:val="24"/>
        </w:rPr>
        <w:t xml:space="preserve">, jak proponuje MS, </w:t>
      </w:r>
      <w:r w:rsidR="00986570" w:rsidRPr="004F2491">
        <w:rPr>
          <w:rFonts w:ascii="Times New Roman" w:hAnsi="Times New Roman" w:cs="Times New Roman"/>
          <w:color w:val="000000" w:themeColor="text1"/>
          <w:sz w:val="24"/>
          <w:szCs w:val="24"/>
        </w:rPr>
        <w:t>otrzyma następujące brzmienie:</w:t>
      </w:r>
    </w:p>
    <w:p w14:paraId="226EEB9B" w14:textId="719A198E" w:rsidR="00986570" w:rsidRPr="006C40F2" w:rsidRDefault="00986570" w:rsidP="006C40F2">
      <w:pPr>
        <w:spacing w:after="0" w:line="360" w:lineRule="auto"/>
        <w:ind w:left="426" w:right="425" w:firstLine="709"/>
        <w:jc w:val="both"/>
        <w:rPr>
          <w:rFonts w:ascii="Times New Roman" w:hAnsi="Times New Roman" w:cs="Times New Roman"/>
          <w:i/>
          <w:iCs/>
          <w:color w:val="000000" w:themeColor="text1"/>
          <w:sz w:val="24"/>
          <w:szCs w:val="24"/>
        </w:rPr>
      </w:pPr>
      <w:r w:rsidRPr="009D51E9">
        <w:rPr>
          <w:rFonts w:ascii="Times New Roman" w:hAnsi="Times New Roman" w:cs="Times New Roman"/>
          <w:color w:val="000000" w:themeColor="text1"/>
          <w:sz w:val="24"/>
          <w:szCs w:val="24"/>
        </w:rPr>
        <w:t>„</w:t>
      </w:r>
      <w:r w:rsidRPr="006C40F2">
        <w:rPr>
          <w:rFonts w:ascii="Times New Roman" w:hAnsi="Times New Roman" w:cs="Times New Roman"/>
          <w:i/>
          <w:iCs/>
          <w:color w:val="000000" w:themeColor="text1"/>
          <w:sz w:val="24"/>
          <w:szCs w:val="24"/>
        </w:rPr>
        <w:t>Art. 53c § 2. Minister Sprawiedliwości może zażądać przedstawienia mu akt sprawy lub niezbędnych informacji w celu wykonywania zadań związanych z reprezentowaniem Rzeczypospolitej Polskiej przed sądami międzynarodowymi, komitetami traktatowymi, organizacjami międzynarodowymi lub międzynarodowymi sądami arbitrażowymi, a także jeśli zachodzi konieczność rozważenia przejęcia przez Ministra Sprawiedliwości do swego prowadzenia sprawy o przejęcie lub przekazanie orzeczenia do wykonania</w:t>
      </w:r>
      <w:r w:rsidR="009D51E9" w:rsidRPr="006C40F2">
        <w:rPr>
          <w:rFonts w:ascii="Times New Roman" w:hAnsi="Times New Roman" w:cs="Times New Roman"/>
          <w:i/>
          <w:iCs/>
          <w:color w:val="000000" w:themeColor="text1"/>
          <w:sz w:val="24"/>
          <w:szCs w:val="24"/>
        </w:rPr>
        <w:t>.</w:t>
      </w:r>
      <w:r w:rsidRPr="009D51E9">
        <w:rPr>
          <w:rFonts w:ascii="Times New Roman" w:hAnsi="Times New Roman" w:cs="Times New Roman"/>
          <w:color w:val="000000" w:themeColor="text1"/>
          <w:sz w:val="24"/>
          <w:szCs w:val="24"/>
        </w:rPr>
        <w:t>”.</w:t>
      </w:r>
    </w:p>
    <w:p w14:paraId="09DC8E18" w14:textId="1BB8D2A5" w:rsidR="003C563D" w:rsidRPr="004F2491" w:rsidRDefault="005B5FD3" w:rsidP="00C13928">
      <w:pPr>
        <w:spacing w:after="0" w:line="360" w:lineRule="auto"/>
        <w:ind w:firstLine="709"/>
        <w:jc w:val="both"/>
        <w:rPr>
          <w:rFonts w:ascii="Times New Roman" w:hAnsi="Times New Roman" w:cs="Times New Roman"/>
          <w:color w:val="000000" w:themeColor="text1"/>
          <w:sz w:val="24"/>
          <w:szCs w:val="24"/>
        </w:rPr>
      </w:pPr>
      <w:r w:rsidRPr="004F2491">
        <w:rPr>
          <w:rFonts w:ascii="Times New Roman" w:hAnsi="Times New Roman" w:cs="Times New Roman"/>
          <w:b/>
          <w:bCs/>
          <w:color w:val="000000" w:themeColor="text1"/>
          <w:sz w:val="24"/>
          <w:szCs w:val="24"/>
        </w:rPr>
        <w:t xml:space="preserve">3. </w:t>
      </w:r>
      <w:r w:rsidR="003C563D" w:rsidRPr="004F2491">
        <w:rPr>
          <w:rFonts w:ascii="Times New Roman" w:hAnsi="Times New Roman" w:cs="Times New Roman"/>
          <w:bCs/>
          <w:color w:val="000000" w:themeColor="text1"/>
          <w:sz w:val="24"/>
          <w:szCs w:val="24"/>
        </w:rPr>
        <w:t>Przedłożoną propo</w:t>
      </w:r>
      <w:r w:rsidR="00A37213" w:rsidRPr="004F2491">
        <w:rPr>
          <w:rFonts w:ascii="Times New Roman" w:hAnsi="Times New Roman" w:cs="Times New Roman"/>
          <w:bCs/>
          <w:color w:val="000000" w:themeColor="text1"/>
          <w:sz w:val="24"/>
          <w:szCs w:val="24"/>
        </w:rPr>
        <w:t xml:space="preserve">zycję należy ocenić negatywnie. </w:t>
      </w:r>
      <w:r w:rsidR="003C563D" w:rsidRPr="004F2491">
        <w:rPr>
          <w:rFonts w:ascii="Times New Roman" w:hAnsi="Times New Roman" w:cs="Times New Roman"/>
          <w:color w:val="000000" w:themeColor="text1"/>
          <w:sz w:val="24"/>
          <w:szCs w:val="24"/>
        </w:rPr>
        <w:t xml:space="preserve">Po pierwsze, </w:t>
      </w:r>
      <w:r w:rsidR="00A37213" w:rsidRPr="004F2491">
        <w:rPr>
          <w:rFonts w:ascii="Times New Roman" w:hAnsi="Times New Roman" w:cs="Times New Roman"/>
          <w:color w:val="000000" w:themeColor="text1"/>
          <w:sz w:val="24"/>
          <w:szCs w:val="24"/>
        </w:rPr>
        <w:t xml:space="preserve">w przedłożonej formie </w:t>
      </w:r>
      <w:r w:rsidR="003C563D" w:rsidRPr="004F2491">
        <w:rPr>
          <w:rFonts w:ascii="Times New Roman" w:hAnsi="Times New Roman" w:cs="Times New Roman"/>
          <w:color w:val="000000" w:themeColor="text1"/>
          <w:sz w:val="24"/>
          <w:szCs w:val="24"/>
        </w:rPr>
        <w:t>nie jest ona konieczna dla prawidłowości realizacji umowy z</w:t>
      </w:r>
      <w:r w:rsidR="009D51E9">
        <w:rPr>
          <w:rFonts w:ascii="Times New Roman" w:hAnsi="Times New Roman" w:cs="Times New Roman"/>
          <w:color w:val="000000" w:themeColor="text1"/>
          <w:sz w:val="24"/>
          <w:szCs w:val="24"/>
        </w:rPr>
        <w:t xml:space="preserve"> dnia</w:t>
      </w:r>
      <w:r w:rsidR="003C563D" w:rsidRPr="004F2491">
        <w:rPr>
          <w:rFonts w:ascii="Times New Roman" w:hAnsi="Times New Roman" w:cs="Times New Roman"/>
          <w:color w:val="000000" w:themeColor="text1"/>
          <w:sz w:val="24"/>
          <w:szCs w:val="24"/>
        </w:rPr>
        <w:t xml:space="preserve"> 12</w:t>
      </w:r>
      <w:r w:rsidR="009D51E9">
        <w:rPr>
          <w:rFonts w:ascii="Times New Roman" w:hAnsi="Times New Roman" w:cs="Times New Roman"/>
          <w:color w:val="000000" w:themeColor="text1"/>
          <w:sz w:val="24"/>
          <w:szCs w:val="24"/>
        </w:rPr>
        <w:t xml:space="preserve"> kwietnia </w:t>
      </w:r>
      <w:r w:rsidR="003C563D" w:rsidRPr="004F2491">
        <w:rPr>
          <w:rFonts w:ascii="Times New Roman" w:hAnsi="Times New Roman" w:cs="Times New Roman"/>
          <w:color w:val="000000" w:themeColor="text1"/>
          <w:sz w:val="24"/>
          <w:szCs w:val="24"/>
        </w:rPr>
        <w:t xml:space="preserve">2024 r. o ratyfikacji Protokołu między Rzecząpospolitą Polską a Ukrainą o zmianie Umowy między Rzecząpospolitą Polską a Ukrainą o pomocy prawnej i stosunkach prawnych w sprawach cywilnych i karnych z dnia 24 maja 1993 r., podpisanego w Warszawie dnia 19 września 2023 r., tj. dla prawidłowości </w:t>
      </w:r>
      <w:r w:rsidR="000C284E" w:rsidRPr="004F2491">
        <w:rPr>
          <w:rFonts w:ascii="Times New Roman" w:hAnsi="Times New Roman" w:cs="Times New Roman"/>
          <w:color w:val="000000" w:themeColor="text1"/>
          <w:sz w:val="24"/>
          <w:szCs w:val="24"/>
        </w:rPr>
        <w:t>procedowania</w:t>
      </w:r>
      <w:r w:rsidR="003C563D" w:rsidRPr="004F2491">
        <w:rPr>
          <w:rFonts w:ascii="Times New Roman" w:hAnsi="Times New Roman" w:cs="Times New Roman"/>
          <w:color w:val="000000" w:themeColor="text1"/>
          <w:sz w:val="24"/>
          <w:szCs w:val="24"/>
        </w:rPr>
        <w:t xml:space="preserve"> wniosków o przejęcie i przekazanie do wykonania </w:t>
      </w:r>
      <w:r w:rsidR="003C563D" w:rsidRPr="004F2491">
        <w:rPr>
          <w:rFonts w:ascii="Times New Roman" w:hAnsi="Times New Roman" w:cs="Times New Roman"/>
          <w:color w:val="000000" w:themeColor="text1"/>
          <w:sz w:val="24"/>
          <w:szCs w:val="24"/>
        </w:rPr>
        <w:lastRenderedPageBreak/>
        <w:t>orzeczeń skazujących na kary nieizolacyjne między polskimi sądami a właściwymi organami ukraińskimi. Przywołana umowa w sposób kompleksowy określa tryb procedowania w zakresie ww. wniosków oraz podstawy odmowy ich wykonania. Tym samym wyłącza regulacje prawne z rozdziału 66</w:t>
      </w:r>
      <w:r w:rsidR="009D51E9">
        <w:rPr>
          <w:rFonts w:ascii="Times New Roman" w:hAnsi="Times New Roman" w:cs="Times New Roman"/>
          <w:color w:val="000000" w:themeColor="text1"/>
          <w:sz w:val="24"/>
          <w:szCs w:val="24"/>
        </w:rPr>
        <w:t>.</w:t>
      </w:r>
      <w:r w:rsidR="003C563D" w:rsidRPr="004F2491">
        <w:rPr>
          <w:rFonts w:ascii="Times New Roman" w:hAnsi="Times New Roman" w:cs="Times New Roman"/>
          <w:color w:val="000000" w:themeColor="text1"/>
          <w:sz w:val="24"/>
          <w:szCs w:val="24"/>
        </w:rPr>
        <w:t xml:space="preserve"> </w:t>
      </w:r>
      <w:r w:rsidR="009D51E9">
        <w:rPr>
          <w:rFonts w:ascii="Times New Roman" w:hAnsi="Times New Roman" w:cs="Times New Roman"/>
          <w:color w:val="000000" w:themeColor="text1"/>
          <w:sz w:val="24"/>
          <w:szCs w:val="24"/>
        </w:rPr>
        <w:t>Kodeksu postępowania karnego</w:t>
      </w:r>
      <w:r w:rsidR="009D51E9" w:rsidRPr="004F2491">
        <w:rPr>
          <w:rFonts w:ascii="Times New Roman" w:hAnsi="Times New Roman" w:cs="Times New Roman"/>
          <w:color w:val="000000" w:themeColor="text1"/>
          <w:sz w:val="24"/>
          <w:szCs w:val="24"/>
        </w:rPr>
        <w:t xml:space="preserve"> </w:t>
      </w:r>
      <w:r w:rsidR="003C563D" w:rsidRPr="004F2491">
        <w:rPr>
          <w:rFonts w:ascii="Times New Roman" w:hAnsi="Times New Roman" w:cs="Times New Roman"/>
          <w:color w:val="000000" w:themeColor="text1"/>
          <w:sz w:val="24"/>
          <w:szCs w:val="24"/>
        </w:rPr>
        <w:t>na podstawie art. 615 § 2 k.p.k., który stanowi</w:t>
      </w:r>
      <w:r w:rsidR="006E5B64" w:rsidRPr="004F2491">
        <w:rPr>
          <w:rFonts w:ascii="Times New Roman" w:hAnsi="Times New Roman" w:cs="Times New Roman"/>
          <w:color w:val="000000" w:themeColor="text1"/>
          <w:sz w:val="24"/>
          <w:szCs w:val="24"/>
        </w:rPr>
        <w:t>, że „</w:t>
      </w:r>
      <w:r w:rsidR="006E5B64" w:rsidRPr="006C40F2">
        <w:rPr>
          <w:rFonts w:ascii="Times New Roman" w:hAnsi="Times New Roman" w:cs="Times New Roman"/>
          <w:i/>
          <w:iCs/>
          <w:color w:val="000000" w:themeColor="text1"/>
          <w:sz w:val="24"/>
          <w:szCs w:val="24"/>
        </w:rPr>
        <w:t xml:space="preserve">Przepisów niniejszego działu </w:t>
      </w:r>
      <w:r w:rsidR="009D51E9" w:rsidRPr="009D51E9">
        <w:rPr>
          <w:rFonts w:ascii="Times New Roman" w:hAnsi="Times New Roman" w:cs="Times New Roman"/>
          <w:color w:val="000000" w:themeColor="text1"/>
          <w:sz w:val="24"/>
          <w:szCs w:val="24"/>
        </w:rPr>
        <w:t>[</w:t>
      </w:r>
      <w:r w:rsidR="006E5B64" w:rsidRPr="009D51E9">
        <w:rPr>
          <w:rFonts w:ascii="Times New Roman" w:hAnsi="Times New Roman" w:cs="Times New Roman"/>
          <w:color w:val="000000" w:themeColor="text1"/>
          <w:sz w:val="24"/>
          <w:szCs w:val="24"/>
        </w:rPr>
        <w:t>tj. działu XIII KPK</w:t>
      </w:r>
      <w:r w:rsidR="009D51E9" w:rsidRPr="009D51E9">
        <w:rPr>
          <w:rFonts w:ascii="Times New Roman" w:hAnsi="Times New Roman" w:cs="Times New Roman"/>
          <w:color w:val="000000" w:themeColor="text1"/>
          <w:sz w:val="24"/>
          <w:szCs w:val="24"/>
        </w:rPr>
        <w:t xml:space="preserve"> – przyp. aut.]</w:t>
      </w:r>
      <w:r w:rsidR="006E5B64" w:rsidRPr="009D51E9">
        <w:rPr>
          <w:rFonts w:ascii="Times New Roman" w:hAnsi="Times New Roman" w:cs="Times New Roman"/>
          <w:color w:val="000000" w:themeColor="text1"/>
          <w:sz w:val="24"/>
          <w:szCs w:val="24"/>
        </w:rPr>
        <w:t xml:space="preserve"> </w:t>
      </w:r>
      <w:r w:rsidR="006E5B64" w:rsidRPr="006C40F2">
        <w:rPr>
          <w:rFonts w:ascii="Times New Roman" w:hAnsi="Times New Roman" w:cs="Times New Roman"/>
          <w:i/>
          <w:iCs/>
          <w:color w:val="000000" w:themeColor="text1"/>
          <w:sz w:val="24"/>
          <w:szCs w:val="24"/>
        </w:rPr>
        <w:t>nie stosuje się, jeżeli umowa międzynarodowa, której Rzeczpospolita Polska jest stroną, albo akt prawny regulujący działanie międzynarodowego trybunału karnego stanowi inaczej</w:t>
      </w:r>
      <w:r w:rsidR="006E5B64" w:rsidRPr="004F2491">
        <w:rPr>
          <w:rFonts w:ascii="Times New Roman" w:hAnsi="Times New Roman" w:cs="Times New Roman"/>
          <w:color w:val="000000" w:themeColor="text1"/>
          <w:sz w:val="24"/>
          <w:szCs w:val="24"/>
        </w:rPr>
        <w:t>”.</w:t>
      </w:r>
    </w:p>
    <w:p w14:paraId="629BC7B3" w14:textId="752FFA62" w:rsidR="004F2491" w:rsidRPr="004F2491" w:rsidRDefault="006E5B64" w:rsidP="005B5FD3">
      <w:pPr>
        <w:shd w:val="clear" w:color="auto" w:fill="FFFFFF"/>
        <w:spacing w:after="0" w:line="360" w:lineRule="auto"/>
        <w:ind w:firstLine="709"/>
        <w:jc w:val="both"/>
        <w:rPr>
          <w:rFonts w:ascii="Times New Roman" w:eastAsia="Times New Roman" w:hAnsi="Times New Roman" w:cs="Times New Roman"/>
          <w:color w:val="000000" w:themeColor="text1"/>
          <w:kern w:val="0"/>
          <w:sz w:val="24"/>
          <w:szCs w:val="24"/>
          <w:lang w:eastAsia="pl-PL"/>
          <w14:ligatures w14:val="none"/>
        </w:rPr>
      </w:pPr>
      <w:r w:rsidRPr="004F2491">
        <w:rPr>
          <w:rFonts w:ascii="Times New Roman" w:hAnsi="Times New Roman" w:cs="Times New Roman"/>
          <w:color w:val="000000" w:themeColor="text1"/>
          <w:sz w:val="24"/>
          <w:szCs w:val="24"/>
        </w:rPr>
        <w:t>Po drugie, z</w:t>
      </w:r>
      <w:r w:rsidR="003C563D" w:rsidRPr="004F2491">
        <w:rPr>
          <w:rFonts w:ascii="Times New Roman" w:hAnsi="Times New Roman" w:cs="Times New Roman"/>
          <w:color w:val="000000" w:themeColor="text1"/>
          <w:sz w:val="24"/>
          <w:szCs w:val="24"/>
        </w:rPr>
        <w:t xml:space="preserve">godnie z art. 82 ust. 2 Protokołu </w:t>
      </w:r>
      <w:r w:rsidR="003C563D" w:rsidRPr="004F2491">
        <w:rPr>
          <w:rStyle w:val="Pogrubienie"/>
          <w:rFonts w:ascii="Times New Roman" w:eastAsiaTheme="majorEastAsia" w:hAnsi="Times New Roman" w:cs="Times New Roman"/>
          <w:b w:val="0"/>
          <w:color w:val="000000" w:themeColor="text1"/>
          <w:sz w:val="24"/>
          <w:szCs w:val="24"/>
        </w:rPr>
        <w:t>między Rzecząpospolitą Polską a Ukrainą o zmianie Umowy między Rzecząpospolitą Polską a Ukrainą o pomocy prawnej i stosunkach prawnych w sprawach cywilnych i karnych z dnia 24 maja 1993 r., podpisanego w Warszawie dnia 19 września 2023</w:t>
      </w:r>
      <w:r w:rsidR="003C563D" w:rsidRPr="004F2491">
        <w:rPr>
          <w:rStyle w:val="Pogrubienie"/>
          <w:rFonts w:ascii="Times New Roman" w:eastAsiaTheme="majorEastAsia" w:hAnsi="Times New Roman" w:cs="Times New Roman"/>
          <w:bCs w:val="0"/>
          <w:color w:val="000000" w:themeColor="text1"/>
          <w:sz w:val="24"/>
          <w:szCs w:val="24"/>
        </w:rPr>
        <w:t xml:space="preserve"> </w:t>
      </w:r>
      <w:r w:rsidR="003C563D" w:rsidRPr="004F2491">
        <w:rPr>
          <w:rStyle w:val="Pogrubienie"/>
          <w:rFonts w:ascii="Times New Roman" w:eastAsiaTheme="majorEastAsia" w:hAnsi="Times New Roman" w:cs="Times New Roman"/>
          <w:b w:val="0"/>
          <w:color w:val="000000" w:themeColor="text1"/>
          <w:sz w:val="24"/>
          <w:szCs w:val="24"/>
        </w:rPr>
        <w:t>r.</w:t>
      </w:r>
      <w:r w:rsidR="003C563D" w:rsidRPr="004F2491">
        <w:rPr>
          <w:rFonts w:ascii="Times New Roman" w:hAnsi="Times New Roman" w:cs="Times New Roman"/>
          <w:color w:val="000000" w:themeColor="text1"/>
          <w:sz w:val="24"/>
          <w:szCs w:val="24"/>
        </w:rPr>
        <w:t xml:space="preserve"> „</w:t>
      </w:r>
      <w:r w:rsidR="009D51E9">
        <w:rPr>
          <w:rFonts w:ascii="Times New Roman" w:hAnsi="Times New Roman" w:cs="Times New Roman"/>
          <w:color w:val="000000" w:themeColor="text1"/>
          <w:sz w:val="24"/>
          <w:szCs w:val="24"/>
        </w:rPr>
        <w:t>(</w:t>
      </w:r>
      <w:r w:rsidR="003C563D" w:rsidRPr="004F2491">
        <w:rPr>
          <w:rFonts w:ascii="Times New Roman" w:hAnsi="Times New Roman" w:cs="Times New Roman"/>
          <w:color w:val="000000" w:themeColor="text1"/>
          <w:sz w:val="24"/>
          <w:szCs w:val="24"/>
        </w:rPr>
        <w:t>…</w:t>
      </w:r>
      <w:r w:rsidR="009D51E9">
        <w:rPr>
          <w:rFonts w:ascii="Times New Roman" w:hAnsi="Times New Roman" w:cs="Times New Roman"/>
          <w:color w:val="000000" w:themeColor="text1"/>
          <w:sz w:val="24"/>
          <w:szCs w:val="24"/>
        </w:rPr>
        <w:t xml:space="preserve">) </w:t>
      </w:r>
      <w:r w:rsidR="003C563D" w:rsidRPr="006C40F2">
        <w:rPr>
          <w:rFonts w:ascii="Times New Roman" w:hAnsi="Times New Roman" w:cs="Times New Roman"/>
          <w:i/>
          <w:iCs/>
          <w:color w:val="000000" w:themeColor="text1"/>
          <w:sz w:val="24"/>
          <w:szCs w:val="24"/>
        </w:rPr>
        <w:t xml:space="preserve">wnioski o przekazanie </w:t>
      </w:r>
      <w:r w:rsidR="00453AE1" w:rsidRPr="006C40F2">
        <w:rPr>
          <w:rFonts w:ascii="Times New Roman" w:hAnsi="Times New Roman" w:cs="Times New Roman"/>
          <w:i/>
          <w:iCs/>
          <w:color w:val="000000" w:themeColor="text1"/>
          <w:sz w:val="24"/>
          <w:szCs w:val="24"/>
        </w:rPr>
        <w:t>do wykonania orzeczeń</w:t>
      </w:r>
      <w:r w:rsidR="003C563D" w:rsidRPr="006C40F2">
        <w:rPr>
          <w:rFonts w:ascii="Times New Roman" w:hAnsi="Times New Roman" w:cs="Times New Roman"/>
          <w:i/>
          <w:iCs/>
          <w:color w:val="000000" w:themeColor="text1"/>
          <w:sz w:val="24"/>
          <w:szCs w:val="24"/>
        </w:rPr>
        <w:t>, materiały związane z wykonaniem wniosków oraz korespondencja bieżąca są przekazywane bezpośrednio pomiędzy organami, wskazanymi przez ministerstwo sprawiedliwości każdej Umawiającej się Strony, z wyjątkiem spraw, w których ministerstwo sprawiedliwości którejkolwiek z Umawiających się Stron zadecyduje o rozstrzygnięciu konkretnego wniosku przez organ centralny</w:t>
      </w:r>
      <w:r w:rsidR="003C563D" w:rsidRPr="004F2491">
        <w:rPr>
          <w:rFonts w:ascii="Times New Roman" w:hAnsi="Times New Roman" w:cs="Times New Roman"/>
          <w:color w:val="000000" w:themeColor="text1"/>
          <w:sz w:val="24"/>
          <w:szCs w:val="24"/>
        </w:rPr>
        <w:t>”.</w:t>
      </w:r>
      <w:r w:rsidR="00605A8D">
        <w:rPr>
          <w:rFonts w:ascii="Times New Roman" w:hAnsi="Times New Roman" w:cs="Times New Roman"/>
          <w:color w:val="000000" w:themeColor="text1"/>
          <w:sz w:val="24"/>
          <w:szCs w:val="24"/>
        </w:rPr>
        <w:t xml:space="preserve"> </w:t>
      </w:r>
      <w:r w:rsidRPr="004F2491">
        <w:rPr>
          <w:rFonts w:ascii="Times New Roman" w:hAnsi="Times New Roman" w:cs="Times New Roman"/>
          <w:color w:val="000000" w:themeColor="text1"/>
          <w:sz w:val="24"/>
          <w:szCs w:val="24"/>
        </w:rPr>
        <w:t>W świetle przywołanego przepis</w:t>
      </w:r>
      <w:r w:rsidR="00453AE1">
        <w:rPr>
          <w:rFonts w:ascii="Times New Roman" w:hAnsi="Times New Roman" w:cs="Times New Roman"/>
          <w:color w:val="000000" w:themeColor="text1"/>
          <w:sz w:val="24"/>
          <w:szCs w:val="24"/>
        </w:rPr>
        <w:t>u</w:t>
      </w:r>
      <w:r w:rsidRPr="004F2491">
        <w:rPr>
          <w:rFonts w:ascii="Times New Roman" w:hAnsi="Times New Roman" w:cs="Times New Roman"/>
          <w:color w:val="000000" w:themeColor="text1"/>
          <w:sz w:val="24"/>
          <w:szCs w:val="24"/>
        </w:rPr>
        <w:t xml:space="preserve"> nie sposób uznać, że w polskim porządku prawnym Minister Sprawiedliwości mógłby być organem odpowiedzialnym za „</w:t>
      </w:r>
      <w:r w:rsidRPr="006C40F2">
        <w:rPr>
          <w:rFonts w:ascii="Times New Roman" w:hAnsi="Times New Roman" w:cs="Times New Roman"/>
          <w:i/>
          <w:iCs/>
          <w:color w:val="000000" w:themeColor="text1"/>
          <w:sz w:val="24"/>
          <w:szCs w:val="24"/>
        </w:rPr>
        <w:t>rozstrzygnięcie konkretnego wniosku przez organ centralny</w:t>
      </w:r>
      <w:r w:rsidRPr="004F2491">
        <w:rPr>
          <w:rFonts w:ascii="Times New Roman" w:hAnsi="Times New Roman" w:cs="Times New Roman"/>
          <w:color w:val="000000" w:themeColor="text1"/>
          <w:sz w:val="24"/>
          <w:szCs w:val="24"/>
        </w:rPr>
        <w:t>” bądź „</w:t>
      </w:r>
      <w:r w:rsidRPr="006C40F2">
        <w:rPr>
          <w:rFonts w:ascii="Times New Roman" w:hAnsi="Times New Roman" w:cs="Times New Roman"/>
          <w:i/>
          <w:iCs/>
          <w:color w:val="000000" w:themeColor="text1"/>
          <w:sz w:val="24"/>
          <w:szCs w:val="24"/>
        </w:rPr>
        <w:t>prowadzenie sprawy</w:t>
      </w:r>
      <w:r w:rsidRPr="004F2491">
        <w:rPr>
          <w:rFonts w:ascii="Times New Roman" w:hAnsi="Times New Roman" w:cs="Times New Roman"/>
          <w:color w:val="000000" w:themeColor="text1"/>
          <w:sz w:val="24"/>
          <w:szCs w:val="24"/>
        </w:rPr>
        <w:t xml:space="preserve">”, tak jak zostało to określone </w:t>
      </w:r>
      <w:r w:rsidR="00411E90" w:rsidRPr="004F2491">
        <w:rPr>
          <w:rFonts w:ascii="Times New Roman" w:hAnsi="Times New Roman" w:cs="Times New Roman"/>
          <w:color w:val="000000" w:themeColor="text1"/>
          <w:sz w:val="24"/>
          <w:szCs w:val="24"/>
        </w:rPr>
        <w:t xml:space="preserve">w </w:t>
      </w:r>
      <w:r w:rsidR="00C13928" w:rsidRPr="004F2491">
        <w:rPr>
          <w:rFonts w:ascii="Times New Roman" w:hAnsi="Times New Roman" w:cs="Times New Roman"/>
          <w:color w:val="000000" w:themeColor="text1"/>
          <w:sz w:val="24"/>
          <w:szCs w:val="24"/>
        </w:rPr>
        <w:t xml:space="preserve">zaproponowanej treści </w:t>
      </w:r>
      <w:r w:rsidRPr="004F2491">
        <w:rPr>
          <w:rFonts w:ascii="Times New Roman" w:hAnsi="Times New Roman" w:cs="Times New Roman"/>
          <w:color w:val="000000" w:themeColor="text1"/>
          <w:sz w:val="24"/>
          <w:szCs w:val="24"/>
        </w:rPr>
        <w:t>art. 611f¹ § 2 k.p.k. Zgodnie</w:t>
      </w:r>
      <w:r w:rsidR="00C13928" w:rsidRPr="004F2491">
        <w:rPr>
          <w:rFonts w:ascii="Times New Roman" w:hAnsi="Times New Roman" w:cs="Times New Roman"/>
          <w:color w:val="000000" w:themeColor="text1"/>
          <w:sz w:val="24"/>
          <w:szCs w:val="24"/>
        </w:rPr>
        <w:t xml:space="preserve"> bowiem</w:t>
      </w:r>
      <w:r w:rsidRPr="004F2491">
        <w:rPr>
          <w:rFonts w:ascii="Times New Roman" w:hAnsi="Times New Roman" w:cs="Times New Roman"/>
          <w:color w:val="000000" w:themeColor="text1"/>
          <w:sz w:val="24"/>
          <w:szCs w:val="24"/>
        </w:rPr>
        <w:t xml:space="preserve"> z </w:t>
      </w:r>
      <w:r w:rsidR="000C284E" w:rsidRPr="004F2491">
        <w:rPr>
          <w:rFonts w:ascii="Times New Roman" w:hAnsi="Times New Roman" w:cs="Times New Roman"/>
          <w:color w:val="000000" w:themeColor="text1"/>
          <w:sz w:val="24"/>
          <w:szCs w:val="24"/>
        </w:rPr>
        <w:t xml:space="preserve">art. 175 </w:t>
      </w:r>
      <w:r w:rsidRPr="004F2491">
        <w:rPr>
          <w:rFonts w:ascii="Times New Roman" w:hAnsi="Times New Roman" w:cs="Times New Roman"/>
          <w:color w:val="000000" w:themeColor="text1"/>
          <w:sz w:val="24"/>
          <w:szCs w:val="24"/>
        </w:rPr>
        <w:t>Konstytucj</w:t>
      </w:r>
      <w:r w:rsidR="000C284E" w:rsidRPr="004F2491">
        <w:rPr>
          <w:rFonts w:ascii="Times New Roman" w:hAnsi="Times New Roman" w:cs="Times New Roman"/>
          <w:color w:val="000000" w:themeColor="text1"/>
          <w:sz w:val="24"/>
          <w:szCs w:val="24"/>
        </w:rPr>
        <w:t>i</w:t>
      </w:r>
      <w:r w:rsidRPr="004F2491">
        <w:rPr>
          <w:rFonts w:ascii="Times New Roman" w:hAnsi="Times New Roman" w:cs="Times New Roman"/>
          <w:color w:val="000000" w:themeColor="text1"/>
          <w:sz w:val="24"/>
          <w:szCs w:val="24"/>
        </w:rPr>
        <w:t xml:space="preserve"> RP</w:t>
      </w:r>
      <w:r w:rsidR="000C284E" w:rsidRPr="004F2491">
        <w:rPr>
          <w:rFonts w:ascii="Times New Roman" w:hAnsi="Times New Roman" w:cs="Times New Roman"/>
          <w:color w:val="000000" w:themeColor="text1"/>
          <w:sz w:val="24"/>
          <w:szCs w:val="24"/>
        </w:rPr>
        <w:t>,</w:t>
      </w:r>
      <w:r w:rsidRPr="004F2491">
        <w:rPr>
          <w:rFonts w:ascii="Times New Roman" w:hAnsi="Times New Roman" w:cs="Times New Roman"/>
          <w:color w:val="000000" w:themeColor="text1"/>
          <w:sz w:val="24"/>
          <w:szCs w:val="24"/>
        </w:rPr>
        <w:t xml:space="preserve"> wymiar sprawiedliwości</w:t>
      </w:r>
      <w:r w:rsidR="00DC374F" w:rsidRPr="004F2491">
        <w:rPr>
          <w:rFonts w:ascii="Times New Roman" w:eastAsia="Times New Roman" w:hAnsi="Times New Roman" w:cs="Times New Roman"/>
          <w:color w:val="000000" w:themeColor="text1"/>
          <w:kern w:val="0"/>
          <w:sz w:val="24"/>
          <w:szCs w:val="24"/>
          <w:lang w:eastAsia="pl-PL"/>
          <w14:ligatures w14:val="none"/>
        </w:rPr>
        <w:t xml:space="preserve"> w Rzeczypospolitej Polskiej sprawują </w:t>
      </w:r>
      <w:r w:rsidR="000C284E" w:rsidRPr="004F2491">
        <w:rPr>
          <w:rFonts w:ascii="Times New Roman" w:eastAsia="Times New Roman" w:hAnsi="Times New Roman" w:cs="Times New Roman"/>
          <w:color w:val="000000" w:themeColor="text1"/>
          <w:kern w:val="0"/>
          <w:sz w:val="24"/>
          <w:szCs w:val="24"/>
          <w:lang w:eastAsia="pl-PL"/>
          <w14:ligatures w14:val="none"/>
        </w:rPr>
        <w:t>wyłącznie sądy (</w:t>
      </w:r>
      <w:r w:rsidR="00DC374F" w:rsidRPr="004F2491">
        <w:rPr>
          <w:rFonts w:ascii="Times New Roman" w:eastAsia="Times New Roman" w:hAnsi="Times New Roman" w:cs="Times New Roman"/>
          <w:color w:val="000000" w:themeColor="text1"/>
          <w:kern w:val="0"/>
          <w:sz w:val="24"/>
          <w:szCs w:val="24"/>
          <w:lang w:eastAsia="pl-PL"/>
          <w14:ligatures w14:val="none"/>
        </w:rPr>
        <w:t>Sąd Najwyższy, sądy powszechne, sądy administracyjne oraz sądy wojskowe</w:t>
      </w:r>
      <w:r w:rsidR="000C284E" w:rsidRPr="004F2491">
        <w:rPr>
          <w:rFonts w:ascii="Times New Roman" w:eastAsia="Times New Roman" w:hAnsi="Times New Roman" w:cs="Times New Roman"/>
          <w:color w:val="000000" w:themeColor="text1"/>
          <w:kern w:val="0"/>
          <w:sz w:val="24"/>
          <w:szCs w:val="24"/>
          <w:lang w:eastAsia="pl-PL"/>
          <w14:ligatures w14:val="none"/>
        </w:rPr>
        <w:t>)</w:t>
      </w:r>
      <w:r w:rsidR="00DC374F" w:rsidRPr="004F2491">
        <w:rPr>
          <w:rFonts w:ascii="Times New Roman" w:eastAsia="Times New Roman" w:hAnsi="Times New Roman" w:cs="Times New Roman"/>
          <w:color w:val="000000" w:themeColor="text1"/>
          <w:kern w:val="0"/>
          <w:sz w:val="24"/>
          <w:szCs w:val="24"/>
          <w:lang w:eastAsia="pl-PL"/>
          <w14:ligatures w14:val="none"/>
        </w:rPr>
        <w:t>.</w:t>
      </w:r>
      <w:r w:rsidR="005B5FD3" w:rsidRPr="004F2491">
        <w:rPr>
          <w:rFonts w:ascii="Times New Roman" w:eastAsia="Times New Roman" w:hAnsi="Times New Roman" w:cs="Times New Roman"/>
          <w:color w:val="000000" w:themeColor="text1"/>
          <w:kern w:val="0"/>
          <w:sz w:val="24"/>
          <w:szCs w:val="24"/>
          <w:lang w:eastAsia="pl-PL"/>
          <w14:ligatures w14:val="none"/>
        </w:rPr>
        <w:t xml:space="preserve"> </w:t>
      </w:r>
      <w:r w:rsidR="004F2491" w:rsidRPr="004F2491">
        <w:rPr>
          <w:rFonts w:ascii="Times New Roman" w:eastAsia="Times New Roman" w:hAnsi="Times New Roman" w:cs="Times New Roman"/>
          <w:color w:val="000000" w:themeColor="text1"/>
          <w:kern w:val="0"/>
          <w:sz w:val="24"/>
          <w:szCs w:val="24"/>
          <w:lang w:eastAsia="pl-PL"/>
          <w14:ligatures w14:val="none"/>
        </w:rPr>
        <w:t>Kompetencja sądów w „</w:t>
      </w:r>
      <w:r w:rsidR="004F2491" w:rsidRPr="006C40F2">
        <w:rPr>
          <w:rFonts w:ascii="Times New Roman" w:eastAsia="Times New Roman" w:hAnsi="Times New Roman" w:cs="Times New Roman"/>
          <w:i/>
          <w:iCs/>
          <w:color w:val="000000" w:themeColor="text1"/>
          <w:kern w:val="0"/>
          <w:sz w:val="24"/>
          <w:szCs w:val="24"/>
          <w:lang w:eastAsia="pl-PL"/>
          <w14:ligatures w14:val="none"/>
        </w:rPr>
        <w:t>sprawowaniu wymiaru sprawiedliwości</w:t>
      </w:r>
      <w:r w:rsidR="004F2491" w:rsidRPr="004F2491">
        <w:rPr>
          <w:rFonts w:ascii="Times New Roman" w:eastAsia="Times New Roman" w:hAnsi="Times New Roman" w:cs="Times New Roman"/>
          <w:color w:val="000000" w:themeColor="text1"/>
          <w:kern w:val="0"/>
          <w:sz w:val="24"/>
          <w:szCs w:val="24"/>
          <w:lang w:eastAsia="pl-PL"/>
          <w14:ligatures w14:val="none"/>
        </w:rPr>
        <w:t>” ma charakter wyłączny. W konsekwencji, sprawować wymiar sprawiedliwości mogą jedynie organy wskazane w art. 175 ust. 1 Konstytucji RP. Natomiast sprawy niemieszczące się w zakresie znaczeniowym „</w:t>
      </w:r>
      <w:r w:rsidR="004F2491" w:rsidRPr="006C40F2">
        <w:rPr>
          <w:rFonts w:ascii="Times New Roman" w:eastAsia="Times New Roman" w:hAnsi="Times New Roman" w:cs="Times New Roman"/>
          <w:i/>
          <w:iCs/>
          <w:color w:val="000000" w:themeColor="text1"/>
          <w:kern w:val="0"/>
          <w:sz w:val="24"/>
          <w:szCs w:val="24"/>
          <w:lang w:eastAsia="pl-PL"/>
          <w14:ligatures w14:val="none"/>
        </w:rPr>
        <w:t>sprawowania wymiaru sprawiedliwości</w:t>
      </w:r>
      <w:r w:rsidR="004F2491" w:rsidRPr="004F2491">
        <w:rPr>
          <w:rFonts w:ascii="Times New Roman" w:eastAsia="Times New Roman" w:hAnsi="Times New Roman" w:cs="Times New Roman"/>
          <w:color w:val="000000" w:themeColor="text1"/>
          <w:kern w:val="0"/>
          <w:sz w:val="24"/>
          <w:szCs w:val="24"/>
          <w:lang w:eastAsia="pl-PL"/>
          <w14:ligatures w14:val="none"/>
        </w:rPr>
        <w:t>” mogą być rozpatrywane przez organy pozasądowe, których rozstrzygnięcia muszą jednak podlegać kontroli sądowej (ze względu na treść art. 45 ust. 1 Konstytucji</w:t>
      </w:r>
      <w:r w:rsidR="00432B79">
        <w:rPr>
          <w:rFonts w:ascii="Times New Roman" w:eastAsia="Times New Roman" w:hAnsi="Times New Roman" w:cs="Times New Roman"/>
          <w:color w:val="000000" w:themeColor="text1"/>
          <w:kern w:val="0"/>
          <w:sz w:val="24"/>
          <w:szCs w:val="24"/>
          <w:lang w:eastAsia="pl-PL"/>
          <w14:ligatures w14:val="none"/>
        </w:rPr>
        <w:t xml:space="preserve"> RP</w:t>
      </w:r>
      <w:r w:rsidR="004F2491" w:rsidRPr="004F2491">
        <w:rPr>
          <w:rFonts w:ascii="Times New Roman" w:eastAsia="Times New Roman" w:hAnsi="Times New Roman" w:cs="Times New Roman"/>
          <w:color w:val="000000" w:themeColor="text1"/>
          <w:kern w:val="0"/>
          <w:sz w:val="24"/>
          <w:szCs w:val="24"/>
          <w:lang w:eastAsia="pl-PL"/>
          <w14:ligatures w14:val="none"/>
        </w:rPr>
        <w:t>, z którego wynika prawo każdej jednostki do sądowego rozpatrzenia jej sprawy). Natomiast jeśli chodzi o znaczenie pojęcia „</w:t>
      </w:r>
      <w:r w:rsidR="004F2491" w:rsidRPr="006C40F2">
        <w:rPr>
          <w:rFonts w:ascii="Times New Roman" w:eastAsia="Times New Roman" w:hAnsi="Times New Roman" w:cs="Times New Roman"/>
          <w:i/>
          <w:iCs/>
          <w:color w:val="000000" w:themeColor="text1"/>
          <w:kern w:val="0"/>
          <w:sz w:val="24"/>
          <w:szCs w:val="24"/>
          <w:lang w:eastAsia="pl-PL"/>
          <w14:ligatures w14:val="none"/>
        </w:rPr>
        <w:t>sprawowanie wymiaru sprawiedliwości</w:t>
      </w:r>
      <w:r w:rsidR="004F2491" w:rsidRPr="004F2491">
        <w:rPr>
          <w:rFonts w:ascii="Times New Roman" w:eastAsia="Times New Roman" w:hAnsi="Times New Roman" w:cs="Times New Roman"/>
          <w:color w:val="000000" w:themeColor="text1"/>
          <w:kern w:val="0"/>
          <w:sz w:val="24"/>
          <w:szCs w:val="24"/>
          <w:lang w:eastAsia="pl-PL"/>
          <w14:ligatures w14:val="none"/>
        </w:rPr>
        <w:t xml:space="preserve">”, to zgodnie z powszechnie przyjętą definicją polega ono na wiążącym rozstrzyganiu sporów o prawo, w których przynajmniej jedną ze stron jest jednostka lub inny podmiot podobny. </w:t>
      </w:r>
      <w:r w:rsidR="004F2491" w:rsidRPr="004F2491">
        <w:rPr>
          <w:rFonts w:ascii="Times New Roman" w:eastAsia="Times New Roman" w:hAnsi="Times New Roman" w:cs="Times New Roman"/>
          <w:color w:val="000000" w:themeColor="text1"/>
          <w:kern w:val="0"/>
          <w:sz w:val="24"/>
          <w:szCs w:val="24"/>
          <w:lang w:eastAsia="pl-PL"/>
          <w14:ligatures w14:val="none"/>
        </w:rPr>
        <w:lastRenderedPageBreak/>
        <w:t>„</w:t>
      </w:r>
      <w:r w:rsidR="004F2491" w:rsidRPr="006C40F2">
        <w:rPr>
          <w:rFonts w:ascii="Times New Roman" w:eastAsia="Times New Roman" w:hAnsi="Times New Roman" w:cs="Times New Roman"/>
          <w:i/>
          <w:iCs/>
          <w:color w:val="000000" w:themeColor="text1"/>
          <w:kern w:val="0"/>
          <w:sz w:val="24"/>
          <w:szCs w:val="24"/>
          <w:lang w:eastAsia="pl-PL"/>
          <w14:ligatures w14:val="none"/>
        </w:rPr>
        <w:t>Sprawując wymiar sprawiedliwości</w:t>
      </w:r>
      <w:r w:rsidR="004F2491" w:rsidRPr="004F2491">
        <w:rPr>
          <w:rFonts w:ascii="Times New Roman" w:eastAsia="Times New Roman" w:hAnsi="Times New Roman" w:cs="Times New Roman"/>
          <w:color w:val="000000" w:themeColor="text1"/>
          <w:kern w:val="0"/>
          <w:sz w:val="24"/>
          <w:szCs w:val="24"/>
          <w:lang w:eastAsia="pl-PL"/>
          <w14:ligatures w14:val="none"/>
        </w:rPr>
        <w:t>” sąd orzeka więc merytorycznie o zakresie spornych praw, wolności lub obowiązków jednostki</w:t>
      </w:r>
      <w:r w:rsidR="004F2491" w:rsidRPr="004F2491">
        <w:rPr>
          <w:rStyle w:val="Odwoanieprzypisudolnego"/>
          <w:rFonts w:ascii="Times New Roman" w:eastAsia="Times New Roman" w:hAnsi="Times New Roman" w:cs="Times New Roman"/>
          <w:color w:val="000000" w:themeColor="text1"/>
          <w:kern w:val="0"/>
          <w:sz w:val="24"/>
          <w:szCs w:val="24"/>
          <w:lang w:eastAsia="pl-PL"/>
          <w14:ligatures w14:val="none"/>
        </w:rPr>
        <w:footnoteReference w:id="2"/>
      </w:r>
      <w:r w:rsidR="004F2491" w:rsidRPr="004F2491">
        <w:rPr>
          <w:rFonts w:ascii="Times New Roman" w:eastAsia="Times New Roman" w:hAnsi="Times New Roman" w:cs="Times New Roman"/>
          <w:color w:val="000000" w:themeColor="text1"/>
          <w:kern w:val="0"/>
          <w:sz w:val="24"/>
          <w:szCs w:val="24"/>
          <w:lang w:eastAsia="pl-PL"/>
          <w14:ligatures w14:val="none"/>
        </w:rPr>
        <w:t xml:space="preserve">. </w:t>
      </w:r>
    </w:p>
    <w:p w14:paraId="1F32972F" w14:textId="055D42FB" w:rsidR="006E5B64" w:rsidRPr="004F2491" w:rsidRDefault="00E54DE9" w:rsidP="005B5FD3">
      <w:pPr>
        <w:shd w:val="clear" w:color="auto" w:fill="FFFFFF"/>
        <w:spacing w:after="0" w:line="360" w:lineRule="auto"/>
        <w:ind w:firstLine="709"/>
        <w:jc w:val="both"/>
        <w:rPr>
          <w:rStyle w:val="Pogrubienie"/>
          <w:rFonts w:ascii="Times New Roman" w:eastAsiaTheme="majorEastAsia" w:hAnsi="Times New Roman" w:cs="Times New Roman"/>
          <w:b w:val="0"/>
          <w:color w:val="000000" w:themeColor="text1"/>
          <w:sz w:val="24"/>
          <w:szCs w:val="24"/>
        </w:rPr>
      </w:pPr>
      <w:r w:rsidRPr="004F2491">
        <w:rPr>
          <w:rFonts w:ascii="Times New Roman" w:hAnsi="Times New Roman" w:cs="Times New Roman"/>
          <w:color w:val="000000" w:themeColor="text1"/>
          <w:sz w:val="24"/>
          <w:szCs w:val="24"/>
        </w:rPr>
        <w:t xml:space="preserve">Jeżeli </w:t>
      </w:r>
      <w:r w:rsidR="00C13928" w:rsidRPr="004F2491">
        <w:rPr>
          <w:rFonts w:ascii="Times New Roman" w:hAnsi="Times New Roman" w:cs="Times New Roman"/>
          <w:color w:val="000000" w:themeColor="text1"/>
          <w:sz w:val="24"/>
          <w:szCs w:val="24"/>
        </w:rPr>
        <w:t xml:space="preserve">zaś </w:t>
      </w:r>
      <w:r w:rsidRPr="004F2491">
        <w:rPr>
          <w:rFonts w:ascii="Times New Roman" w:hAnsi="Times New Roman" w:cs="Times New Roman"/>
          <w:color w:val="000000" w:themeColor="text1"/>
          <w:sz w:val="24"/>
          <w:szCs w:val="24"/>
        </w:rPr>
        <w:t>Ministerstwo Sprawiedliwości za pomocą projektowanej regulacji planowało być, w niektórych kategorii spraw,</w:t>
      </w:r>
      <w:r w:rsidR="00605A8D">
        <w:rPr>
          <w:rFonts w:ascii="Times New Roman" w:hAnsi="Times New Roman" w:cs="Times New Roman"/>
          <w:color w:val="000000" w:themeColor="text1"/>
          <w:sz w:val="24"/>
          <w:szCs w:val="24"/>
        </w:rPr>
        <w:t xml:space="preserve"> </w:t>
      </w:r>
      <w:r w:rsidRPr="004F2491">
        <w:rPr>
          <w:rFonts w:ascii="Times New Roman" w:hAnsi="Times New Roman" w:cs="Times New Roman"/>
          <w:color w:val="000000" w:themeColor="text1"/>
          <w:sz w:val="24"/>
          <w:szCs w:val="24"/>
        </w:rPr>
        <w:t>pośrednikiem w przekazywaniu wniosków o przejęcie i przekazanie do wykonania orzeczeń skazujących na kary nieizolacyjne, należało to wprost przewidzieć w projektowanym art. 611f¹</w:t>
      </w:r>
      <w:r w:rsidR="00605A8D">
        <w:rPr>
          <w:rFonts w:ascii="Times New Roman" w:hAnsi="Times New Roman" w:cs="Times New Roman"/>
          <w:color w:val="000000" w:themeColor="text1"/>
          <w:sz w:val="24"/>
          <w:szCs w:val="24"/>
        </w:rPr>
        <w:t xml:space="preserve"> </w:t>
      </w:r>
      <w:r w:rsidRPr="004F2491">
        <w:rPr>
          <w:rFonts w:ascii="Times New Roman" w:hAnsi="Times New Roman" w:cs="Times New Roman"/>
          <w:color w:val="000000" w:themeColor="text1"/>
          <w:sz w:val="24"/>
          <w:szCs w:val="24"/>
        </w:rPr>
        <w:t xml:space="preserve">k.p.k. Takiemu rozwiązania nie sprzeciwia się art. 82 ust. 2 Protokołu </w:t>
      </w:r>
      <w:r w:rsidRPr="004F2491">
        <w:rPr>
          <w:rStyle w:val="Pogrubienie"/>
          <w:rFonts w:ascii="Times New Roman" w:eastAsiaTheme="majorEastAsia" w:hAnsi="Times New Roman" w:cs="Times New Roman"/>
          <w:b w:val="0"/>
          <w:color w:val="000000" w:themeColor="text1"/>
          <w:sz w:val="24"/>
          <w:szCs w:val="24"/>
        </w:rPr>
        <w:t>między Rzecząpospolitą Polską a Ukrainą o zmianie Umowy między Rzecząpospolitą Polską a Ukrainą o pomocy prawnej i stosunkach prawnych w sprawach cywilnych i karnych z dnia 24 maja 1993 r.</w:t>
      </w:r>
    </w:p>
    <w:p w14:paraId="61ABE226" w14:textId="21AC8928" w:rsidR="00280B0C" w:rsidRPr="004F2491" w:rsidRDefault="00A37213" w:rsidP="00280B0C">
      <w:pPr>
        <w:shd w:val="clear" w:color="auto" w:fill="FFFFFF"/>
        <w:spacing w:after="0" w:line="360" w:lineRule="auto"/>
        <w:ind w:firstLine="709"/>
        <w:jc w:val="both"/>
        <w:rPr>
          <w:rFonts w:ascii="Times New Roman" w:hAnsi="Times New Roman" w:cs="Times New Roman"/>
          <w:color w:val="000000" w:themeColor="text1"/>
          <w:sz w:val="24"/>
          <w:szCs w:val="24"/>
        </w:rPr>
      </w:pPr>
      <w:r w:rsidRPr="004F2491">
        <w:rPr>
          <w:rStyle w:val="Pogrubienie"/>
          <w:rFonts w:ascii="Times New Roman" w:eastAsiaTheme="majorEastAsia" w:hAnsi="Times New Roman" w:cs="Times New Roman"/>
          <w:color w:val="000000" w:themeColor="text1"/>
          <w:sz w:val="24"/>
          <w:szCs w:val="24"/>
        </w:rPr>
        <w:t>4.</w:t>
      </w:r>
      <w:r w:rsidRPr="004F2491">
        <w:rPr>
          <w:rStyle w:val="Pogrubienie"/>
          <w:rFonts w:ascii="Times New Roman" w:eastAsiaTheme="majorEastAsia" w:hAnsi="Times New Roman" w:cs="Times New Roman"/>
          <w:b w:val="0"/>
          <w:color w:val="000000" w:themeColor="text1"/>
          <w:sz w:val="24"/>
          <w:szCs w:val="24"/>
        </w:rPr>
        <w:t xml:space="preserve"> Niezależnie od podniesionych</w:t>
      </w:r>
      <w:r w:rsidR="00605A8D">
        <w:rPr>
          <w:rStyle w:val="Pogrubienie"/>
          <w:rFonts w:ascii="Times New Roman" w:eastAsiaTheme="majorEastAsia" w:hAnsi="Times New Roman" w:cs="Times New Roman"/>
          <w:b w:val="0"/>
          <w:color w:val="000000" w:themeColor="text1"/>
          <w:sz w:val="24"/>
          <w:szCs w:val="24"/>
        </w:rPr>
        <w:t xml:space="preserve"> uwag</w:t>
      </w:r>
      <w:r w:rsidRPr="004F2491">
        <w:rPr>
          <w:rStyle w:val="Pogrubienie"/>
          <w:rFonts w:ascii="Times New Roman" w:eastAsiaTheme="majorEastAsia" w:hAnsi="Times New Roman" w:cs="Times New Roman"/>
          <w:b w:val="0"/>
          <w:color w:val="000000" w:themeColor="text1"/>
          <w:sz w:val="24"/>
          <w:szCs w:val="24"/>
        </w:rPr>
        <w:t xml:space="preserve"> wskazać należy, że ww. Protokół </w:t>
      </w:r>
      <w:r w:rsidRPr="004F2491">
        <w:rPr>
          <w:rStyle w:val="Pogrubienie"/>
          <w:rFonts w:ascii="Times New Roman" w:eastAsiaTheme="majorEastAsia" w:hAnsi="Times New Roman" w:cs="Times New Roman"/>
          <w:b w:val="0"/>
          <w:bCs w:val="0"/>
          <w:color w:val="000000" w:themeColor="text1"/>
          <w:sz w:val="24"/>
          <w:szCs w:val="24"/>
        </w:rPr>
        <w:t xml:space="preserve">między Rzecząpospolitą Polską a Ukrainą </w:t>
      </w:r>
      <w:r w:rsidR="00605A8D" w:rsidRPr="00682499">
        <w:rPr>
          <w:rStyle w:val="Pogrubienie"/>
          <w:rFonts w:ascii="Times New Roman" w:eastAsiaTheme="majorEastAsia" w:hAnsi="Times New Roman" w:cs="Times New Roman"/>
          <w:b w:val="0"/>
          <w:bCs w:val="0"/>
          <w:color w:val="000000" w:themeColor="text1"/>
          <w:sz w:val="24"/>
          <w:szCs w:val="24"/>
        </w:rPr>
        <w:t>nie</w:t>
      </w:r>
      <w:r w:rsidR="00605A8D">
        <w:rPr>
          <w:rStyle w:val="Pogrubienie"/>
          <w:rFonts w:ascii="Times New Roman" w:eastAsiaTheme="majorEastAsia" w:hAnsi="Times New Roman" w:cs="Times New Roman"/>
          <w:b w:val="0"/>
          <w:bCs w:val="0"/>
          <w:color w:val="000000" w:themeColor="text1"/>
          <w:sz w:val="24"/>
          <w:szCs w:val="24"/>
        </w:rPr>
        <w:t xml:space="preserve"> </w:t>
      </w:r>
      <w:r w:rsidRPr="004F2491">
        <w:rPr>
          <w:rStyle w:val="Pogrubienie"/>
          <w:rFonts w:ascii="Times New Roman" w:eastAsiaTheme="majorEastAsia" w:hAnsi="Times New Roman" w:cs="Times New Roman"/>
          <w:b w:val="0"/>
          <w:bCs w:val="0"/>
          <w:color w:val="000000" w:themeColor="text1"/>
          <w:sz w:val="24"/>
          <w:szCs w:val="24"/>
        </w:rPr>
        <w:t xml:space="preserve">reguluje kwestii </w:t>
      </w:r>
      <w:r w:rsidRPr="004F2491">
        <w:rPr>
          <w:rStyle w:val="Pogrubienie"/>
          <w:rFonts w:ascii="Times New Roman" w:eastAsiaTheme="majorEastAsia" w:hAnsi="Times New Roman" w:cs="Times New Roman"/>
          <w:b w:val="0"/>
          <w:color w:val="000000" w:themeColor="text1"/>
          <w:sz w:val="24"/>
          <w:szCs w:val="24"/>
        </w:rPr>
        <w:t xml:space="preserve">właściwości sądu w zakresie </w:t>
      </w:r>
      <w:r w:rsidRPr="004F2491">
        <w:rPr>
          <w:rFonts w:ascii="Times New Roman" w:hAnsi="Times New Roman" w:cs="Times New Roman"/>
          <w:color w:val="000000" w:themeColor="text1"/>
          <w:sz w:val="24"/>
          <w:szCs w:val="24"/>
        </w:rPr>
        <w:t>przekazywania wniosków o przejęcie i przekazanie do wykonania orzeczeń skazujących na kary nieizolacyjne.</w:t>
      </w:r>
      <w:r w:rsidR="00605A8D">
        <w:rPr>
          <w:rFonts w:ascii="Times New Roman" w:hAnsi="Times New Roman" w:cs="Times New Roman"/>
          <w:color w:val="000000" w:themeColor="text1"/>
          <w:sz w:val="24"/>
          <w:szCs w:val="24"/>
        </w:rPr>
        <w:t xml:space="preserve"> </w:t>
      </w:r>
      <w:r w:rsidRPr="004F2491">
        <w:rPr>
          <w:rFonts w:ascii="Times New Roman" w:hAnsi="Times New Roman" w:cs="Times New Roman"/>
          <w:color w:val="000000" w:themeColor="text1"/>
          <w:sz w:val="24"/>
          <w:szCs w:val="24"/>
        </w:rPr>
        <w:t xml:space="preserve">Oznacza to zatem, że poprzez treść art. 615 § 2 k.p.k., znajdzie odpowiednie zastosowanie art. 611 k.p.k. </w:t>
      </w:r>
      <w:r w:rsidR="00280B0C" w:rsidRPr="004F2491">
        <w:rPr>
          <w:rFonts w:ascii="Times New Roman" w:hAnsi="Times New Roman" w:cs="Times New Roman"/>
          <w:color w:val="000000" w:themeColor="text1"/>
          <w:sz w:val="24"/>
          <w:szCs w:val="24"/>
        </w:rPr>
        <w:t>Należy jednak podnieść, że ten ostatni dotyczy m.in. w</w:t>
      </w:r>
      <w:r w:rsidR="00280B0C" w:rsidRPr="004F2491">
        <w:rPr>
          <w:rFonts w:ascii="Times New Roman" w:hAnsi="Times New Roman" w:cs="Times New Roman"/>
          <w:sz w:val="24"/>
          <w:szCs w:val="24"/>
        </w:rPr>
        <w:t>łaściwości sądu orzekającego w zakresie dopuszczalności przejęcia do wykonania w Polsce orzeczenia o karze lub środku niepolegającym na pozbawieniu wolności oraz właściwości sądu orzekającego w zakresie dopuszczalności przekazania do wykonania za granicą orzeczenia o karze lub innym środku o charakterze nieizolacyjnym. I tak, j</w:t>
      </w:r>
      <w:r w:rsidRPr="004F2491">
        <w:rPr>
          <w:rFonts w:ascii="Times New Roman" w:hAnsi="Times New Roman" w:cs="Times New Roman"/>
          <w:color w:val="000000" w:themeColor="text1"/>
          <w:sz w:val="24"/>
          <w:szCs w:val="24"/>
        </w:rPr>
        <w:t>eżeli przedmiotem rozpoznania jest dopuszczalność przejęcia orzeczenia zagranicznego w celu wykonania w Polsce kary lub środka niepolegających na pozbawieniu wolności (grzywna, zakaz zajmowania określonego stanowiska, wykonywania określonego zawodu lub prowadzenia określonej działalności gospodarczej, zakaz prowadzenia pojazdów, przepadek albo środek zabezpieczający niepolegający na pozbawieniu wolności), właściwy do wydania postanowienia w tym przedmiocie jest sąd rejonowy, w którego okręgu skazany ostatnio mieszkał lub czasowo przebywał, a jeśli tego nie ustalono – gdzie znajduje się mienie nadające się do egzekucji lub też skazany prowadzi działalność objętą zakazem (art. 611 § 2</w:t>
      </w:r>
      <w:r w:rsidR="00280B0C" w:rsidRPr="004F2491">
        <w:rPr>
          <w:rFonts w:ascii="Times New Roman" w:hAnsi="Times New Roman" w:cs="Times New Roman"/>
          <w:color w:val="000000" w:themeColor="text1"/>
          <w:sz w:val="24"/>
          <w:szCs w:val="24"/>
        </w:rPr>
        <w:t xml:space="preserve"> k.p.k.</w:t>
      </w:r>
      <w:r w:rsidRPr="004F2491">
        <w:rPr>
          <w:rFonts w:ascii="Times New Roman" w:hAnsi="Times New Roman" w:cs="Times New Roman"/>
          <w:color w:val="000000" w:themeColor="text1"/>
          <w:sz w:val="24"/>
          <w:szCs w:val="24"/>
        </w:rPr>
        <w:t xml:space="preserve">), w przypadku zaś, gdy właściwości sądu nie można ustalić według tej zasady – </w:t>
      </w:r>
      <w:r w:rsidR="00605A8D">
        <w:rPr>
          <w:rFonts w:ascii="Times New Roman" w:hAnsi="Times New Roman" w:cs="Times New Roman"/>
          <w:color w:val="000000" w:themeColor="text1"/>
          <w:sz w:val="24"/>
          <w:szCs w:val="24"/>
        </w:rPr>
        <w:t>s</w:t>
      </w:r>
      <w:r w:rsidRPr="004F2491">
        <w:rPr>
          <w:rFonts w:ascii="Times New Roman" w:hAnsi="Times New Roman" w:cs="Times New Roman"/>
          <w:color w:val="000000" w:themeColor="text1"/>
          <w:sz w:val="24"/>
          <w:szCs w:val="24"/>
        </w:rPr>
        <w:t xml:space="preserve">ąd </w:t>
      </w:r>
      <w:r w:rsidR="00605A8D">
        <w:rPr>
          <w:rFonts w:ascii="Times New Roman" w:hAnsi="Times New Roman" w:cs="Times New Roman"/>
          <w:color w:val="000000" w:themeColor="text1"/>
          <w:sz w:val="24"/>
          <w:szCs w:val="24"/>
        </w:rPr>
        <w:t>r</w:t>
      </w:r>
      <w:r w:rsidRPr="004F2491">
        <w:rPr>
          <w:rFonts w:ascii="Times New Roman" w:hAnsi="Times New Roman" w:cs="Times New Roman"/>
          <w:color w:val="000000" w:themeColor="text1"/>
          <w:sz w:val="24"/>
          <w:szCs w:val="24"/>
        </w:rPr>
        <w:t>ejonowy właściwy dla dzielnicy Śródmieście miasta stołecznego Warszawy (art. 611 § 5</w:t>
      </w:r>
      <w:r w:rsidR="00280B0C" w:rsidRPr="004F2491">
        <w:rPr>
          <w:rFonts w:ascii="Times New Roman" w:hAnsi="Times New Roman" w:cs="Times New Roman"/>
          <w:color w:val="000000" w:themeColor="text1"/>
          <w:sz w:val="24"/>
          <w:szCs w:val="24"/>
        </w:rPr>
        <w:t xml:space="preserve"> k.p.k.</w:t>
      </w:r>
      <w:r w:rsidRPr="004F2491">
        <w:rPr>
          <w:rFonts w:ascii="Times New Roman" w:hAnsi="Times New Roman" w:cs="Times New Roman"/>
          <w:color w:val="000000" w:themeColor="text1"/>
          <w:sz w:val="24"/>
          <w:szCs w:val="24"/>
        </w:rPr>
        <w:t>). Reguła ta ma zastosowanie zarówno w przypadku, gdy przejęcie skazanego ma nastąpić z inicjatywy Ministra Sprawiedliwości (art. 608 § 3 w zw. z art. 608 § 2</w:t>
      </w:r>
      <w:r w:rsidR="00280B0C" w:rsidRPr="004F2491">
        <w:rPr>
          <w:rFonts w:ascii="Times New Roman" w:hAnsi="Times New Roman" w:cs="Times New Roman"/>
          <w:color w:val="000000" w:themeColor="text1"/>
          <w:sz w:val="24"/>
          <w:szCs w:val="24"/>
        </w:rPr>
        <w:t xml:space="preserve"> k.p.k.</w:t>
      </w:r>
      <w:r w:rsidRPr="004F2491">
        <w:rPr>
          <w:rFonts w:ascii="Times New Roman" w:hAnsi="Times New Roman" w:cs="Times New Roman"/>
          <w:color w:val="000000" w:themeColor="text1"/>
          <w:sz w:val="24"/>
          <w:szCs w:val="24"/>
        </w:rPr>
        <w:t>), jak i wtedy, gdy ze stosownym wnioskiem wystąpiło państwo obce (art. 609 § 2</w:t>
      </w:r>
      <w:r w:rsidR="00280B0C" w:rsidRPr="004F2491">
        <w:rPr>
          <w:rFonts w:ascii="Times New Roman" w:hAnsi="Times New Roman" w:cs="Times New Roman"/>
          <w:color w:val="000000" w:themeColor="text1"/>
          <w:sz w:val="24"/>
          <w:szCs w:val="24"/>
        </w:rPr>
        <w:t xml:space="preserve"> k.p.k.</w:t>
      </w:r>
      <w:r w:rsidRPr="004F2491">
        <w:rPr>
          <w:rFonts w:ascii="Times New Roman" w:hAnsi="Times New Roman" w:cs="Times New Roman"/>
          <w:color w:val="000000" w:themeColor="text1"/>
          <w:sz w:val="24"/>
          <w:szCs w:val="24"/>
        </w:rPr>
        <w:t>).</w:t>
      </w:r>
      <w:r w:rsidR="00280B0C" w:rsidRPr="004F2491">
        <w:rPr>
          <w:rFonts w:ascii="Times New Roman" w:hAnsi="Times New Roman" w:cs="Times New Roman"/>
          <w:color w:val="000000" w:themeColor="text1"/>
          <w:sz w:val="24"/>
          <w:szCs w:val="24"/>
        </w:rPr>
        <w:t xml:space="preserve"> Natomiast, jeżeli przedmiotem </w:t>
      </w:r>
      <w:r w:rsidR="00280B0C" w:rsidRPr="004F2491">
        <w:rPr>
          <w:rFonts w:ascii="Times New Roman" w:hAnsi="Times New Roman" w:cs="Times New Roman"/>
          <w:color w:val="000000" w:themeColor="text1"/>
          <w:sz w:val="24"/>
          <w:szCs w:val="24"/>
        </w:rPr>
        <w:lastRenderedPageBreak/>
        <w:t xml:space="preserve">rozpoznania jest dopuszczalność przekazania na wniosek państwa obcego wydanego w Polsce orzeczenia w celu wykonania za granicą kary lub środka niepolegającego na pozbawieniu wolności (grzywna, zakaz zajmowania określonego stanowiska, wykonywania określonego zawodu lub prowadzenia określonej działalności gospodarczej, zakaz prowadzenia pojazdów, przepadek albo środek zabezpieczający niepolegający na pozbawieniu wolności), właściwy do wydania postanowienia w tym przedmiocie jest sąd rejonowy, w którego okręgu skazany ostatnio mieszkał lub czasowo przebywał, a jeśli tego nie ustalono – gdzie znajduje się mienie nadające się do egzekucji lub gdzie skazany prowadził działalność objętą zakazem (art. 611 § 2 k.p.k.). Jeśli jednak nie można ustalić tej właściwości według wymienionych kryteriów, sprawę rozpoznaje sąd rejonowy właściwy dla dzielnicy Śródmieście miasta stołecznego Warszawy. </w:t>
      </w:r>
    </w:p>
    <w:p w14:paraId="32DB0472" w14:textId="09EEB5FD" w:rsidR="00337891" w:rsidRPr="004F2491" w:rsidRDefault="00280B0C" w:rsidP="00337891">
      <w:pPr>
        <w:shd w:val="clear" w:color="auto" w:fill="FFFFFF"/>
        <w:spacing w:after="0" w:line="360" w:lineRule="auto"/>
        <w:ind w:firstLine="709"/>
        <w:jc w:val="both"/>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Biorąc pod uwagę odmienności w zakresie postrzegania</w:t>
      </w:r>
      <w:r w:rsidR="00605A8D">
        <w:rPr>
          <w:rFonts w:ascii="Times New Roman" w:hAnsi="Times New Roman" w:cs="Times New Roman"/>
          <w:color w:val="000000" w:themeColor="text1"/>
          <w:sz w:val="24"/>
          <w:szCs w:val="24"/>
        </w:rPr>
        <w:t xml:space="preserve"> </w:t>
      </w:r>
      <w:r w:rsidRPr="004F2491">
        <w:rPr>
          <w:rFonts w:ascii="Times New Roman" w:hAnsi="Times New Roman" w:cs="Times New Roman"/>
          <w:color w:val="000000" w:themeColor="text1"/>
          <w:sz w:val="24"/>
          <w:szCs w:val="24"/>
        </w:rPr>
        <w:t xml:space="preserve">kary </w:t>
      </w:r>
      <w:r w:rsidRPr="004F2491">
        <w:rPr>
          <w:rFonts w:ascii="Times New Roman" w:hAnsi="Times New Roman" w:cs="Times New Roman"/>
          <w:sz w:val="24"/>
          <w:szCs w:val="24"/>
        </w:rPr>
        <w:t>lub innego środk</w:t>
      </w:r>
      <w:r w:rsidR="00605A8D">
        <w:rPr>
          <w:rFonts w:ascii="Times New Roman" w:hAnsi="Times New Roman" w:cs="Times New Roman"/>
          <w:sz w:val="24"/>
          <w:szCs w:val="24"/>
        </w:rPr>
        <w:t>a</w:t>
      </w:r>
      <w:r w:rsidRPr="004F2491">
        <w:rPr>
          <w:rFonts w:ascii="Times New Roman" w:hAnsi="Times New Roman" w:cs="Times New Roman"/>
          <w:sz w:val="24"/>
          <w:szCs w:val="24"/>
        </w:rPr>
        <w:t xml:space="preserve"> o charakterze nieizolacyjnym w świetle </w:t>
      </w:r>
      <w:r w:rsidRPr="004F2491">
        <w:rPr>
          <w:rStyle w:val="Pogrubienie"/>
          <w:rFonts w:ascii="Times New Roman" w:eastAsiaTheme="majorEastAsia" w:hAnsi="Times New Roman" w:cs="Times New Roman"/>
          <w:b w:val="0"/>
          <w:color w:val="000000" w:themeColor="text1"/>
          <w:sz w:val="24"/>
          <w:szCs w:val="24"/>
        </w:rPr>
        <w:t xml:space="preserve">ww. </w:t>
      </w:r>
      <w:r w:rsidR="0038036A">
        <w:rPr>
          <w:rStyle w:val="Pogrubienie"/>
          <w:rFonts w:ascii="Times New Roman" w:eastAsiaTheme="majorEastAsia" w:hAnsi="Times New Roman" w:cs="Times New Roman"/>
          <w:b w:val="0"/>
          <w:color w:val="000000" w:themeColor="text1"/>
          <w:sz w:val="24"/>
          <w:szCs w:val="24"/>
        </w:rPr>
        <w:t>Protokołu</w:t>
      </w:r>
      <w:r w:rsidR="0038036A" w:rsidRPr="004F2491">
        <w:rPr>
          <w:rStyle w:val="Pogrubienie"/>
          <w:rFonts w:ascii="Times New Roman" w:eastAsiaTheme="majorEastAsia" w:hAnsi="Times New Roman" w:cs="Times New Roman"/>
          <w:b w:val="0"/>
          <w:color w:val="000000" w:themeColor="text1"/>
          <w:sz w:val="24"/>
          <w:szCs w:val="24"/>
        </w:rPr>
        <w:t xml:space="preserve"> </w:t>
      </w:r>
      <w:r w:rsidRPr="004F2491">
        <w:rPr>
          <w:rStyle w:val="Pogrubienie"/>
          <w:rFonts w:ascii="Times New Roman" w:eastAsiaTheme="majorEastAsia" w:hAnsi="Times New Roman" w:cs="Times New Roman"/>
          <w:b w:val="0"/>
          <w:bCs w:val="0"/>
          <w:color w:val="000000" w:themeColor="text1"/>
          <w:sz w:val="24"/>
          <w:szCs w:val="24"/>
        </w:rPr>
        <w:t>między Rzecząpospolitą Polską a Ukrainą (obejmuje on także karę ograniczenia wolności) w stosunku do zakresu przedmiotowego przejęci</w:t>
      </w:r>
      <w:r w:rsidR="0038036A">
        <w:rPr>
          <w:rStyle w:val="Pogrubienie"/>
          <w:rFonts w:ascii="Times New Roman" w:eastAsiaTheme="majorEastAsia" w:hAnsi="Times New Roman" w:cs="Times New Roman"/>
          <w:b w:val="0"/>
          <w:bCs w:val="0"/>
          <w:color w:val="000000" w:themeColor="text1"/>
          <w:sz w:val="24"/>
          <w:szCs w:val="24"/>
        </w:rPr>
        <w:t>a</w:t>
      </w:r>
      <w:r w:rsidRPr="004F2491">
        <w:rPr>
          <w:rStyle w:val="Pogrubienie"/>
          <w:rFonts w:ascii="Times New Roman" w:eastAsiaTheme="majorEastAsia" w:hAnsi="Times New Roman" w:cs="Times New Roman"/>
          <w:b w:val="0"/>
          <w:bCs w:val="0"/>
          <w:color w:val="000000" w:themeColor="text1"/>
          <w:sz w:val="24"/>
          <w:szCs w:val="24"/>
        </w:rPr>
        <w:t xml:space="preserve"> i przekazania orzeczenia do wykonania określonego w </w:t>
      </w:r>
      <w:r w:rsidR="00605A8D">
        <w:rPr>
          <w:rStyle w:val="Pogrubienie"/>
          <w:rFonts w:ascii="Times New Roman" w:eastAsiaTheme="majorEastAsia" w:hAnsi="Times New Roman" w:cs="Times New Roman"/>
          <w:b w:val="0"/>
          <w:bCs w:val="0"/>
          <w:color w:val="000000" w:themeColor="text1"/>
          <w:sz w:val="24"/>
          <w:szCs w:val="24"/>
        </w:rPr>
        <w:t>r</w:t>
      </w:r>
      <w:r w:rsidRPr="004F2491">
        <w:rPr>
          <w:rStyle w:val="Pogrubienie"/>
          <w:rFonts w:ascii="Times New Roman" w:eastAsiaTheme="majorEastAsia" w:hAnsi="Times New Roman" w:cs="Times New Roman"/>
          <w:b w:val="0"/>
          <w:bCs w:val="0"/>
          <w:color w:val="000000" w:themeColor="text1"/>
          <w:sz w:val="24"/>
          <w:szCs w:val="24"/>
        </w:rPr>
        <w:t>ozdziale 66</w:t>
      </w:r>
      <w:r w:rsidR="00605A8D">
        <w:rPr>
          <w:rStyle w:val="Pogrubienie"/>
          <w:rFonts w:ascii="Times New Roman" w:eastAsiaTheme="majorEastAsia" w:hAnsi="Times New Roman" w:cs="Times New Roman"/>
          <w:b w:val="0"/>
          <w:bCs w:val="0"/>
          <w:color w:val="000000" w:themeColor="text1"/>
          <w:sz w:val="24"/>
          <w:szCs w:val="24"/>
        </w:rPr>
        <w:t>.</w:t>
      </w:r>
      <w:r w:rsidRPr="004F2491">
        <w:rPr>
          <w:rStyle w:val="Pogrubienie"/>
          <w:rFonts w:ascii="Times New Roman" w:eastAsiaTheme="majorEastAsia" w:hAnsi="Times New Roman" w:cs="Times New Roman"/>
          <w:b w:val="0"/>
          <w:bCs w:val="0"/>
          <w:color w:val="000000" w:themeColor="text1"/>
          <w:sz w:val="24"/>
          <w:szCs w:val="24"/>
        </w:rPr>
        <w:t xml:space="preserve"> </w:t>
      </w:r>
      <w:r w:rsidR="00605A8D">
        <w:rPr>
          <w:rStyle w:val="Pogrubienie"/>
          <w:rFonts w:ascii="Times New Roman" w:eastAsiaTheme="majorEastAsia" w:hAnsi="Times New Roman" w:cs="Times New Roman"/>
          <w:b w:val="0"/>
          <w:bCs w:val="0"/>
          <w:color w:val="000000" w:themeColor="text1"/>
          <w:sz w:val="24"/>
          <w:szCs w:val="24"/>
        </w:rPr>
        <w:t>Kodeksu postępowania karnego</w:t>
      </w:r>
      <w:r w:rsidRPr="004F2491">
        <w:rPr>
          <w:rStyle w:val="Pogrubienie"/>
          <w:rFonts w:ascii="Times New Roman" w:eastAsiaTheme="majorEastAsia" w:hAnsi="Times New Roman" w:cs="Times New Roman"/>
          <w:b w:val="0"/>
          <w:bCs w:val="0"/>
          <w:color w:val="000000" w:themeColor="text1"/>
          <w:sz w:val="24"/>
          <w:szCs w:val="24"/>
        </w:rPr>
        <w:t xml:space="preserve">, jak i </w:t>
      </w:r>
      <w:r w:rsidR="00337891" w:rsidRPr="004F2491">
        <w:rPr>
          <w:rStyle w:val="Pogrubienie"/>
          <w:rFonts w:ascii="Times New Roman" w:eastAsiaTheme="majorEastAsia" w:hAnsi="Times New Roman" w:cs="Times New Roman"/>
          <w:b w:val="0"/>
          <w:bCs w:val="0"/>
          <w:color w:val="000000" w:themeColor="text1"/>
          <w:sz w:val="24"/>
          <w:szCs w:val="24"/>
        </w:rPr>
        <w:t xml:space="preserve">bezpośredni tryb przekazywania wniosków o przejęcie i przekazanie do wykonania orzeczeń skazujących na kary nieizolacyjne między </w:t>
      </w:r>
      <w:r w:rsidR="004F2491" w:rsidRPr="004F2491">
        <w:rPr>
          <w:rStyle w:val="Pogrubienie"/>
          <w:rFonts w:ascii="Times New Roman" w:eastAsiaTheme="majorEastAsia" w:hAnsi="Times New Roman" w:cs="Times New Roman"/>
          <w:b w:val="0"/>
          <w:bCs w:val="0"/>
          <w:color w:val="000000" w:themeColor="text1"/>
          <w:sz w:val="24"/>
          <w:szCs w:val="24"/>
        </w:rPr>
        <w:t xml:space="preserve">sądami </w:t>
      </w:r>
      <w:r w:rsidR="00337891" w:rsidRPr="004F2491">
        <w:rPr>
          <w:rStyle w:val="Pogrubienie"/>
          <w:rFonts w:ascii="Times New Roman" w:eastAsiaTheme="majorEastAsia" w:hAnsi="Times New Roman" w:cs="Times New Roman"/>
          <w:b w:val="0"/>
          <w:bCs w:val="0"/>
          <w:color w:val="000000" w:themeColor="text1"/>
          <w:sz w:val="24"/>
          <w:szCs w:val="24"/>
        </w:rPr>
        <w:t>polskimi a właściwymi organami ukraińskimi, w</w:t>
      </w:r>
      <w:r w:rsidR="00163EBE" w:rsidRPr="004F2491">
        <w:rPr>
          <w:rFonts w:ascii="Times New Roman" w:hAnsi="Times New Roman" w:cs="Times New Roman"/>
          <w:color w:val="000000" w:themeColor="text1"/>
          <w:sz w:val="24"/>
          <w:szCs w:val="24"/>
        </w:rPr>
        <w:t xml:space="preserve">arto rozważyć </w:t>
      </w:r>
      <w:r w:rsidR="00337891" w:rsidRPr="004F2491">
        <w:rPr>
          <w:rFonts w:ascii="Times New Roman" w:hAnsi="Times New Roman" w:cs="Times New Roman"/>
          <w:color w:val="000000" w:themeColor="text1"/>
          <w:sz w:val="24"/>
          <w:szCs w:val="24"/>
        </w:rPr>
        <w:t xml:space="preserve">wprowadzenie do </w:t>
      </w:r>
      <w:r w:rsidR="00605A8D">
        <w:rPr>
          <w:rStyle w:val="Pogrubienie"/>
          <w:rFonts w:ascii="Times New Roman" w:eastAsiaTheme="majorEastAsia" w:hAnsi="Times New Roman" w:cs="Times New Roman"/>
          <w:b w:val="0"/>
          <w:bCs w:val="0"/>
          <w:color w:val="000000" w:themeColor="text1"/>
          <w:sz w:val="24"/>
          <w:szCs w:val="24"/>
        </w:rPr>
        <w:t>rozdziału</w:t>
      </w:r>
      <w:r w:rsidR="00605A8D" w:rsidRPr="004F2491">
        <w:rPr>
          <w:rStyle w:val="Pogrubienie"/>
          <w:rFonts w:ascii="Times New Roman" w:eastAsiaTheme="majorEastAsia" w:hAnsi="Times New Roman" w:cs="Times New Roman"/>
          <w:b w:val="0"/>
          <w:bCs w:val="0"/>
          <w:color w:val="000000" w:themeColor="text1"/>
          <w:sz w:val="24"/>
          <w:szCs w:val="24"/>
        </w:rPr>
        <w:t xml:space="preserve"> </w:t>
      </w:r>
      <w:r w:rsidR="00337891" w:rsidRPr="004F2491">
        <w:rPr>
          <w:rStyle w:val="Pogrubienie"/>
          <w:rFonts w:ascii="Times New Roman" w:eastAsiaTheme="majorEastAsia" w:hAnsi="Times New Roman" w:cs="Times New Roman"/>
          <w:b w:val="0"/>
          <w:bCs w:val="0"/>
          <w:color w:val="000000" w:themeColor="text1"/>
          <w:sz w:val="24"/>
          <w:szCs w:val="24"/>
        </w:rPr>
        <w:t>66</w:t>
      </w:r>
      <w:r w:rsidR="00605A8D">
        <w:rPr>
          <w:rStyle w:val="Pogrubienie"/>
          <w:rFonts w:ascii="Times New Roman" w:eastAsiaTheme="majorEastAsia" w:hAnsi="Times New Roman" w:cs="Times New Roman"/>
          <w:b w:val="0"/>
          <w:bCs w:val="0"/>
          <w:color w:val="000000" w:themeColor="text1"/>
          <w:sz w:val="24"/>
          <w:szCs w:val="24"/>
        </w:rPr>
        <w:t>.</w:t>
      </w:r>
      <w:r w:rsidR="00337891" w:rsidRPr="004F2491">
        <w:rPr>
          <w:rStyle w:val="Pogrubienie"/>
          <w:rFonts w:ascii="Times New Roman" w:eastAsiaTheme="majorEastAsia" w:hAnsi="Times New Roman" w:cs="Times New Roman"/>
          <w:b w:val="0"/>
          <w:bCs w:val="0"/>
          <w:color w:val="000000" w:themeColor="text1"/>
          <w:sz w:val="24"/>
          <w:szCs w:val="24"/>
        </w:rPr>
        <w:t xml:space="preserve"> </w:t>
      </w:r>
      <w:r w:rsidR="00605A8D">
        <w:rPr>
          <w:rStyle w:val="Pogrubienie"/>
          <w:rFonts w:ascii="Times New Roman" w:eastAsiaTheme="majorEastAsia" w:hAnsi="Times New Roman" w:cs="Times New Roman"/>
          <w:b w:val="0"/>
          <w:bCs w:val="0"/>
          <w:color w:val="000000" w:themeColor="text1"/>
          <w:sz w:val="24"/>
          <w:szCs w:val="24"/>
        </w:rPr>
        <w:t>Kodeksu postępowania karnego</w:t>
      </w:r>
      <w:r w:rsidR="00605A8D" w:rsidRPr="004F2491">
        <w:rPr>
          <w:rStyle w:val="Pogrubienie"/>
          <w:rFonts w:ascii="Times New Roman" w:eastAsiaTheme="majorEastAsia" w:hAnsi="Times New Roman" w:cs="Times New Roman"/>
          <w:b w:val="0"/>
          <w:bCs w:val="0"/>
          <w:color w:val="000000" w:themeColor="text1"/>
          <w:sz w:val="24"/>
          <w:szCs w:val="24"/>
        </w:rPr>
        <w:t xml:space="preserve"> </w:t>
      </w:r>
      <w:r w:rsidR="00337891" w:rsidRPr="004F2491">
        <w:rPr>
          <w:rStyle w:val="Pogrubienie"/>
          <w:rFonts w:ascii="Times New Roman" w:eastAsiaTheme="majorEastAsia" w:hAnsi="Times New Roman" w:cs="Times New Roman"/>
          <w:b w:val="0"/>
          <w:bCs w:val="0"/>
          <w:color w:val="000000" w:themeColor="text1"/>
          <w:sz w:val="24"/>
          <w:szCs w:val="24"/>
        </w:rPr>
        <w:t>regulacji, która jednoznacznie określał</w:t>
      </w:r>
      <w:r w:rsidR="0038036A">
        <w:rPr>
          <w:rStyle w:val="Pogrubienie"/>
          <w:rFonts w:ascii="Times New Roman" w:eastAsiaTheme="majorEastAsia" w:hAnsi="Times New Roman" w:cs="Times New Roman"/>
          <w:b w:val="0"/>
          <w:bCs w:val="0"/>
          <w:color w:val="000000" w:themeColor="text1"/>
          <w:sz w:val="24"/>
          <w:szCs w:val="24"/>
        </w:rPr>
        <w:t>a</w:t>
      </w:r>
      <w:r w:rsidR="00337891" w:rsidRPr="004F2491">
        <w:rPr>
          <w:rStyle w:val="Pogrubienie"/>
          <w:rFonts w:ascii="Times New Roman" w:eastAsiaTheme="majorEastAsia" w:hAnsi="Times New Roman" w:cs="Times New Roman"/>
          <w:b w:val="0"/>
          <w:bCs w:val="0"/>
          <w:color w:val="000000" w:themeColor="text1"/>
          <w:sz w:val="24"/>
          <w:szCs w:val="24"/>
        </w:rPr>
        <w:t xml:space="preserve">by </w:t>
      </w:r>
      <w:r w:rsidR="00337891" w:rsidRPr="004F2491">
        <w:rPr>
          <w:rFonts w:ascii="Times New Roman" w:hAnsi="Times New Roman" w:cs="Times New Roman"/>
          <w:color w:val="000000" w:themeColor="text1"/>
          <w:sz w:val="24"/>
          <w:szCs w:val="24"/>
        </w:rPr>
        <w:t>właściwość sądu w sytuacji bezpośredniej współpracy organów sądowych.</w:t>
      </w:r>
      <w:r w:rsidR="00605A8D">
        <w:rPr>
          <w:rFonts w:ascii="Times New Roman" w:hAnsi="Times New Roman" w:cs="Times New Roman"/>
          <w:color w:val="000000" w:themeColor="text1"/>
          <w:sz w:val="24"/>
          <w:szCs w:val="24"/>
        </w:rPr>
        <w:t xml:space="preserve"> </w:t>
      </w:r>
    </w:p>
    <w:p w14:paraId="4B0D5EA5" w14:textId="25C85FA9" w:rsidR="006E5B64" w:rsidRPr="004F2491" w:rsidRDefault="006E5B64" w:rsidP="006C40F2">
      <w:pPr>
        <w:shd w:val="clear" w:color="auto" w:fill="FFFFFF"/>
        <w:spacing w:after="0" w:line="360" w:lineRule="auto"/>
        <w:jc w:val="both"/>
        <w:rPr>
          <w:rFonts w:ascii="Times New Roman" w:hAnsi="Times New Roman" w:cs="Times New Roman"/>
          <w:color w:val="000000" w:themeColor="text1"/>
          <w:sz w:val="24"/>
          <w:szCs w:val="24"/>
        </w:rPr>
      </w:pPr>
    </w:p>
    <w:p w14:paraId="1F96D1F0" w14:textId="77777777" w:rsidR="003C563D" w:rsidRPr="004F2491" w:rsidRDefault="003C563D" w:rsidP="006C40F2">
      <w:pPr>
        <w:spacing w:after="0" w:line="360" w:lineRule="auto"/>
        <w:jc w:val="both"/>
        <w:rPr>
          <w:rFonts w:ascii="Times New Roman" w:hAnsi="Times New Roman" w:cs="Times New Roman"/>
          <w:color w:val="000000" w:themeColor="text1"/>
          <w:sz w:val="24"/>
          <w:szCs w:val="24"/>
        </w:rPr>
      </w:pPr>
    </w:p>
    <w:p w14:paraId="0C967B8E" w14:textId="73804F58" w:rsidR="008E1D3F" w:rsidRPr="004F2491" w:rsidRDefault="00F433C1">
      <w:pPr>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Opinię dla KKPK opracowa</w:t>
      </w:r>
      <w:r w:rsidR="00411E90" w:rsidRPr="004F2491">
        <w:rPr>
          <w:rFonts w:ascii="Times New Roman" w:hAnsi="Times New Roman" w:cs="Times New Roman"/>
          <w:color w:val="000000" w:themeColor="text1"/>
          <w:sz w:val="24"/>
          <w:szCs w:val="24"/>
        </w:rPr>
        <w:t>li</w:t>
      </w:r>
      <w:r w:rsidRPr="004F2491">
        <w:rPr>
          <w:rFonts w:ascii="Times New Roman" w:hAnsi="Times New Roman" w:cs="Times New Roman"/>
          <w:color w:val="000000" w:themeColor="text1"/>
          <w:sz w:val="24"/>
          <w:szCs w:val="24"/>
        </w:rPr>
        <w:t>:</w:t>
      </w:r>
    </w:p>
    <w:p w14:paraId="2E4B4CD0" w14:textId="260215CE" w:rsidR="00F433C1" w:rsidRPr="004F2491" w:rsidRDefault="00F433C1">
      <w:pPr>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dr Ewa Dawidziuk</w:t>
      </w:r>
    </w:p>
    <w:p w14:paraId="1B6D6245" w14:textId="12F7D0A0" w:rsidR="00F433C1" w:rsidRPr="004F2491" w:rsidRDefault="00F433C1">
      <w:pPr>
        <w:rPr>
          <w:rFonts w:ascii="Times New Roman" w:hAnsi="Times New Roman" w:cs="Times New Roman"/>
          <w:color w:val="000000" w:themeColor="text1"/>
          <w:sz w:val="24"/>
          <w:szCs w:val="24"/>
        </w:rPr>
      </w:pPr>
      <w:r w:rsidRPr="004F2491">
        <w:rPr>
          <w:rFonts w:ascii="Times New Roman" w:hAnsi="Times New Roman" w:cs="Times New Roman"/>
          <w:color w:val="000000" w:themeColor="text1"/>
          <w:sz w:val="24"/>
          <w:szCs w:val="24"/>
        </w:rPr>
        <w:t xml:space="preserve">prof. </w:t>
      </w:r>
      <w:r w:rsidR="00391D4B">
        <w:rPr>
          <w:rFonts w:ascii="Times New Roman" w:hAnsi="Times New Roman" w:cs="Times New Roman"/>
          <w:color w:val="000000" w:themeColor="text1"/>
          <w:sz w:val="24"/>
          <w:szCs w:val="24"/>
        </w:rPr>
        <w:t xml:space="preserve">dr hab. </w:t>
      </w:r>
      <w:r w:rsidR="00411E90" w:rsidRPr="004F2491">
        <w:rPr>
          <w:rFonts w:ascii="Times New Roman" w:hAnsi="Times New Roman" w:cs="Times New Roman"/>
          <w:color w:val="000000" w:themeColor="text1"/>
          <w:sz w:val="24"/>
          <w:szCs w:val="24"/>
        </w:rPr>
        <w:t xml:space="preserve">Andrzej </w:t>
      </w:r>
      <w:r w:rsidRPr="004F2491">
        <w:rPr>
          <w:rFonts w:ascii="Times New Roman" w:hAnsi="Times New Roman" w:cs="Times New Roman"/>
          <w:color w:val="000000" w:themeColor="text1"/>
          <w:sz w:val="24"/>
          <w:szCs w:val="24"/>
        </w:rPr>
        <w:t>Sakowicz</w:t>
      </w:r>
    </w:p>
    <w:sectPr w:rsidR="00F433C1" w:rsidRPr="004F249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53F4" w14:textId="77777777" w:rsidR="00B26EA6" w:rsidRDefault="00B26EA6" w:rsidP="00620646">
      <w:pPr>
        <w:spacing w:after="0" w:line="240" w:lineRule="auto"/>
      </w:pPr>
      <w:r>
        <w:separator/>
      </w:r>
    </w:p>
  </w:endnote>
  <w:endnote w:type="continuationSeparator" w:id="0">
    <w:p w14:paraId="566E7203" w14:textId="77777777" w:rsidR="00B26EA6" w:rsidRDefault="00B26EA6" w:rsidP="0062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436866658"/>
      <w:docPartObj>
        <w:docPartGallery w:val="Page Numbers (Bottom of Page)"/>
        <w:docPartUnique/>
      </w:docPartObj>
    </w:sdtPr>
    <w:sdtContent>
      <w:p w14:paraId="7E0AE45A" w14:textId="01000352" w:rsidR="00CA3034" w:rsidRDefault="00CA3034" w:rsidP="00FE7062">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86888FF" w14:textId="77777777" w:rsidR="00CA3034" w:rsidRDefault="00CA30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034307315"/>
      <w:docPartObj>
        <w:docPartGallery w:val="Page Numbers (Bottom of Page)"/>
        <w:docPartUnique/>
      </w:docPartObj>
    </w:sdtPr>
    <w:sdtEndPr>
      <w:rPr>
        <w:rStyle w:val="Numerstrony"/>
        <w:rFonts w:ascii="Times New Roman" w:hAnsi="Times New Roman" w:cs="Times New Roman"/>
      </w:rPr>
    </w:sdtEndPr>
    <w:sdtContent>
      <w:p w14:paraId="3FEFE589" w14:textId="35546878" w:rsidR="00CA3034" w:rsidRPr="00CA3034" w:rsidRDefault="00CA3034" w:rsidP="00FE7062">
        <w:pPr>
          <w:pStyle w:val="Stopka"/>
          <w:framePr w:wrap="none" w:vAnchor="text" w:hAnchor="margin" w:xAlign="center" w:y="1"/>
          <w:rPr>
            <w:rStyle w:val="Numerstrony"/>
            <w:rFonts w:ascii="Times New Roman" w:hAnsi="Times New Roman" w:cs="Times New Roman"/>
          </w:rPr>
        </w:pPr>
        <w:r w:rsidRPr="00CA3034">
          <w:rPr>
            <w:rStyle w:val="Numerstrony"/>
            <w:rFonts w:ascii="Times New Roman" w:hAnsi="Times New Roman" w:cs="Times New Roman"/>
          </w:rPr>
          <w:fldChar w:fldCharType="begin"/>
        </w:r>
        <w:r w:rsidRPr="00CA3034">
          <w:rPr>
            <w:rStyle w:val="Numerstrony"/>
            <w:rFonts w:ascii="Times New Roman" w:hAnsi="Times New Roman" w:cs="Times New Roman"/>
          </w:rPr>
          <w:instrText xml:space="preserve"> PAGE </w:instrText>
        </w:r>
        <w:r w:rsidRPr="00CA3034">
          <w:rPr>
            <w:rStyle w:val="Numerstrony"/>
            <w:rFonts w:ascii="Times New Roman" w:hAnsi="Times New Roman" w:cs="Times New Roman"/>
          </w:rPr>
          <w:fldChar w:fldCharType="separate"/>
        </w:r>
        <w:r w:rsidRPr="00CA3034">
          <w:rPr>
            <w:rStyle w:val="Numerstrony"/>
            <w:rFonts w:ascii="Times New Roman" w:hAnsi="Times New Roman" w:cs="Times New Roman"/>
            <w:noProof/>
          </w:rPr>
          <w:t>1</w:t>
        </w:r>
        <w:r w:rsidRPr="00CA3034">
          <w:rPr>
            <w:rStyle w:val="Numerstrony"/>
            <w:rFonts w:ascii="Times New Roman" w:hAnsi="Times New Roman" w:cs="Times New Roman"/>
          </w:rPr>
          <w:fldChar w:fldCharType="end"/>
        </w:r>
      </w:p>
    </w:sdtContent>
  </w:sdt>
  <w:p w14:paraId="7BBDFD92" w14:textId="77777777" w:rsidR="00CA3034" w:rsidRDefault="00CA30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0992" w14:textId="77777777" w:rsidR="00B26EA6" w:rsidRDefault="00B26EA6" w:rsidP="00620646">
      <w:pPr>
        <w:spacing w:after="0" w:line="240" w:lineRule="auto"/>
      </w:pPr>
      <w:r>
        <w:separator/>
      </w:r>
    </w:p>
  </w:footnote>
  <w:footnote w:type="continuationSeparator" w:id="0">
    <w:p w14:paraId="65D54A69" w14:textId="77777777" w:rsidR="00B26EA6" w:rsidRDefault="00B26EA6" w:rsidP="00620646">
      <w:pPr>
        <w:spacing w:after="0" w:line="240" w:lineRule="auto"/>
      </w:pPr>
      <w:r>
        <w:continuationSeparator/>
      </w:r>
    </w:p>
  </w:footnote>
  <w:footnote w:id="1">
    <w:p w14:paraId="0CD66660" w14:textId="260AD3ED" w:rsidR="00620646" w:rsidRPr="004F2491" w:rsidRDefault="00620646" w:rsidP="006C40F2">
      <w:pPr>
        <w:pStyle w:val="Tekstprzypisudolnego"/>
        <w:ind w:left="709" w:hanging="709"/>
        <w:jc w:val="both"/>
        <w:rPr>
          <w:rFonts w:ascii="Times New Roman" w:hAnsi="Times New Roman" w:cs="Times New Roman"/>
        </w:rPr>
      </w:pPr>
      <w:r w:rsidRPr="004F2491">
        <w:rPr>
          <w:rStyle w:val="Odwoanieprzypisudolnego"/>
          <w:rFonts w:ascii="Times New Roman" w:hAnsi="Times New Roman" w:cs="Times New Roman"/>
        </w:rPr>
        <w:footnoteRef/>
      </w:r>
      <w:r w:rsidRPr="004F2491">
        <w:rPr>
          <w:rFonts w:ascii="Times New Roman" w:hAnsi="Times New Roman" w:cs="Times New Roman"/>
        </w:rPr>
        <w:t xml:space="preserve"> </w:t>
      </w:r>
      <w:r w:rsidR="00442ED2">
        <w:rPr>
          <w:rFonts w:ascii="Times New Roman" w:hAnsi="Times New Roman" w:cs="Times New Roman"/>
        </w:rPr>
        <w:tab/>
      </w:r>
      <w:r w:rsidRPr="004F2491">
        <w:rPr>
          <w:rFonts w:ascii="Times New Roman" w:hAnsi="Times New Roman" w:cs="Times New Roman"/>
        </w:rPr>
        <w:t>Dz. U. z 2024 r. poz. 651.</w:t>
      </w:r>
    </w:p>
  </w:footnote>
  <w:footnote w:id="2">
    <w:p w14:paraId="31E961C2" w14:textId="7EBA2BB6" w:rsidR="004F2491" w:rsidRPr="006C40F2" w:rsidRDefault="004F2491" w:rsidP="006C40F2">
      <w:pPr>
        <w:pStyle w:val="Tekstprzypisudolnego"/>
        <w:ind w:left="709" w:hanging="709"/>
        <w:jc w:val="both"/>
        <w:rPr>
          <w:rFonts w:ascii="Times New Roman" w:hAnsi="Times New Roman" w:cs="Times New Roman"/>
        </w:rPr>
      </w:pPr>
      <w:r w:rsidRPr="006C40F2">
        <w:rPr>
          <w:rStyle w:val="Odwoanieprzypisudolnego"/>
          <w:rFonts w:ascii="Times New Roman" w:hAnsi="Times New Roman" w:cs="Times New Roman"/>
        </w:rPr>
        <w:footnoteRef/>
      </w:r>
      <w:r w:rsidRPr="006C40F2">
        <w:rPr>
          <w:rFonts w:ascii="Times New Roman" w:hAnsi="Times New Roman" w:cs="Times New Roman"/>
        </w:rPr>
        <w:t xml:space="preserve"> </w:t>
      </w:r>
      <w:r w:rsidR="00453AE1" w:rsidRPr="006C40F2">
        <w:rPr>
          <w:rFonts w:ascii="Times New Roman" w:hAnsi="Times New Roman" w:cs="Times New Roman"/>
          <w:color w:val="000000" w:themeColor="text1"/>
        </w:rPr>
        <w:tab/>
      </w:r>
      <w:r w:rsidRPr="006C40F2">
        <w:rPr>
          <w:rFonts w:ascii="Times New Roman" w:hAnsi="Times New Roman" w:cs="Times New Roman"/>
          <w:color w:val="000000" w:themeColor="text1"/>
        </w:rPr>
        <w:t xml:space="preserve">Zob. </w:t>
      </w:r>
      <w:r w:rsidRPr="00605A8D">
        <w:rPr>
          <w:rFonts w:ascii="Times New Roman" w:eastAsia="Times New Roman" w:hAnsi="Times New Roman" w:cs="Times New Roman"/>
          <w:color w:val="000000" w:themeColor="text1"/>
          <w:kern w:val="0"/>
          <w:lang w:eastAsia="pl-PL"/>
          <w14:ligatures w14:val="none"/>
        </w:rPr>
        <w:t>wyroki TK z: 27 października 2015 r., sygn. K 5/14, OTK ZU nr 9/A/2015, poz. 150; 8 listopada 2016 r., sygn. P 126/15, OTK ZU A/2016, poz. 89; 22 marca 2017 r., sygn. SK 13/14, OTK ZU A/2017, poz. 19; 23 maja 2018 r., sygn. SK 15/15, OTK ZU A/2018, poz.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3B71"/>
    <w:multiLevelType w:val="multilevel"/>
    <w:tmpl w:val="601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314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6-22"/>
    <w:docVar w:name="LE_Links" w:val="{454678B4-D9D3-404F-A9CA-B1A63859C6BD}"/>
  </w:docVars>
  <w:rsids>
    <w:rsidRoot w:val="00ED4F6F"/>
    <w:rsid w:val="000C284E"/>
    <w:rsid w:val="000D4367"/>
    <w:rsid w:val="000E0127"/>
    <w:rsid w:val="001024E5"/>
    <w:rsid w:val="00163EBE"/>
    <w:rsid w:val="001D1747"/>
    <w:rsid w:val="001D214E"/>
    <w:rsid w:val="001D2498"/>
    <w:rsid w:val="001D46D6"/>
    <w:rsid w:val="001F7CFE"/>
    <w:rsid w:val="0020401C"/>
    <w:rsid w:val="00236939"/>
    <w:rsid w:val="00267365"/>
    <w:rsid w:val="00280B0C"/>
    <w:rsid w:val="00336EDA"/>
    <w:rsid w:val="00337891"/>
    <w:rsid w:val="00377440"/>
    <w:rsid w:val="0038036A"/>
    <w:rsid w:val="00391D4B"/>
    <w:rsid w:val="003C563D"/>
    <w:rsid w:val="00411112"/>
    <w:rsid w:val="00411E90"/>
    <w:rsid w:val="00432B79"/>
    <w:rsid w:val="004331C2"/>
    <w:rsid w:val="00442ED2"/>
    <w:rsid w:val="00453AE1"/>
    <w:rsid w:val="0047754B"/>
    <w:rsid w:val="004F2491"/>
    <w:rsid w:val="00514D43"/>
    <w:rsid w:val="00563EE6"/>
    <w:rsid w:val="00592134"/>
    <w:rsid w:val="005B5FD3"/>
    <w:rsid w:val="005C3B32"/>
    <w:rsid w:val="00605A8D"/>
    <w:rsid w:val="00606371"/>
    <w:rsid w:val="00620646"/>
    <w:rsid w:val="006244DF"/>
    <w:rsid w:val="00673C79"/>
    <w:rsid w:val="00682499"/>
    <w:rsid w:val="00692319"/>
    <w:rsid w:val="006C40F2"/>
    <w:rsid w:val="006C592E"/>
    <w:rsid w:val="006E0886"/>
    <w:rsid w:val="006E5B64"/>
    <w:rsid w:val="00722927"/>
    <w:rsid w:val="00724948"/>
    <w:rsid w:val="00775AC2"/>
    <w:rsid w:val="007D7BDB"/>
    <w:rsid w:val="0088771B"/>
    <w:rsid w:val="008E1D3F"/>
    <w:rsid w:val="008F22BE"/>
    <w:rsid w:val="00901BD8"/>
    <w:rsid w:val="00932CD6"/>
    <w:rsid w:val="00964268"/>
    <w:rsid w:val="00976A81"/>
    <w:rsid w:val="00986570"/>
    <w:rsid w:val="009A0FF0"/>
    <w:rsid w:val="009C1D87"/>
    <w:rsid w:val="009D51E9"/>
    <w:rsid w:val="00A15BEB"/>
    <w:rsid w:val="00A32BC4"/>
    <w:rsid w:val="00A37213"/>
    <w:rsid w:val="00A43B21"/>
    <w:rsid w:val="00A94A88"/>
    <w:rsid w:val="00AA7C89"/>
    <w:rsid w:val="00AB6BB5"/>
    <w:rsid w:val="00AE2B43"/>
    <w:rsid w:val="00B26EA6"/>
    <w:rsid w:val="00B34AFF"/>
    <w:rsid w:val="00B97215"/>
    <w:rsid w:val="00BA31CC"/>
    <w:rsid w:val="00BA4219"/>
    <w:rsid w:val="00BB3F42"/>
    <w:rsid w:val="00C13928"/>
    <w:rsid w:val="00C76D71"/>
    <w:rsid w:val="00CA3034"/>
    <w:rsid w:val="00CA4A83"/>
    <w:rsid w:val="00CE461A"/>
    <w:rsid w:val="00D13CEE"/>
    <w:rsid w:val="00D848EB"/>
    <w:rsid w:val="00DB51F1"/>
    <w:rsid w:val="00DC374F"/>
    <w:rsid w:val="00DD24C0"/>
    <w:rsid w:val="00DE4B57"/>
    <w:rsid w:val="00E54DE9"/>
    <w:rsid w:val="00E701D0"/>
    <w:rsid w:val="00EC3037"/>
    <w:rsid w:val="00ED4F6F"/>
    <w:rsid w:val="00F433C1"/>
    <w:rsid w:val="00F510D6"/>
    <w:rsid w:val="00F74CBE"/>
    <w:rsid w:val="00FD6A2B"/>
    <w:rsid w:val="00FF7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FEF6"/>
  <w15:docId w15:val="{566A9B70-3DA4-A342-B94D-BA43C4B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6570"/>
  </w:style>
  <w:style w:type="paragraph" w:styleId="Nagwek1">
    <w:name w:val="heading 1"/>
    <w:basedOn w:val="Normalny"/>
    <w:next w:val="Normalny"/>
    <w:link w:val="Nagwek1Znak"/>
    <w:uiPriority w:val="9"/>
    <w:qFormat/>
    <w:rsid w:val="00ED4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D4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D4F6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D4F6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D4F6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D4F6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D4F6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D4F6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D4F6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F6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D4F6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D4F6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D4F6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D4F6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D4F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D4F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D4F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D4F6F"/>
    <w:rPr>
      <w:rFonts w:eastAsiaTheme="majorEastAsia" w:cstheme="majorBidi"/>
      <w:color w:val="272727" w:themeColor="text1" w:themeTint="D8"/>
    </w:rPr>
  </w:style>
  <w:style w:type="paragraph" w:styleId="Tytu">
    <w:name w:val="Title"/>
    <w:basedOn w:val="Normalny"/>
    <w:next w:val="Normalny"/>
    <w:link w:val="TytuZnak"/>
    <w:uiPriority w:val="10"/>
    <w:qFormat/>
    <w:rsid w:val="00ED4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D4F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D4F6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D4F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D4F6F"/>
    <w:pPr>
      <w:spacing w:before="160"/>
      <w:jc w:val="center"/>
    </w:pPr>
    <w:rPr>
      <w:i/>
      <w:iCs/>
      <w:color w:val="404040" w:themeColor="text1" w:themeTint="BF"/>
    </w:rPr>
  </w:style>
  <w:style w:type="character" w:customStyle="1" w:styleId="CytatZnak">
    <w:name w:val="Cytat Znak"/>
    <w:basedOn w:val="Domylnaczcionkaakapitu"/>
    <w:link w:val="Cytat"/>
    <w:uiPriority w:val="29"/>
    <w:rsid w:val="00ED4F6F"/>
    <w:rPr>
      <w:i/>
      <w:iCs/>
      <w:color w:val="404040" w:themeColor="text1" w:themeTint="BF"/>
    </w:rPr>
  </w:style>
  <w:style w:type="paragraph" w:styleId="Akapitzlist">
    <w:name w:val="List Paragraph"/>
    <w:basedOn w:val="Normalny"/>
    <w:uiPriority w:val="34"/>
    <w:qFormat/>
    <w:rsid w:val="00ED4F6F"/>
    <w:pPr>
      <w:ind w:left="720"/>
      <w:contextualSpacing/>
    </w:pPr>
  </w:style>
  <w:style w:type="character" w:styleId="Wyrnienieintensywne">
    <w:name w:val="Intense Emphasis"/>
    <w:basedOn w:val="Domylnaczcionkaakapitu"/>
    <w:uiPriority w:val="21"/>
    <w:qFormat/>
    <w:rsid w:val="00ED4F6F"/>
    <w:rPr>
      <w:i/>
      <w:iCs/>
      <w:color w:val="0F4761" w:themeColor="accent1" w:themeShade="BF"/>
    </w:rPr>
  </w:style>
  <w:style w:type="paragraph" w:styleId="Cytatintensywny">
    <w:name w:val="Intense Quote"/>
    <w:basedOn w:val="Normalny"/>
    <w:next w:val="Normalny"/>
    <w:link w:val="CytatintensywnyZnak"/>
    <w:uiPriority w:val="30"/>
    <w:qFormat/>
    <w:rsid w:val="00ED4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D4F6F"/>
    <w:rPr>
      <w:i/>
      <w:iCs/>
      <w:color w:val="0F4761" w:themeColor="accent1" w:themeShade="BF"/>
    </w:rPr>
  </w:style>
  <w:style w:type="character" w:styleId="Odwoanieintensywne">
    <w:name w:val="Intense Reference"/>
    <w:basedOn w:val="Domylnaczcionkaakapitu"/>
    <w:uiPriority w:val="32"/>
    <w:qFormat/>
    <w:rsid w:val="00ED4F6F"/>
    <w:rPr>
      <w:b/>
      <w:bCs/>
      <w:smallCaps/>
      <w:color w:val="0F4761" w:themeColor="accent1" w:themeShade="BF"/>
      <w:spacing w:val="5"/>
    </w:rPr>
  </w:style>
  <w:style w:type="paragraph" w:styleId="NormalnyWeb">
    <w:name w:val="Normal (Web)"/>
    <w:basedOn w:val="Normalny"/>
    <w:uiPriority w:val="99"/>
    <w:unhideWhenUsed/>
    <w:rsid w:val="0098657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986570"/>
    <w:rPr>
      <w:b/>
      <w:bCs/>
    </w:rPr>
  </w:style>
  <w:style w:type="paragraph" w:styleId="Tekstprzypisudolnego">
    <w:name w:val="footnote text"/>
    <w:basedOn w:val="Normalny"/>
    <w:link w:val="TekstprzypisudolnegoZnak"/>
    <w:uiPriority w:val="99"/>
    <w:semiHidden/>
    <w:unhideWhenUsed/>
    <w:rsid w:val="006206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0646"/>
    <w:rPr>
      <w:sz w:val="20"/>
      <w:szCs w:val="20"/>
    </w:rPr>
  </w:style>
  <w:style w:type="character" w:styleId="Odwoanieprzypisudolnego">
    <w:name w:val="footnote reference"/>
    <w:basedOn w:val="Domylnaczcionkaakapitu"/>
    <w:uiPriority w:val="99"/>
    <w:semiHidden/>
    <w:unhideWhenUsed/>
    <w:rsid w:val="00620646"/>
    <w:rPr>
      <w:vertAlign w:val="superscript"/>
    </w:rPr>
  </w:style>
  <w:style w:type="paragraph" w:styleId="Poprawka">
    <w:name w:val="Revision"/>
    <w:hidden/>
    <w:uiPriority w:val="99"/>
    <w:semiHidden/>
    <w:rsid w:val="003C563D"/>
    <w:pPr>
      <w:spacing w:after="0" w:line="240" w:lineRule="auto"/>
    </w:pPr>
  </w:style>
  <w:style w:type="character" w:customStyle="1" w:styleId="IGindeksgrny">
    <w:name w:val="_IG_ – indeks górny"/>
    <w:basedOn w:val="Domylnaczcionkaakapitu"/>
    <w:uiPriority w:val="2"/>
    <w:qFormat/>
    <w:rsid w:val="004F2491"/>
    <w:rPr>
      <w:b w:val="0"/>
      <w:bCs w:val="0"/>
      <w:i w:val="0"/>
      <w:iCs w:val="0"/>
      <w:vanish w:val="0"/>
      <w:webHidden w:val="0"/>
      <w:spacing w:val="0"/>
      <w:vertAlign w:val="superscript"/>
      <w:specVanish w:val="0"/>
    </w:rPr>
  </w:style>
  <w:style w:type="paragraph" w:styleId="Nagwek">
    <w:name w:val="header"/>
    <w:basedOn w:val="Normalny"/>
    <w:link w:val="NagwekZnak"/>
    <w:uiPriority w:val="99"/>
    <w:unhideWhenUsed/>
    <w:rsid w:val="004F24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491"/>
  </w:style>
  <w:style w:type="paragraph" w:styleId="Stopka">
    <w:name w:val="footer"/>
    <w:basedOn w:val="Normalny"/>
    <w:link w:val="StopkaZnak"/>
    <w:uiPriority w:val="99"/>
    <w:unhideWhenUsed/>
    <w:rsid w:val="004F24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491"/>
  </w:style>
  <w:style w:type="character" w:styleId="Numerstrony">
    <w:name w:val="page number"/>
    <w:basedOn w:val="Domylnaczcionkaakapitu"/>
    <w:uiPriority w:val="99"/>
    <w:semiHidden/>
    <w:unhideWhenUsed/>
    <w:rsid w:val="00CA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36704">
      <w:bodyDiv w:val="1"/>
      <w:marLeft w:val="0"/>
      <w:marRight w:val="0"/>
      <w:marTop w:val="0"/>
      <w:marBottom w:val="0"/>
      <w:divBdr>
        <w:top w:val="none" w:sz="0" w:space="0" w:color="auto"/>
        <w:left w:val="none" w:sz="0" w:space="0" w:color="auto"/>
        <w:bottom w:val="none" w:sz="0" w:space="0" w:color="auto"/>
        <w:right w:val="none" w:sz="0" w:space="0" w:color="auto"/>
      </w:divBdr>
    </w:div>
    <w:div w:id="1027026332">
      <w:bodyDiv w:val="1"/>
      <w:marLeft w:val="0"/>
      <w:marRight w:val="0"/>
      <w:marTop w:val="0"/>
      <w:marBottom w:val="0"/>
      <w:divBdr>
        <w:top w:val="none" w:sz="0" w:space="0" w:color="auto"/>
        <w:left w:val="none" w:sz="0" w:space="0" w:color="auto"/>
        <w:bottom w:val="none" w:sz="0" w:space="0" w:color="auto"/>
        <w:right w:val="none" w:sz="0" w:space="0" w:color="auto"/>
      </w:divBdr>
    </w:div>
    <w:div w:id="1343779185">
      <w:bodyDiv w:val="1"/>
      <w:marLeft w:val="0"/>
      <w:marRight w:val="0"/>
      <w:marTop w:val="0"/>
      <w:marBottom w:val="0"/>
      <w:divBdr>
        <w:top w:val="none" w:sz="0" w:space="0" w:color="auto"/>
        <w:left w:val="none" w:sz="0" w:space="0" w:color="auto"/>
        <w:bottom w:val="none" w:sz="0" w:space="0" w:color="auto"/>
        <w:right w:val="none" w:sz="0" w:space="0" w:color="auto"/>
      </w:divBdr>
    </w:div>
    <w:div w:id="1383292060">
      <w:bodyDiv w:val="1"/>
      <w:marLeft w:val="0"/>
      <w:marRight w:val="0"/>
      <w:marTop w:val="0"/>
      <w:marBottom w:val="0"/>
      <w:divBdr>
        <w:top w:val="none" w:sz="0" w:space="0" w:color="auto"/>
        <w:left w:val="none" w:sz="0" w:space="0" w:color="auto"/>
        <w:bottom w:val="none" w:sz="0" w:space="0" w:color="auto"/>
        <w:right w:val="none" w:sz="0" w:space="0" w:color="auto"/>
      </w:divBdr>
    </w:div>
    <w:div w:id="1560242860">
      <w:bodyDiv w:val="1"/>
      <w:marLeft w:val="0"/>
      <w:marRight w:val="0"/>
      <w:marTop w:val="0"/>
      <w:marBottom w:val="0"/>
      <w:divBdr>
        <w:top w:val="none" w:sz="0" w:space="0" w:color="auto"/>
        <w:left w:val="none" w:sz="0" w:space="0" w:color="auto"/>
        <w:bottom w:val="none" w:sz="0" w:space="0" w:color="auto"/>
        <w:right w:val="none" w:sz="0" w:space="0" w:color="auto"/>
      </w:divBdr>
      <w:divsChild>
        <w:div w:id="1726679998">
          <w:marLeft w:val="0"/>
          <w:marRight w:val="0"/>
          <w:marTop w:val="0"/>
          <w:marBottom w:val="0"/>
          <w:divBdr>
            <w:top w:val="none" w:sz="0" w:space="0" w:color="auto"/>
            <w:left w:val="none" w:sz="0" w:space="0" w:color="auto"/>
            <w:bottom w:val="none" w:sz="0" w:space="0" w:color="auto"/>
            <w:right w:val="none" w:sz="0" w:space="0" w:color="auto"/>
          </w:divBdr>
          <w:divsChild>
            <w:div w:id="1248996471">
              <w:marLeft w:val="0"/>
              <w:marRight w:val="0"/>
              <w:marTop w:val="0"/>
              <w:marBottom w:val="0"/>
              <w:divBdr>
                <w:top w:val="none" w:sz="0" w:space="0" w:color="auto"/>
                <w:left w:val="none" w:sz="0" w:space="0" w:color="auto"/>
                <w:bottom w:val="none" w:sz="0" w:space="0" w:color="auto"/>
                <w:right w:val="none" w:sz="0" w:space="0" w:color="auto"/>
              </w:divBdr>
            </w:div>
          </w:divsChild>
        </w:div>
        <w:div w:id="1507675958">
          <w:marLeft w:val="0"/>
          <w:marRight w:val="0"/>
          <w:marTop w:val="0"/>
          <w:marBottom w:val="0"/>
          <w:divBdr>
            <w:top w:val="none" w:sz="0" w:space="0" w:color="auto"/>
            <w:left w:val="none" w:sz="0" w:space="0" w:color="auto"/>
            <w:bottom w:val="none" w:sz="0" w:space="0" w:color="auto"/>
            <w:right w:val="none" w:sz="0" w:space="0" w:color="auto"/>
          </w:divBdr>
          <w:divsChild>
            <w:div w:id="500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78B4-D9D3-404F-A9CA-B1A63859C6BD}">
  <ds:schemaRefs>
    <ds:schemaRef ds:uri="http://www.w3.org/2001/XMLSchema"/>
  </ds:schemaRefs>
</ds:datastoreItem>
</file>

<file path=customXml/itemProps2.xml><?xml version="1.0" encoding="utf-8"?>
<ds:datastoreItem xmlns:ds="http://schemas.openxmlformats.org/officeDocument/2006/customXml" ds:itemID="{A5222A40-D470-4745-9139-0AB6C663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9889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Dawidziuk</dc:creator>
  <cp:lastModifiedBy>Wiraszka-Bereza Beata  (DPK)</cp:lastModifiedBy>
  <cp:revision>3</cp:revision>
  <dcterms:created xsi:type="dcterms:W3CDTF">2024-07-16T15:51:00Z</dcterms:created>
  <dcterms:modified xsi:type="dcterms:W3CDTF">2024-07-17T11:54:00Z</dcterms:modified>
</cp:coreProperties>
</file>