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C54E6" w:rsidRDefault="002C54E6">
      <w:pPr>
        <w:pStyle w:val="Nagwek5"/>
        <w:rPr>
          <w:rFonts w:ascii="Fira Sans" w:hAnsi="Fira Sans" w:cs="Fira Sans"/>
          <w:sz w:val="44"/>
          <w:szCs w:val="44"/>
        </w:rPr>
      </w:pPr>
      <w:bookmarkStart w:id="0" w:name="_GoBack"/>
      <w:bookmarkEnd w:id="0"/>
    </w:p>
    <w:p w:rsidR="002C54E6" w:rsidRDefault="002C54E6">
      <w:pPr>
        <w:pStyle w:val="Nagwek5"/>
        <w:rPr>
          <w:rFonts w:ascii="Fira Sans" w:hAnsi="Fira Sans" w:cs="Fira Sans"/>
          <w:sz w:val="44"/>
          <w:szCs w:val="44"/>
        </w:rPr>
      </w:pPr>
    </w:p>
    <w:p w:rsidR="002C54E6" w:rsidRDefault="002C54E6">
      <w:pPr>
        <w:pStyle w:val="Nagwek5"/>
        <w:rPr>
          <w:rFonts w:ascii="Fira Sans" w:hAnsi="Fira Sans" w:cs="Fira Sans"/>
          <w:sz w:val="44"/>
          <w:szCs w:val="44"/>
        </w:rPr>
      </w:pPr>
    </w:p>
    <w:p w:rsidR="002C54E6" w:rsidRDefault="002C54E6">
      <w:pPr>
        <w:pStyle w:val="Nagwek5"/>
        <w:rPr>
          <w:rFonts w:ascii="Fira Sans" w:hAnsi="Fira Sans" w:cs="Fira Sans"/>
          <w:sz w:val="44"/>
          <w:szCs w:val="44"/>
        </w:rPr>
      </w:pPr>
    </w:p>
    <w:p w:rsidR="002C54E6" w:rsidRDefault="002C54E6">
      <w:pPr>
        <w:pStyle w:val="Nagwek5"/>
        <w:rPr>
          <w:rFonts w:ascii="Fira Sans" w:hAnsi="Fira Sans" w:cs="Fira Sans"/>
          <w:sz w:val="44"/>
          <w:szCs w:val="44"/>
        </w:rPr>
      </w:pPr>
    </w:p>
    <w:p w:rsidR="002C54E6" w:rsidRDefault="00D752E7">
      <w:pPr>
        <w:pStyle w:val="Nagwek5"/>
        <w:rPr>
          <w:rFonts w:ascii="Fira Sans" w:hAnsi="Fira Sans" w:cs="Fira Sans"/>
          <w:sz w:val="20"/>
          <w:szCs w:val="20"/>
        </w:rPr>
      </w:pPr>
      <w:r>
        <w:rPr>
          <w:rFonts w:ascii="Fira Sans" w:hAnsi="Fira Sans" w:cs="Fira Sans"/>
          <w:sz w:val="44"/>
          <w:szCs w:val="44"/>
        </w:rPr>
        <w:t>Raport  z prac Zespołu ds. HUB za rok 2021</w:t>
      </w:r>
    </w:p>
    <w:p w:rsidR="002C54E6" w:rsidRDefault="002C54E6">
      <w:pPr>
        <w:pStyle w:val="Tekstpodstawowy"/>
        <w:rPr>
          <w:rFonts w:ascii="Fira Sans" w:hAnsi="Fira Sans" w:cs="Fira Sans"/>
          <w:sz w:val="20"/>
          <w:szCs w:val="20"/>
        </w:rPr>
      </w:pPr>
    </w:p>
    <w:p w:rsidR="002C54E6" w:rsidRDefault="002C54E6">
      <w:pPr>
        <w:pStyle w:val="Tekstpodstawowy"/>
        <w:rPr>
          <w:rFonts w:ascii="Fira Sans" w:hAnsi="Fira Sans" w:cs="Fira Sans"/>
          <w:sz w:val="20"/>
          <w:szCs w:val="20"/>
        </w:rPr>
      </w:pPr>
    </w:p>
    <w:p w:rsidR="002C54E6" w:rsidRDefault="002C54E6">
      <w:pPr>
        <w:pStyle w:val="Tekstpodstawowy"/>
        <w:rPr>
          <w:rFonts w:ascii="Fira Sans" w:hAnsi="Fira Sans" w:cs="Fira Sans"/>
          <w:sz w:val="20"/>
          <w:szCs w:val="20"/>
        </w:rPr>
      </w:pPr>
    </w:p>
    <w:p w:rsidR="002C54E6" w:rsidRDefault="002C54E6">
      <w:pPr>
        <w:pStyle w:val="Tekstpodstawowy"/>
        <w:rPr>
          <w:rFonts w:ascii="Fira Sans" w:hAnsi="Fira Sans" w:cs="Fira Sans"/>
          <w:sz w:val="20"/>
          <w:szCs w:val="20"/>
        </w:rPr>
      </w:pPr>
    </w:p>
    <w:p w:rsidR="002C54E6" w:rsidRDefault="002C54E6">
      <w:pPr>
        <w:pStyle w:val="Tekstpodstawowy"/>
        <w:rPr>
          <w:rFonts w:ascii="Fira Sans" w:hAnsi="Fira Sans" w:cs="Fira Sans"/>
          <w:sz w:val="20"/>
          <w:szCs w:val="20"/>
        </w:rPr>
      </w:pPr>
    </w:p>
    <w:p w:rsidR="002C54E6" w:rsidRDefault="002C54E6">
      <w:pPr>
        <w:pStyle w:val="Tekstpodstawowy"/>
        <w:rPr>
          <w:rFonts w:ascii="Fira Sans" w:hAnsi="Fira Sans" w:cs="Fira Sans"/>
          <w:sz w:val="20"/>
          <w:szCs w:val="20"/>
        </w:rPr>
      </w:pPr>
    </w:p>
    <w:p w:rsidR="002C54E6" w:rsidRDefault="002C54E6">
      <w:pPr>
        <w:pStyle w:val="Tekstpodstawowy"/>
        <w:rPr>
          <w:rFonts w:ascii="Fira Sans" w:hAnsi="Fira Sans" w:cs="Fira Sans"/>
          <w:sz w:val="20"/>
          <w:szCs w:val="20"/>
        </w:rPr>
      </w:pPr>
    </w:p>
    <w:p w:rsidR="002C54E6" w:rsidRDefault="002C54E6">
      <w:pPr>
        <w:pStyle w:val="Tekstpodstawowy"/>
        <w:rPr>
          <w:rFonts w:ascii="Fira Sans" w:hAnsi="Fira Sans" w:cs="Fira Sans"/>
          <w:sz w:val="20"/>
          <w:szCs w:val="20"/>
        </w:rPr>
      </w:pPr>
    </w:p>
    <w:p w:rsidR="002C54E6" w:rsidRDefault="002C54E6">
      <w:pPr>
        <w:pStyle w:val="Tekstpodstawowy"/>
        <w:rPr>
          <w:rFonts w:ascii="Fira Sans" w:hAnsi="Fira Sans" w:cs="Fira Sans"/>
          <w:sz w:val="20"/>
          <w:szCs w:val="20"/>
        </w:rPr>
      </w:pPr>
    </w:p>
    <w:p w:rsidR="002C54E6" w:rsidRDefault="002C54E6">
      <w:pPr>
        <w:jc w:val="both"/>
        <w:rPr>
          <w:rFonts w:ascii="Fira Sans" w:hAnsi="Fira Sans" w:cs="Fira Sans"/>
          <w:sz w:val="20"/>
          <w:szCs w:val="20"/>
        </w:rPr>
      </w:pPr>
    </w:p>
    <w:p w:rsidR="002C54E6" w:rsidRDefault="002C54E6">
      <w:pPr>
        <w:jc w:val="both"/>
        <w:rPr>
          <w:rFonts w:ascii="Fira Sans" w:hAnsi="Fira Sans" w:cs="Fira Sans"/>
          <w:sz w:val="20"/>
          <w:szCs w:val="20"/>
        </w:rPr>
      </w:pPr>
    </w:p>
    <w:p w:rsidR="002C54E6" w:rsidRDefault="002C54E6">
      <w:pPr>
        <w:jc w:val="both"/>
        <w:rPr>
          <w:rFonts w:ascii="Fira Sans" w:hAnsi="Fira Sans" w:cs="Fira Sans"/>
          <w:sz w:val="20"/>
          <w:szCs w:val="20"/>
        </w:rPr>
      </w:pPr>
    </w:p>
    <w:p w:rsidR="002C54E6" w:rsidRDefault="002C54E6">
      <w:pPr>
        <w:jc w:val="both"/>
        <w:rPr>
          <w:rFonts w:ascii="Fira Sans" w:hAnsi="Fira Sans" w:cs="Fira Sans"/>
          <w:sz w:val="20"/>
          <w:szCs w:val="20"/>
        </w:rPr>
      </w:pPr>
    </w:p>
    <w:p w:rsidR="002C54E6" w:rsidRDefault="002C54E6">
      <w:pPr>
        <w:jc w:val="both"/>
        <w:rPr>
          <w:rFonts w:ascii="Fira Sans" w:hAnsi="Fira Sans" w:cs="Fira Sans"/>
          <w:sz w:val="20"/>
          <w:szCs w:val="20"/>
        </w:rPr>
      </w:pPr>
    </w:p>
    <w:p w:rsidR="002C54E6" w:rsidRDefault="002C54E6">
      <w:pPr>
        <w:jc w:val="both"/>
        <w:rPr>
          <w:rFonts w:ascii="Fira Sans" w:hAnsi="Fira Sans" w:cs="Fira Sans"/>
          <w:sz w:val="20"/>
          <w:szCs w:val="20"/>
        </w:rPr>
      </w:pPr>
    </w:p>
    <w:p w:rsidR="002C54E6" w:rsidRDefault="002C54E6">
      <w:pPr>
        <w:jc w:val="both"/>
        <w:rPr>
          <w:rFonts w:ascii="Fira Sans" w:hAnsi="Fira Sans" w:cs="Fira Sans"/>
          <w:sz w:val="20"/>
          <w:szCs w:val="20"/>
        </w:rPr>
      </w:pPr>
    </w:p>
    <w:p w:rsidR="002C54E6" w:rsidRDefault="002C54E6">
      <w:pPr>
        <w:jc w:val="both"/>
        <w:rPr>
          <w:rFonts w:ascii="Fira Sans" w:hAnsi="Fira Sans" w:cs="Fira Sans"/>
          <w:sz w:val="20"/>
          <w:szCs w:val="20"/>
        </w:rPr>
      </w:pPr>
    </w:p>
    <w:p w:rsidR="002C54E6" w:rsidRDefault="002C54E6">
      <w:pPr>
        <w:jc w:val="both"/>
        <w:rPr>
          <w:rFonts w:ascii="Fira Sans" w:hAnsi="Fira Sans" w:cs="Fira Sans"/>
          <w:sz w:val="20"/>
          <w:szCs w:val="20"/>
        </w:rPr>
      </w:pPr>
    </w:p>
    <w:p w:rsidR="002C54E6" w:rsidRDefault="002C54E6">
      <w:pPr>
        <w:jc w:val="both"/>
        <w:rPr>
          <w:rFonts w:ascii="Fira Sans" w:hAnsi="Fira Sans" w:cs="Fira Sans"/>
          <w:sz w:val="20"/>
          <w:szCs w:val="20"/>
        </w:rPr>
      </w:pPr>
    </w:p>
    <w:p w:rsidR="002C54E6" w:rsidRDefault="002C54E6">
      <w:pPr>
        <w:jc w:val="both"/>
        <w:rPr>
          <w:rFonts w:ascii="Fira Sans" w:hAnsi="Fira Sans" w:cs="Fira Sans"/>
          <w:sz w:val="20"/>
          <w:szCs w:val="20"/>
        </w:rPr>
      </w:pPr>
    </w:p>
    <w:p w:rsidR="002C54E6" w:rsidRDefault="002C54E6">
      <w:pPr>
        <w:jc w:val="both"/>
        <w:rPr>
          <w:rFonts w:ascii="Fira Sans" w:hAnsi="Fira Sans" w:cs="Fira Sans"/>
          <w:sz w:val="20"/>
          <w:szCs w:val="20"/>
        </w:rPr>
      </w:pPr>
    </w:p>
    <w:p w:rsidR="002C54E6" w:rsidRDefault="002C54E6">
      <w:pPr>
        <w:jc w:val="both"/>
        <w:rPr>
          <w:rFonts w:ascii="Fira Sans" w:hAnsi="Fira Sans" w:cs="Fira Sans"/>
          <w:sz w:val="20"/>
          <w:szCs w:val="20"/>
        </w:rPr>
      </w:pPr>
    </w:p>
    <w:p w:rsidR="002C54E6" w:rsidRDefault="002C54E6">
      <w:pPr>
        <w:jc w:val="both"/>
        <w:rPr>
          <w:rFonts w:ascii="Fira Sans" w:hAnsi="Fira Sans" w:cs="Fira Sans"/>
          <w:sz w:val="20"/>
          <w:szCs w:val="20"/>
        </w:rPr>
      </w:pPr>
    </w:p>
    <w:p w:rsidR="002C54E6" w:rsidRDefault="00D752E7" w:rsidP="00365000">
      <w:pPr>
        <w:jc w:val="center"/>
      </w:pPr>
      <w:r>
        <w:rPr>
          <w:rFonts w:ascii="Fira Sans" w:hAnsi="Fira Sans" w:cs="Fira Sans"/>
          <w:b/>
          <w:sz w:val="20"/>
          <w:szCs w:val="20"/>
        </w:rPr>
        <w:t xml:space="preserve">Zadania realizowane w ramach prac zespołu ds. HUB, w składzie: Kamila Sankowska (GUS, </w:t>
      </w:r>
      <w:hyperlink r:id="rId6">
        <w:r>
          <w:rPr>
            <w:rStyle w:val="czeinternetowe"/>
            <w:rFonts w:ascii="Fira Sans" w:hAnsi="Fira Sans" w:cs="Fira Sans"/>
            <w:sz w:val="20"/>
            <w:szCs w:val="20"/>
          </w:rPr>
          <w:t>k.sankowska@stat.gov.pl</w:t>
        </w:r>
      </w:hyperlink>
      <w:r>
        <w:rPr>
          <w:rFonts w:ascii="Fira Sans" w:hAnsi="Fira Sans" w:cs="Fira Sans"/>
          <w:b/>
          <w:sz w:val="20"/>
          <w:szCs w:val="20"/>
        </w:rPr>
        <w:t>), eksperci strony samorządowej - Jacek Baldy (</w:t>
      </w:r>
      <w:hyperlink r:id="rId7">
        <w:r>
          <w:rPr>
            <w:rStyle w:val="czeinternetowe"/>
            <w:rFonts w:ascii="Fira Sans" w:hAnsi="Fira Sans" w:cs="Fira Sans"/>
            <w:sz w:val="20"/>
            <w:szCs w:val="20"/>
          </w:rPr>
          <w:t>jacek.baldy@zmp.poznan.pl</w:t>
        </w:r>
      </w:hyperlink>
      <w:r>
        <w:rPr>
          <w:rFonts w:ascii="Fira Sans" w:hAnsi="Fira Sans" w:cs="Fira Sans"/>
          <w:b/>
          <w:sz w:val="20"/>
          <w:szCs w:val="20"/>
        </w:rPr>
        <w:t>) i Piotr Absalon (</w:t>
      </w:r>
      <w:hyperlink r:id="rId8">
        <w:r>
          <w:rPr>
            <w:rStyle w:val="czeinternetowe"/>
            <w:rFonts w:ascii="Fira Sans" w:hAnsi="Fira Sans" w:cs="Fira Sans"/>
            <w:sz w:val="20"/>
            <w:szCs w:val="20"/>
          </w:rPr>
          <w:t>pabsalon@poczta.onet.pl</w:t>
        </w:r>
      </w:hyperlink>
      <w:r>
        <w:rPr>
          <w:rFonts w:ascii="Fira Sans" w:hAnsi="Fira Sans" w:cs="Fira Sans"/>
          <w:b/>
          <w:sz w:val="20"/>
          <w:szCs w:val="20"/>
        </w:rPr>
        <w:t>)</w:t>
      </w:r>
    </w:p>
    <w:p w:rsidR="002C54E6" w:rsidRDefault="002C54E6" w:rsidP="00365000">
      <w:pPr>
        <w:jc w:val="center"/>
        <w:rPr>
          <w:rFonts w:ascii="Fira Sans" w:hAnsi="Fira Sans" w:cs="Fira Sans"/>
          <w:sz w:val="20"/>
          <w:szCs w:val="20"/>
        </w:rPr>
      </w:pPr>
    </w:p>
    <w:p w:rsidR="002C54E6" w:rsidRDefault="00D752E7">
      <w:pPr>
        <w:pStyle w:val="Tekstpodstawowy"/>
        <w:jc w:val="center"/>
        <w:rPr>
          <w:rFonts w:ascii="Fira Sans" w:hAnsi="Fira Sans" w:cs="Fira Sans"/>
          <w:sz w:val="20"/>
          <w:szCs w:val="20"/>
        </w:rPr>
      </w:pPr>
      <w:r>
        <w:rPr>
          <w:rFonts w:ascii="Fira Sans" w:hAnsi="Fira Sans" w:cs="Fira Sans"/>
          <w:sz w:val="20"/>
          <w:szCs w:val="20"/>
        </w:rPr>
        <w:t>3</w:t>
      </w:r>
      <w:r w:rsidR="00FC7295">
        <w:rPr>
          <w:rFonts w:ascii="Fira Sans" w:hAnsi="Fira Sans" w:cs="Fira Sans"/>
          <w:sz w:val="20"/>
          <w:szCs w:val="20"/>
        </w:rPr>
        <w:t>0</w:t>
      </w:r>
      <w:r>
        <w:rPr>
          <w:rFonts w:ascii="Fira Sans" w:hAnsi="Fira Sans" w:cs="Fira Sans"/>
          <w:sz w:val="20"/>
          <w:szCs w:val="20"/>
        </w:rPr>
        <w:t xml:space="preserve"> grudnia 2021 r.</w:t>
      </w:r>
    </w:p>
    <w:p w:rsidR="002C54E6" w:rsidRDefault="002C54E6"/>
    <w:p w:rsidR="002C54E6" w:rsidRDefault="002C54E6"/>
    <w:p w:rsidR="002C54E6" w:rsidRDefault="002C54E6"/>
    <w:sdt>
      <w:sdtPr>
        <w:rPr>
          <w:rFonts w:ascii="Times New Roman" w:eastAsia="SimSun" w:hAnsi="Times New Roman" w:cs="Arial"/>
          <w:color w:val="00000A"/>
          <w:sz w:val="24"/>
          <w:szCs w:val="24"/>
          <w:lang w:eastAsia="zh-CN" w:bidi="hi-IN"/>
        </w:rPr>
        <w:id w:val="324882974"/>
        <w:docPartObj>
          <w:docPartGallery w:val="Table of Contents"/>
          <w:docPartUnique/>
        </w:docPartObj>
      </w:sdtPr>
      <w:sdtEndPr/>
      <w:sdtContent>
        <w:p w:rsidR="002C54E6" w:rsidRDefault="00D752E7">
          <w:pPr>
            <w:pStyle w:val="Nagwekspisutreci"/>
          </w:pPr>
          <w:r>
            <w:t>Spis treści</w:t>
          </w:r>
        </w:p>
        <w:p w:rsidR="002C54E6" w:rsidRDefault="00D752E7">
          <w:pPr>
            <w:pStyle w:val="Spistreci1"/>
            <w:tabs>
              <w:tab w:val="right" w:leader="dot" w:pos="9062"/>
            </w:tabs>
            <w:rPr>
              <w:rFonts w:asciiTheme="minorHAnsi" w:eastAsiaTheme="minorEastAsia" w:hAnsiTheme="minorHAnsi" w:cstheme="minorBidi"/>
              <w:b/>
              <w:sz w:val="22"/>
              <w:szCs w:val="22"/>
              <w:lang w:eastAsia="pl-PL" w:bidi="ar-SA"/>
            </w:rPr>
          </w:pPr>
          <w:r>
            <w:fldChar w:fldCharType="begin"/>
          </w:r>
          <w:r>
            <w:instrText>TOC \z \o "1-3" \u \h</w:instrText>
          </w:r>
          <w:r>
            <w:fldChar w:fldCharType="separate"/>
          </w:r>
          <w:hyperlink w:anchor="_Toc89935348">
            <w:r>
              <w:rPr>
                <w:rStyle w:val="czeindeksu"/>
                <w:rFonts w:cs="Times New Roman"/>
                <w:b/>
                <w:webHidden/>
              </w:rPr>
              <w:t>1. Wprowadzenie do dokumentu</w:t>
            </w:r>
            <w:r>
              <w:rPr>
                <w:webHidden/>
              </w:rPr>
              <w:fldChar w:fldCharType="begin"/>
            </w:r>
            <w:r>
              <w:rPr>
                <w:webHidden/>
              </w:rPr>
              <w:instrText>PAGEREF _Toc89935348 \h</w:instrText>
            </w:r>
            <w:r>
              <w:rPr>
                <w:webHidden/>
              </w:rPr>
            </w:r>
            <w:r>
              <w:rPr>
                <w:webHidden/>
              </w:rPr>
              <w:fldChar w:fldCharType="separate"/>
            </w:r>
            <w:r>
              <w:rPr>
                <w:rStyle w:val="czeindeksu"/>
                <w:b/>
              </w:rPr>
              <w:tab/>
              <w:t>3</w:t>
            </w:r>
            <w:r>
              <w:rPr>
                <w:webHidden/>
              </w:rPr>
              <w:fldChar w:fldCharType="end"/>
            </w:r>
          </w:hyperlink>
        </w:p>
        <w:p w:rsidR="002C54E6" w:rsidRDefault="00AE5237">
          <w:pPr>
            <w:pStyle w:val="Spistreci1"/>
            <w:tabs>
              <w:tab w:val="right" w:leader="dot" w:pos="9062"/>
            </w:tabs>
            <w:rPr>
              <w:rFonts w:asciiTheme="minorHAnsi" w:eastAsiaTheme="minorEastAsia" w:hAnsiTheme="minorHAnsi" w:cstheme="minorBidi"/>
              <w:b/>
              <w:sz w:val="22"/>
              <w:szCs w:val="22"/>
              <w:lang w:eastAsia="pl-PL" w:bidi="ar-SA"/>
            </w:rPr>
          </w:pPr>
          <w:hyperlink w:anchor="_Toc89935349">
            <w:r w:rsidR="00D752E7">
              <w:rPr>
                <w:rStyle w:val="czeindeksu"/>
                <w:rFonts w:cs="Times New Roman"/>
                <w:b/>
                <w:webHidden/>
              </w:rPr>
              <w:t>2 . Wstęp (strategiczna wizja i schemat)</w:t>
            </w:r>
            <w:r w:rsidR="00D752E7">
              <w:rPr>
                <w:webHidden/>
              </w:rPr>
              <w:fldChar w:fldCharType="begin"/>
            </w:r>
            <w:r w:rsidR="00D752E7">
              <w:rPr>
                <w:webHidden/>
              </w:rPr>
              <w:instrText>PAGEREF _Toc89935349 \h</w:instrText>
            </w:r>
            <w:r w:rsidR="00D752E7">
              <w:rPr>
                <w:webHidden/>
              </w:rPr>
            </w:r>
            <w:r w:rsidR="00D752E7">
              <w:rPr>
                <w:webHidden/>
              </w:rPr>
              <w:fldChar w:fldCharType="separate"/>
            </w:r>
            <w:r w:rsidR="00D752E7">
              <w:rPr>
                <w:rStyle w:val="czeindeksu"/>
                <w:b/>
              </w:rPr>
              <w:tab/>
              <w:t>4</w:t>
            </w:r>
            <w:r w:rsidR="00D752E7">
              <w:rPr>
                <w:webHidden/>
              </w:rPr>
              <w:fldChar w:fldCharType="end"/>
            </w:r>
          </w:hyperlink>
        </w:p>
        <w:p w:rsidR="002C54E6" w:rsidRDefault="00AE5237">
          <w:pPr>
            <w:pStyle w:val="Spistreci1"/>
            <w:tabs>
              <w:tab w:val="left" w:pos="440"/>
              <w:tab w:val="right" w:leader="dot" w:pos="9062"/>
            </w:tabs>
            <w:rPr>
              <w:rFonts w:asciiTheme="minorHAnsi" w:eastAsiaTheme="minorEastAsia" w:hAnsiTheme="minorHAnsi" w:cstheme="minorBidi"/>
              <w:b/>
              <w:sz w:val="22"/>
              <w:szCs w:val="22"/>
              <w:lang w:eastAsia="pl-PL" w:bidi="ar-SA"/>
            </w:rPr>
          </w:pPr>
          <w:hyperlink w:anchor="_Toc89935350">
            <w:r w:rsidR="00D752E7">
              <w:rPr>
                <w:rStyle w:val="czeindeksu"/>
                <w:rFonts w:cs="Times New Roman"/>
                <w:b/>
                <w:webHidden/>
              </w:rPr>
              <w:t>3.</w:t>
            </w:r>
            <w:r w:rsidR="00D752E7">
              <w:rPr>
                <w:rStyle w:val="czeindeksu"/>
                <w:rFonts w:asciiTheme="minorHAnsi" w:eastAsiaTheme="minorEastAsia" w:hAnsiTheme="minorHAnsi" w:cstheme="minorBidi"/>
                <w:b/>
                <w:sz w:val="22"/>
                <w:szCs w:val="22"/>
                <w:lang w:eastAsia="pl-PL" w:bidi="ar-SA"/>
              </w:rPr>
              <w:t xml:space="preserve">  </w:t>
            </w:r>
            <w:r w:rsidR="00D752E7">
              <w:rPr>
                <w:rStyle w:val="czeindeksu"/>
                <w:rFonts w:cs="Times New Roman"/>
                <w:b/>
              </w:rPr>
              <w:t>Grupy docelowe użytkowników HUB i główni interesariusze</w:t>
            </w:r>
            <w:r w:rsidR="00D752E7">
              <w:rPr>
                <w:webHidden/>
              </w:rPr>
              <w:fldChar w:fldCharType="begin"/>
            </w:r>
            <w:r w:rsidR="00D752E7">
              <w:rPr>
                <w:webHidden/>
              </w:rPr>
              <w:instrText>PAGEREF _Toc89935350 \h</w:instrText>
            </w:r>
            <w:r w:rsidR="00D752E7">
              <w:rPr>
                <w:webHidden/>
              </w:rPr>
            </w:r>
            <w:r w:rsidR="00D752E7">
              <w:rPr>
                <w:webHidden/>
              </w:rPr>
              <w:fldChar w:fldCharType="separate"/>
            </w:r>
            <w:r w:rsidR="00D752E7">
              <w:rPr>
                <w:rStyle w:val="czeindeksu"/>
                <w:b/>
              </w:rPr>
              <w:tab/>
              <w:t>6</w:t>
            </w:r>
            <w:r w:rsidR="00D752E7">
              <w:rPr>
                <w:webHidden/>
              </w:rPr>
              <w:fldChar w:fldCharType="end"/>
            </w:r>
          </w:hyperlink>
        </w:p>
        <w:p w:rsidR="002C54E6" w:rsidRDefault="00AE5237">
          <w:pPr>
            <w:pStyle w:val="Spistreci1"/>
            <w:tabs>
              <w:tab w:val="right" w:leader="dot" w:pos="9062"/>
            </w:tabs>
            <w:rPr>
              <w:rFonts w:asciiTheme="minorHAnsi" w:eastAsiaTheme="minorEastAsia" w:hAnsiTheme="minorHAnsi" w:cstheme="minorBidi"/>
              <w:b/>
              <w:sz w:val="22"/>
              <w:szCs w:val="22"/>
              <w:lang w:eastAsia="pl-PL" w:bidi="ar-SA"/>
            </w:rPr>
          </w:pPr>
          <w:hyperlink w:anchor="_Toc89935351">
            <w:r w:rsidR="00D752E7">
              <w:rPr>
                <w:rStyle w:val="czeindeksu"/>
                <w:rFonts w:eastAsia="Microsoft YaHei" w:cs="Times New Roman"/>
                <w:b/>
                <w:bCs/>
                <w:webHidden/>
              </w:rPr>
              <w:t>4. Źródła i przepływy danych dot. sektora samorządowego i rządowego</w:t>
            </w:r>
            <w:r w:rsidR="00D752E7">
              <w:rPr>
                <w:webHidden/>
              </w:rPr>
              <w:fldChar w:fldCharType="begin"/>
            </w:r>
            <w:r w:rsidR="00D752E7">
              <w:rPr>
                <w:webHidden/>
              </w:rPr>
              <w:instrText>PAGEREF _Toc89935351 \h</w:instrText>
            </w:r>
            <w:r w:rsidR="00D752E7">
              <w:rPr>
                <w:webHidden/>
              </w:rPr>
            </w:r>
            <w:r w:rsidR="00D752E7">
              <w:rPr>
                <w:webHidden/>
              </w:rPr>
              <w:fldChar w:fldCharType="separate"/>
            </w:r>
            <w:r w:rsidR="00D752E7">
              <w:rPr>
                <w:rStyle w:val="czeindeksu"/>
                <w:b/>
              </w:rPr>
              <w:tab/>
              <w:t>7</w:t>
            </w:r>
            <w:r w:rsidR="00D752E7">
              <w:rPr>
                <w:webHidden/>
              </w:rPr>
              <w:fldChar w:fldCharType="end"/>
            </w:r>
          </w:hyperlink>
        </w:p>
        <w:p w:rsidR="002C54E6" w:rsidRDefault="00AE5237">
          <w:pPr>
            <w:pStyle w:val="Spistreci1"/>
            <w:tabs>
              <w:tab w:val="right" w:leader="dot" w:pos="9062"/>
            </w:tabs>
            <w:rPr>
              <w:rFonts w:asciiTheme="minorHAnsi" w:eastAsiaTheme="minorEastAsia" w:hAnsiTheme="minorHAnsi" w:cstheme="minorBidi"/>
              <w:b/>
              <w:sz w:val="22"/>
              <w:szCs w:val="22"/>
              <w:lang w:eastAsia="pl-PL" w:bidi="ar-SA"/>
            </w:rPr>
          </w:pPr>
          <w:hyperlink w:anchor="_Toc89935352">
            <w:r w:rsidR="00D752E7">
              <w:rPr>
                <w:rStyle w:val="czeindeksu"/>
                <w:rFonts w:eastAsia="Microsoft YaHei" w:cs="Times New Roman"/>
                <w:b/>
                <w:bCs/>
                <w:webHidden/>
              </w:rPr>
              <w:t>5. Badanie sprawozdawczości gmin i powiatów przez Urzędy Statystyczne</w:t>
            </w:r>
            <w:r w:rsidR="00D752E7">
              <w:rPr>
                <w:webHidden/>
              </w:rPr>
              <w:fldChar w:fldCharType="begin"/>
            </w:r>
            <w:r w:rsidR="00D752E7">
              <w:rPr>
                <w:webHidden/>
              </w:rPr>
              <w:instrText>PAGEREF _Toc89935352 \h</w:instrText>
            </w:r>
            <w:r w:rsidR="00D752E7">
              <w:rPr>
                <w:webHidden/>
              </w:rPr>
            </w:r>
            <w:r w:rsidR="00D752E7">
              <w:rPr>
                <w:webHidden/>
              </w:rPr>
              <w:fldChar w:fldCharType="separate"/>
            </w:r>
            <w:r w:rsidR="00D752E7">
              <w:rPr>
                <w:rStyle w:val="czeindeksu"/>
                <w:b/>
              </w:rPr>
              <w:tab/>
              <w:t>9</w:t>
            </w:r>
            <w:r w:rsidR="00D752E7">
              <w:rPr>
                <w:webHidden/>
              </w:rPr>
              <w:fldChar w:fldCharType="end"/>
            </w:r>
          </w:hyperlink>
        </w:p>
        <w:p w:rsidR="002C54E6" w:rsidRDefault="00AE5237">
          <w:pPr>
            <w:pStyle w:val="Spistreci1"/>
            <w:tabs>
              <w:tab w:val="right" w:leader="dot" w:pos="9062"/>
            </w:tabs>
            <w:rPr>
              <w:rFonts w:asciiTheme="minorHAnsi" w:eastAsiaTheme="minorEastAsia" w:hAnsiTheme="minorHAnsi" w:cstheme="minorBidi"/>
              <w:b/>
              <w:sz w:val="22"/>
              <w:szCs w:val="22"/>
              <w:lang w:eastAsia="pl-PL" w:bidi="ar-SA"/>
            </w:rPr>
          </w:pPr>
          <w:hyperlink w:anchor="_Toc89935353">
            <w:r w:rsidR="00D752E7">
              <w:rPr>
                <w:rStyle w:val="czeindeksu"/>
                <w:rFonts w:cs="Times New Roman"/>
                <w:b/>
                <w:webHidden/>
              </w:rPr>
              <w:t>6. Badania sprawozdawczości na poziomie wojewódzkim</w:t>
            </w:r>
            <w:r w:rsidR="00D752E7">
              <w:rPr>
                <w:webHidden/>
              </w:rPr>
              <w:fldChar w:fldCharType="begin"/>
            </w:r>
            <w:r w:rsidR="00D752E7">
              <w:rPr>
                <w:webHidden/>
              </w:rPr>
              <w:instrText>PAGEREF _Toc89935353 \h</w:instrText>
            </w:r>
            <w:r w:rsidR="00D752E7">
              <w:rPr>
                <w:webHidden/>
              </w:rPr>
            </w:r>
            <w:r w:rsidR="00D752E7">
              <w:rPr>
                <w:webHidden/>
              </w:rPr>
              <w:fldChar w:fldCharType="separate"/>
            </w:r>
            <w:r w:rsidR="00D752E7">
              <w:rPr>
                <w:rStyle w:val="czeindeksu"/>
                <w:b/>
              </w:rPr>
              <w:tab/>
              <w:t>11</w:t>
            </w:r>
            <w:r w:rsidR="00D752E7">
              <w:rPr>
                <w:webHidden/>
              </w:rPr>
              <w:fldChar w:fldCharType="end"/>
            </w:r>
          </w:hyperlink>
        </w:p>
        <w:p w:rsidR="002C54E6" w:rsidRDefault="00AE5237">
          <w:pPr>
            <w:pStyle w:val="Spistreci1"/>
            <w:tabs>
              <w:tab w:val="right" w:leader="dot" w:pos="9062"/>
            </w:tabs>
            <w:rPr>
              <w:rFonts w:asciiTheme="minorHAnsi" w:eastAsiaTheme="minorEastAsia" w:hAnsiTheme="minorHAnsi" w:cstheme="minorBidi"/>
              <w:b/>
              <w:sz w:val="22"/>
              <w:szCs w:val="22"/>
              <w:lang w:eastAsia="pl-PL" w:bidi="ar-SA"/>
            </w:rPr>
          </w:pPr>
          <w:hyperlink w:anchor="_Toc89935355">
            <w:r w:rsidR="00D752E7">
              <w:rPr>
                <w:rStyle w:val="czeindeksu"/>
                <w:rFonts w:cs="Times New Roman"/>
                <w:b/>
                <w:webHidden/>
              </w:rPr>
              <w:t>7. Demonstrator Aplikacji dla Gmin i Powiatów</w:t>
            </w:r>
            <w:r w:rsidR="00D752E7">
              <w:rPr>
                <w:webHidden/>
              </w:rPr>
              <w:fldChar w:fldCharType="begin"/>
            </w:r>
            <w:r w:rsidR="00D752E7">
              <w:rPr>
                <w:webHidden/>
              </w:rPr>
              <w:instrText>PAGEREF _Toc89935355 \h</w:instrText>
            </w:r>
            <w:r w:rsidR="00D752E7">
              <w:rPr>
                <w:webHidden/>
              </w:rPr>
            </w:r>
            <w:r w:rsidR="00D752E7">
              <w:rPr>
                <w:webHidden/>
              </w:rPr>
              <w:fldChar w:fldCharType="separate"/>
            </w:r>
            <w:r w:rsidR="00D752E7">
              <w:rPr>
                <w:rStyle w:val="czeindeksu"/>
                <w:b/>
              </w:rPr>
              <w:tab/>
              <w:t>14</w:t>
            </w:r>
            <w:r w:rsidR="00D752E7">
              <w:rPr>
                <w:webHidden/>
              </w:rPr>
              <w:fldChar w:fldCharType="end"/>
            </w:r>
          </w:hyperlink>
        </w:p>
        <w:p w:rsidR="002C54E6" w:rsidRDefault="00AE5237">
          <w:pPr>
            <w:pStyle w:val="Spistreci1"/>
            <w:tabs>
              <w:tab w:val="right" w:leader="dot" w:pos="9062"/>
            </w:tabs>
            <w:rPr>
              <w:rFonts w:asciiTheme="minorHAnsi" w:eastAsiaTheme="minorEastAsia" w:hAnsiTheme="minorHAnsi" w:cstheme="minorBidi"/>
              <w:b/>
              <w:sz w:val="22"/>
              <w:szCs w:val="22"/>
              <w:lang w:eastAsia="pl-PL" w:bidi="ar-SA"/>
            </w:rPr>
          </w:pPr>
          <w:hyperlink w:anchor="_Toc89935356">
            <w:r w:rsidR="00D752E7">
              <w:rPr>
                <w:rStyle w:val="czeindeksu"/>
                <w:rFonts w:cs="Times New Roman"/>
                <w:b/>
                <w:webHidden/>
              </w:rPr>
              <w:t>8. Zmiany legislacyjne w zakresie sprawozdawczości</w:t>
            </w:r>
            <w:r w:rsidR="00D752E7">
              <w:rPr>
                <w:webHidden/>
              </w:rPr>
              <w:fldChar w:fldCharType="begin"/>
            </w:r>
            <w:r w:rsidR="00D752E7">
              <w:rPr>
                <w:webHidden/>
              </w:rPr>
              <w:instrText>PAGEREF _Toc89935356 \h</w:instrText>
            </w:r>
            <w:r w:rsidR="00D752E7">
              <w:rPr>
                <w:webHidden/>
              </w:rPr>
            </w:r>
            <w:r w:rsidR="00D752E7">
              <w:rPr>
                <w:webHidden/>
              </w:rPr>
              <w:fldChar w:fldCharType="separate"/>
            </w:r>
            <w:r w:rsidR="00D752E7">
              <w:rPr>
                <w:rStyle w:val="czeindeksu"/>
                <w:b/>
              </w:rPr>
              <w:tab/>
              <w:t>25</w:t>
            </w:r>
            <w:r w:rsidR="00D752E7">
              <w:rPr>
                <w:webHidden/>
              </w:rPr>
              <w:fldChar w:fldCharType="end"/>
            </w:r>
          </w:hyperlink>
        </w:p>
        <w:p w:rsidR="002C54E6" w:rsidRDefault="00AE5237">
          <w:pPr>
            <w:pStyle w:val="Spistreci1"/>
            <w:tabs>
              <w:tab w:val="left" w:pos="440"/>
              <w:tab w:val="right" w:leader="dot" w:pos="9062"/>
            </w:tabs>
            <w:rPr>
              <w:rFonts w:asciiTheme="minorHAnsi" w:eastAsiaTheme="minorEastAsia" w:hAnsiTheme="minorHAnsi" w:cstheme="minorBidi"/>
              <w:b/>
              <w:sz w:val="22"/>
              <w:szCs w:val="22"/>
              <w:lang w:eastAsia="pl-PL" w:bidi="ar-SA"/>
            </w:rPr>
          </w:pPr>
          <w:hyperlink w:anchor="_Toc89935357">
            <w:r w:rsidR="00D752E7">
              <w:rPr>
                <w:rStyle w:val="czeindeksu"/>
                <w:rFonts w:cs="Times New Roman"/>
                <w:b/>
                <w:webHidden/>
              </w:rPr>
              <w:t>9.</w:t>
            </w:r>
            <w:r w:rsidR="00D752E7">
              <w:rPr>
                <w:rStyle w:val="czeindeksu"/>
                <w:rFonts w:asciiTheme="minorHAnsi" w:eastAsiaTheme="minorEastAsia" w:hAnsiTheme="minorHAnsi" w:cstheme="minorBidi"/>
                <w:b/>
                <w:sz w:val="22"/>
                <w:szCs w:val="22"/>
                <w:lang w:eastAsia="pl-PL" w:bidi="ar-SA"/>
              </w:rPr>
              <w:t xml:space="preserve">  </w:t>
            </w:r>
            <w:r w:rsidR="00D752E7">
              <w:rPr>
                <w:rStyle w:val="czeindeksu"/>
                <w:rFonts w:cs="Times New Roman"/>
                <w:b/>
              </w:rPr>
              <w:t>Działania na rzecz poszerzania wiedzy</w:t>
            </w:r>
            <w:r w:rsidR="00D752E7">
              <w:rPr>
                <w:rStyle w:val="czeindeksu"/>
                <w:rFonts w:eastAsia="Calibri" w:cs="Times New Roman"/>
                <w:b/>
                <w:bCs/>
                <w:highlight w:val="lightGray"/>
              </w:rPr>
              <w:t xml:space="preserve"> </w:t>
            </w:r>
            <w:r w:rsidR="00D752E7">
              <w:rPr>
                <w:rStyle w:val="czeindeksu"/>
                <w:rFonts w:eastAsia="Calibri" w:cs="Times New Roman"/>
                <w:b/>
                <w:bCs/>
              </w:rPr>
              <w:t>głównych interesariuszy, promocja rozwiązania</w:t>
            </w:r>
            <w:r w:rsidR="00D752E7">
              <w:rPr>
                <w:webHidden/>
              </w:rPr>
              <w:fldChar w:fldCharType="begin"/>
            </w:r>
            <w:r w:rsidR="00D752E7">
              <w:rPr>
                <w:webHidden/>
              </w:rPr>
              <w:instrText>PAGEREF _Toc89935357 \h</w:instrText>
            </w:r>
            <w:r w:rsidR="00D752E7">
              <w:rPr>
                <w:webHidden/>
              </w:rPr>
            </w:r>
            <w:r w:rsidR="00D752E7">
              <w:rPr>
                <w:webHidden/>
              </w:rPr>
              <w:fldChar w:fldCharType="separate"/>
            </w:r>
            <w:r w:rsidR="00D752E7">
              <w:rPr>
                <w:rStyle w:val="czeindeksu"/>
                <w:b/>
              </w:rPr>
              <w:tab/>
              <w:t>28</w:t>
            </w:r>
            <w:r w:rsidR="00D752E7">
              <w:rPr>
                <w:webHidden/>
              </w:rPr>
              <w:fldChar w:fldCharType="end"/>
            </w:r>
          </w:hyperlink>
        </w:p>
        <w:p w:rsidR="002C54E6" w:rsidRDefault="00AE5237">
          <w:pPr>
            <w:pStyle w:val="Spistreci1"/>
            <w:tabs>
              <w:tab w:val="right" w:leader="dot" w:pos="9062"/>
            </w:tabs>
            <w:rPr>
              <w:rFonts w:asciiTheme="minorHAnsi" w:eastAsiaTheme="minorEastAsia" w:hAnsiTheme="minorHAnsi" w:cstheme="minorBidi"/>
              <w:b/>
              <w:sz w:val="22"/>
              <w:szCs w:val="22"/>
              <w:lang w:eastAsia="pl-PL" w:bidi="ar-SA"/>
            </w:rPr>
          </w:pPr>
          <w:hyperlink w:anchor="_Toc89935358">
            <w:r w:rsidR="00D752E7">
              <w:rPr>
                <w:rStyle w:val="czeindeksu"/>
                <w:rFonts w:cs="Times New Roman"/>
                <w:b/>
                <w:webHidden/>
              </w:rPr>
              <w:t>10. Proponowana Mapa Drogowa realizacji projektu HUB</w:t>
            </w:r>
            <w:r w:rsidR="00D752E7">
              <w:rPr>
                <w:webHidden/>
              </w:rPr>
              <w:fldChar w:fldCharType="begin"/>
            </w:r>
            <w:r w:rsidR="00D752E7">
              <w:rPr>
                <w:webHidden/>
              </w:rPr>
              <w:instrText>PAGEREF _Toc89935358 \h</w:instrText>
            </w:r>
            <w:r w:rsidR="00D752E7">
              <w:rPr>
                <w:webHidden/>
              </w:rPr>
            </w:r>
            <w:r w:rsidR="00D752E7">
              <w:rPr>
                <w:webHidden/>
              </w:rPr>
              <w:fldChar w:fldCharType="separate"/>
            </w:r>
            <w:r w:rsidR="00D752E7">
              <w:rPr>
                <w:rStyle w:val="czeindeksu"/>
                <w:b/>
              </w:rPr>
              <w:tab/>
              <w:t>29</w:t>
            </w:r>
            <w:r w:rsidR="00D752E7">
              <w:rPr>
                <w:webHidden/>
              </w:rPr>
              <w:fldChar w:fldCharType="end"/>
            </w:r>
          </w:hyperlink>
        </w:p>
        <w:p w:rsidR="002C54E6" w:rsidRDefault="00AE5237">
          <w:pPr>
            <w:pStyle w:val="Spistreci1"/>
            <w:tabs>
              <w:tab w:val="left" w:pos="660"/>
              <w:tab w:val="right" w:leader="dot" w:pos="9062"/>
            </w:tabs>
            <w:rPr>
              <w:rFonts w:asciiTheme="minorHAnsi" w:eastAsiaTheme="minorEastAsia" w:hAnsiTheme="minorHAnsi" w:cstheme="minorBidi"/>
              <w:sz w:val="22"/>
              <w:szCs w:val="22"/>
              <w:lang w:eastAsia="pl-PL" w:bidi="ar-SA"/>
            </w:rPr>
          </w:pPr>
          <w:hyperlink w:anchor="_Toc89935359">
            <w:r w:rsidR="00D752E7">
              <w:rPr>
                <w:rStyle w:val="czeindeksu"/>
                <w:rFonts w:cs="Times New Roman"/>
                <w:b/>
                <w:webHidden/>
              </w:rPr>
              <w:t>11.</w:t>
            </w:r>
            <w:r w:rsidR="00D752E7">
              <w:rPr>
                <w:rStyle w:val="czeindeksu"/>
                <w:rFonts w:asciiTheme="minorHAnsi" w:eastAsiaTheme="minorEastAsia" w:hAnsiTheme="minorHAnsi" w:cstheme="minorBidi"/>
                <w:b/>
                <w:sz w:val="22"/>
                <w:szCs w:val="22"/>
                <w:lang w:eastAsia="pl-PL" w:bidi="ar-SA"/>
              </w:rPr>
              <w:t xml:space="preserve"> </w:t>
            </w:r>
            <w:r w:rsidR="00D752E7">
              <w:rPr>
                <w:rStyle w:val="czeindeksu"/>
                <w:rFonts w:cs="Times New Roman"/>
                <w:b/>
              </w:rPr>
              <w:t>Podsumowanie – korzyści z budowy HUB</w:t>
            </w:r>
            <w:r w:rsidR="00FC7295" w:rsidRPr="00FC7295">
              <w:t xml:space="preserve"> </w:t>
            </w:r>
            <w:r w:rsidR="00FC7295" w:rsidRPr="00FC7295">
              <w:rPr>
                <w:rStyle w:val="czeindeksu"/>
                <w:rFonts w:cs="Times New Roman"/>
                <w:b/>
              </w:rPr>
              <w:t>oraz wybrane ryzyka</w:t>
            </w:r>
            <w:r w:rsidR="00FC7295" w:rsidRPr="00FC7295">
              <w:rPr>
                <w:rStyle w:val="czeindeksu"/>
                <w:rFonts w:cs="Times New Roman"/>
                <w:b/>
                <w:webHidden/>
              </w:rPr>
              <w:t xml:space="preserve"> </w:t>
            </w:r>
            <w:r w:rsidR="00D752E7">
              <w:rPr>
                <w:webHidden/>
              </w:rPr>
              <w:fldChar w:fldCharType="begin"/>
            </w:r>
            <w:r w:rsidR="00D752E7">
              <w:rPr>
                <w:webHidden/>
              </w:rPr>
              <w:instrText>PAGEREF _Toc89935359 \h</w:instrText>
            </w:r>
            <w:r w:rsidR="00D752E7">
              <w:rPr>
                <w:webHidden/>
              </w:rPr>
            </w:r>
            <w:r w:rsidR="00D752E7">
              <w:rPr>
                <w:webHidden/>
              </w:rPr>
              <w:fldChar w:fldCharType="separate"/>
            </w:r>
            <w:r w:rsidR="00D752E7">
              <w:rPr>
                <w:rStyle w:val="czeindeksu"/>
                <w:b/>
              </w:rPr>
              <w:tab/>
              <w:t>35</w:t>
            </w:r>
            <w:r w:rsidR="00D752E7">
              <w:rPr>
                <w:webHidden/>
              </w:rPr>
              <w:fldChar w:fldCharType="end"/>
            </w:r>
          </w:hyperlink>
        </w:p>
        <w:p w:rsidR="002C54E6" w:rsidRDefault="00D752E7">
          <w:r>
            <w:fldChar w:fldCharType="end"/>
          </w:r>
        </w:p>
      </w:sdtContent>
    </w:sdt>
    <w:p w:rsidR="002C54E6" w:rsidRDefault="002C54E6"/>
    <w:p w:rsidR="002C54E6" w:rsidRDefault="002C54E6"/>
    <w:p w:rsidR="002C54E6" w:rsidRDefault="002C54E6"/>
    <w:p w:rsidR="002C54E6" w:rsidRDefault="002C54E6"/>
    <w:p w:rsidR="002C54E6" w:rsidRDefault="002C54E6"/>
    <w:p w:rsidR="002C54E6" w:rsidRDefault="002C54E6"/>
    <w:p w:rsidR="002C54E6" w:rsidRDefault="002C54E6"/>
    <w:p w:rsidR="002C54E6" w:rsidRDefault="002C54E6"/>
    <w:p w:rsidR="002C54E6" w:rsidRDefault="002C54E6"/>
    <w:p w:rsidR="002C54E6" w:rsidRDefault="002C54E6"/>
    <w:p w:rsidR="002C54E6" w:rsidRDefault="002C54E6"/>
    <w:p w:rsidR="002C54E6" w:rsidRDefault="002C54E6"/>
    <w:p w:rsidR="002C54E6" w:rsidRDefault="002C54E6"/>
    <w:p w:rsidR="002C54E6" w:rsidRDefault="002C54E6"/>
    <w:p w:rsidR="002C54E6" w:rsidRDefault="002C54E6"/>
    <w:p w:rsidR="002C54E6" w:rsidRDefault="002C54E6"/>
    <w:p w:rsidR="002C54E6" w:rsidRDefault="002C54E6"/>
    <w:p w:rsidR="002C54E6" w:rsidRDefault="002C54E6"/>
    <w:p w:rsidR="002C54E6" w:rsidRDefault="002C54E6"/>
    <w:p w:rsidR="002C54E6" w:rsidRDefault="002C54E6"/>
    <w:p w:rsidR="002C54E6" w:rsidRDefault="002C54E6"/>
    <w:p w:rsidR="002C54E6" w:rsidRDefault="002C54E6"/>
    <w:p w:rsidR="002C54E6" w:rsidRDefault="002C54E6"/>
    <w:p w:rsidR="002C54E6" w:rsidRDefault="002C54E6"/>
    <w:p w:rsidR="002C54E6" w:rsidRDefault="002C54E6"/>
    <w:p w:rsidR="002C54E6" w:rsidRDefault="002C54E6"/>
    <w:p w:rsidR="002C54E6" w:rsidRDefault="002C54E6"/>
    <w:p w:rsidR="002C54E6" w:rsidRDefault="00D752E7">
      <w:pPr>
        <w:pStyle w:val="Nagwek1"/>
        <w:numPr>
          <w:ilvl w:val="0"/>
          <w:numId w:val="2"/>
        </w:numPr>
        <w:ind w:left="0" w:firstLine="0"/>
        <w:rPr>
          <w:rFonts w:ascii="Times New Roman" w:hAnsi="Times New Roman" w:cs="Times New Roman"/>
          <w:sz w:val="28"/>
          <w:szCs w:val="28"/>
        </w:rPr>
      </w:pPr>
      <w:bookmarkStart w:id="1" w:name="_Toc89935348"/>
      <w:r>
        <w:rPr>
          <w:rFonts w:ascii="Times New Roman" w:hAnsi="Times New Roman" w:cs="Times New Roman"/>
          <w:sz w:val="28"/>
          <w:szCs w:val="28"/>
        </w:rPr>
        <w:t>1. Wprowadzenie do dokumentu</w:t>
      </w:r>
      <w:bookmarkEnd w:id="1"/>
      <w:r>
        <w:rPr>
          <w:rFonts w:ascii="Times New Roman" w:hAnsi="Times New Roman" w:cs="Times New Roman"/>
          <w:sz w:val="28"/>
          <w:szCs w:val="28"/>
        </w:rPr>
        <w:t xml:space="preserve">  </w:t>
      </w:r>
    </w:p>
    <w:p w:rsidR="002C54E6" w:rsidRDefault="002C54E6">
      <w:pPr>
        <w:jc w:val="both"/>
        <w:rPr>
          <w:b/>
        </w:rPr>
      </w:pPr>
    </w:p>
    <w:p w:rsidR="002C54E6" w:rsidRDefault="00D752E7">
      <w:pPr>
        <w:jc w:val="both"/>
        <w:rPr>
          <w:sz w:val="22"/>
          <w:szCs w:val="22"/>
        </w:rPr>
      </w:pPr>
      <w:r>
        <w:rPr>
          <w:sz w:val="22"/>
          <w:szCs w:val="22"/>
        </w:rPr>
        <w:lastRenderedPageBreak/>
        <w:t xml:space="preserve">Niniejszy dokument jest czwartą wersją raportu podsumowujący pracę zespołu HUB. Pierwsza wersja dokumentu (notatka) powstała w oparciu o przygotowane przez Grupę Metodologii (GM) wytyczne – spis treści. Notatka została przedstawiona GM w maju 2020 r. Również w maju 2020 r. podjęto decyzję na posiedzeniu GM o potrzebie pogłębionej analizy w zakresie danych i do tego celu zaangażowano cztery jednostki z Urzędów Statystycznych GUS. We wrześniu 2020 r. zespół HUB  przedstawił na GM wersję pierwszą raportu ze swoich prac. Kluczowym zagadnieniem była przedstawiona metodyka prac i plan prac  zespołów z US-ów. Kolejna wersja raportu (stanowiąca drugą wersję raportu), a licząc z notatką z maja 2020 r. (opisująca wstępne założenia) była trzecią wersją dokumentu i została przedstawiona 2 marca 2021 r. </w:t>
      </w:r>
    </w:p>
    <w:p w:rsidR="002C54E6" w:rsidRDefault="00D752E7">
      <w:pPr>
        <w:jc w:val="both"/>
      </w:pPr>
      <w:r>
        <w:rPr>
          <w:sz w:val="22"/>
          <w:szCs w:val="22"/>
        </w:rPr>
        <w:t xml:space="preserve">Niniejszy dokument powstawał w okresie maj – grudzień 2021, w którym udostępniane były kolejne wersje Systemem Monitorowania Usług Publicznych (SMUP). W tym okresie na bieżąco można było testować sam system jak i weryfikować istniejące luki informacyjne i ich oddziaływanie na jakość pracy w systemie, a przez to na postrzeganie systemu przez jego przyszłych użytkowników.  </w:t>
      </w:r>
    </w:p>
    <w:p w:rsidR="002C54E6" w:rsidRDefault="00D752E7">
      <w:pPr>
        <w:jc w:val="both"/>
      </w:pPr>
      <w:r>
        <w:rPr>
          <w:sz w:val="22"/>
          <w:szCs w:val="22"/>
        </w:rPr>
        <w:t>Bazując na wcześniejszych pracach nad koncepcją HUB, zrealizowany został przez zespół pracowników GUS Demonstrator Aplikacji dla Gmin i Powiatów, który w przyszłości zapewni możliwość zarządzania danymi JST w HUBie samorządowym. Budowa Demonstratora to pierwszy etap prac nad HUB, pozwalający zidentyfikować problemy i ryzyka związane z planowaną realizacją projektu. Informacje zgromadzone w trakcie prac nad Aplikacją to również bezcenne doświadczenie w zakresie specyfikacji wymagań, przyszłych kierunków działań, porządkowania danych i metadanych, o czym będzie w dalszej części raportu.</w:t>
      </w:r>
    </w:p>
    <w:p w:rsidR="002C54E6" w:rsidRDefault="00D752E7">
      <w:pPr>
        <w:jc w:val="both"/>
      </w:pPr>
      <w:r>
        <w:rPr>
          <w:sz w:val="22"/>
          <w:szCs w:val="22"/>
        </w:rPr>
        <w:t xml:space="preserve">Drugi kluczowy aspekt mający wpływ na treść raportu to dyskusje z samorządowcami,  które to odbywały się zarówno w trakcie testów aplikacji SMUP jak i rozmów o zakresie jakości danych i aktualności danych SMUP. Celem dyskusji było wypracowanie oczekiwań i zdefiniowanie ryzyk związanych z pracą nad koncepcją HUB oraz określenie metod zachęcenia JST do aktywnego uczestniczenia w planowanym projekcie HUB. W trakcie omawiania i wyrażania oczekiwań co do realizacji projektu HUB pojawiły się dwa typy użytkowników z poziomu JST (gmina), a mianowicie gminy o niskim potencjale w obszarze ICT (w większości są to gminy wiejskie) i pozostałe. </w:t>
      </w:r>
      <w:r>
        <w:rPr>
          <w:color w:val="000000" w:themeColor="text1"/>
          <w:sz w:val="22"/>
          <w:szCs w:val="22"/>
        </w:rPr>
        <w:t>HUB mógłby spełnić role repozytorium oraz prostego narzędzia do zarządzania danymi dla gmin o niskim potencjale.</w:t>
      </w:r>
    </w:p>
    <w:p w:rsidR="002C54E6" w:rsidRDefault="00D752E7">
      <w:pPr>
        <w:jc w:val="both"/>
      </w:pPr>
      <w:r>
        <w:rPr>
          <w:color w:val="000000" w:themeColor="text1"/>
          <w:sz w:val="22"/>
          <w:szCs w:val="22"/>
        </w:rPr>
        <w:t xml:space="preserve">Kolejny aspekt to zasilanie HUB danymi. Oprócz analizowanego wcześniej zasilania przez statystykę publiczną oraz systemy zewnętrzne, przeanalizowano możliwość zasilania systemu danymi z wewnętrznych systemów dziedzinowych JST. W szczególności wzięto pod uwagę możliwość potencjalnego wykorzystania zebranych danych elementarnych w miastach średnich, w tym w miastach na prawach powiatu. W tym aspekcie zasilania danymi wykorzystano doświadczenie zdobyte w ramach projektu M-GIS będącego wsparciem w projekcie pt. „Budowanie potencjału instytucjonalnego średnich i małych miast w Polsce na rzecz wdrażania skutecznych lokalnych polityk rozwoju”  realizowanego przez Instytut Rozwoju Miast i Regionów (IRMiR). Możliwość zasilania i gromadzenia danych powinna być budowana w oparciu o ujednoliconą metodykę oraz wcześniej wypracowane definicje metadanych, co powinno zapewnić wysoką jakość, spójność i aktualność danych. </w:t>
      </w:r>
    </w:p>
    <w:p w:rsidR="002C54E6" w:rsidRDefault="00D752E7">
      <w:pPr>
        <w:jc w:val="both"/>
        <w:rPr>
          <w:color w:val="000000" w:themeColor="text1"/>
          <w:sz w:val="22"/>
          <w:szCs w:val="22"/>
        </w:rPr>
      </w:pPr>
      <w:r>
        <w:rPr>
          <w:color w:val="000000" w:themeColor="text1"/>
          <w:sz w:val="22"/>
          <w:szCs w:val="22"/>
        </w:rPr>
        <w:t xml:space="preserve">W trakcie warsztatów z samorządami ewoluował poglądowy schemat relacji pomiędzy HUBem, a systemami administracji publicznej i statystyki publicznej, który przedstawiony jest w dalszej części dokumentu. Co do zasady HUB powinien pełnić rolę składnicy przechowującej dane JST. Zasilanie HUB powinno być możliwe przez systemy JST oraz systemy centralne, w tym statystykę publiczną. Fundamentalnym i niezwykle ważnym elementem projektu HUB powinno być stworzenie i uporządkowane repozytorium metadanych. </w:t>
      </w:r>
    </w:p>
    <w:p w:rsidR="002C54E6" w:rsidRDefault="00D752E7">
      <w:pPr>
        <w:jc w:val="both"/>
        <w:rPr>
          <w:sz w:val="22"/>
          <w:szCs w:val="22"/>
        </w:rPr>
      </w:pPr>
      <w:r>
        <w:rPr>
          <w:sz w:val="22"/>
          <w:szCs w:val="22"/>
        </w:rPr>
        <w:t>Celem istnienia HUB jest dokonanie zmiany systemu gromadzenia i uporządkowanie przepływu danych, zmniejszenie nakładów pracy na przygotowanie i odebranie informacji, zapewnienie spójności danych i lepszej ich dostępności oraz możliwości ich porównywania. Kolejnym celem jest także trwałe zapewnienie spójnego zbioru definicji opisujących dane (tzw. metadanych), który to zbiór będzie miał swoje umocowanie w stosownych przepisach prawnych. Ponadto HUB umożliwi również gromadzenie danych niezbędnych dla SMUP, a niedostępnych w działających obecnie systemach (efektem będzie zapełnienie części luk informacyjnych SMUP).</w:t>
      </w:r>
    </w:p>
    <w:p w:rsidR="002C54E6" w:rsidRDefault="00D752E7">
      <w:pPr>
        <w:jc w:val="both"/>
        <w:rPr>
          <w:sz w:val="22"/>
          <w:szCs w:val="22"/>
        </w:rPr>
      </w:pPr>
      <w:r>
        <w:rPr>
          <w:sz w:val="22"/>
          <w:szCs w:val="22"/>
        </w:rPr>
        <w:t xml:space="preserve">Warto zwrócić uwagę na potencjalną możliwość przetwarzania (udostępniania) danych zgromadzonych w HUB zgodnie z przepisami ustawy z dnia 11 sierpnia 2021 r. </w:t>
      </w:r>
      <w:bookmarkStart w:id="2" w:name="__DdeLink__2776_1940566634"/>
      <w:r>
        <w:rPr>
          <w:sz w:val="22"/>
          <w:szCs w:val="22"/>
        </w:rPr>
        <w:t>o otwartych danych i ponownym wykorzystywaniu informacji sektora publicznego</w:t>
      </w:r>
      <w:bookmarkEnd w:id="2"/>
      <w:r>
        <w:rPr>
          <w:sz w:val="22"/>
          <w:szCs w:val="22"/>
        </w:rPr>
        <w:t xml:space="preserve">. Takim przetwarzaniem powinien być zainteresowany </w:t>
      </w:r>
      <w:r>
        <w:rPr>
          <w:sz w:val="22"/>
          <w:szCs w:val="22"/>
        </w:rPr>
        <w:lastRenderedPageBreak/>
        <w:t xml:space="preserve">biznes oraz instytucje naukowe. Problem zwiększenia ilości ponownie wykorzystywanych informacji sektora publicznego jest uważany za istotny zarówno na poziomie europejskim jak i krajowym. HUB stanowiłby doskonałe narzędzie do automatycznego udostępniania tych informacji przy jednoczesnym poprawnie zdefiniowanym środowisku definicji zmiennych. </w:t>
      </w:r>
    </w:p>
    <w:p w:rsidR="002C54E6" w:rsidRDefault="00D752E7">
      <w:pPr>
        <w:jc w:val="both"/>
        <w:rPr>
          <w:color w:val="000000" w:themeColor="text1"/>
          <w:sz w:val="22"/>
          <w:szCs w:val="22"/>
        </w:rPr>
      </w:pPr>
      <w:r>
        <w:rPr>
          <w:sz w:val="22"/>
          <w:szCs w:val="22"/>
        </w:rPr>
        <w:t xml:space="preserve">Prace nad HUB powinny być tak prowadzone, aby interesariusze możliwie szybko uzyskali przynajmniej część korzyści wymienionych powyżej. </w:t>
      </w:r>
      <w:r>
        <w:rPr>
          <w:color w:val="000000" w:themeColor="text1"/>
          <w:sz w:val="22"/>
          <w:szCs w:val="22"/>
        </w:rPr>
        <w:t>Po rozmowach z samorządowcami w dokumencie proponujemy zmieniony model realizacji projektu wychodzący naprzeciw oczekiwaniom samorządów jako kluczowym beneficjentom systemu.</w:t>
      </w:r>
    </w:p>
    <w:p w:rsidR="002C54E6" w:rsidRDefault="00D752E7">
      <w:pPr>
        <w:pStyle w:val="Nagwek1"/>
        <w:numPr>
          <w:ilvl w:val="0"/>
          <w:numId w:val="13"/>
        </w:numPr>
        <w:ind w:left="0" w:firstLine="0"/>
        <w:rPr>
          <w:rFonts w:ascii="Times New Roman" w:hAnsi="Times New Roman" w:cs="Times New Roman"/>
          <w:sz w:val="28"/>
          <w:szCs w:val="28"/>
        </w:rPr>
      </w:pPr>
      <w:bookmarkStart w:id="3" w:name="_Toc89935349"/>
      <w:bookmarkEnd w:id="3"/>
      <w:r>
        <w:rPr>
          <w:rFonts w:ascii="Times New Roman" w:hAnsi="Times New Roman" w:cs="Times New Roman"/>
          <w:sz w:val="28"/>
          <w:szCs w:val="28"/>
        </w:rPr>
        <w:t>2 . Wstęp (strategiczna wizja i schemat)</w:t>
      </w:r>
    </w:p>
    <w:p w:rsidR="002C54E6" w:rsidRDefault="00D752E7">
      <w:pPr>
        <w:jc w:val="both"/>
        <w:rPr>
          <w:rFonts w:eastAsia="Calibri" w:cs="Times New Roman"/>
          <w:sz w:val="22"/>
          <w:szCs w:val="22"/>
        </w:rPr>
      </w:pPr>
      <w:r>
        <w:rPr>
          <w:rFonts w:eastAsia="Calibri" w:cs="Times New Roman"/>
          <w:sz w:val="22"/>
          <w:szCs w:val="22"/>
        </w:rPr>
        <w:t xml:space="preserve">W ramach prac nad Systemem Monitorowania Usług Publicznych (SMUP) pojawiła się kwestia zasilania systemu i związane z nią zasadnicze problemy przepływu danych statystycznych w państwie. Fundamentalnym wyzwaniem na tym etapie jest rozproszenie informacji sprawozdawczych, które obecnie są pozyskiwane i przekazywane wewnątrz szeroko pojętej administracji publicznej. Mnogość gestorów danych, systemów sprawozdawczych istniejących w polskiej administracji, brak standardów i definicji opisujących dane istotnie utrudnia ponowne wykorzystanie danych publicznych. W tym kontekście szczególnie pożądane są działania zmierzające do standaryzacji  danych pozwalające na ich integrację, a w konsekwencji ułatwiające do nich ponowny dostęp w celu analiz i możliwości porównań. </w:t>
      </w:r>
    </w:p>
    <w:p w:rsidR="002C54E6" w:rsidRDefault="00D752E7">
      <w:pPr>
        <w:jc w:val="both"/>
      </w:pPr>
      <w:r>
        <w:rPr>
          <w:rFonts w:eastAsia="Calibri" w:cs="Times New Roman"/>
          <w:sz w:val="22"/>
          <w:szCs w:val="22"/>
        </w:rPr>
        <w:t>W chwili obecnej dane sprawozdawane przez jednostki samorządu terytorialnego w bardzo ograniczonym zakresie wracają do samorządu w postaci informacji użytecznej do podejmowania codziennych decyzji zarządczych. W ramach prac projektowych, kierując się doświadczeniami norweskimi, zaproponowano modyfikację przepływu danych sprawozdawczych w państwie. Usprawnienie przepływu sprawozdań w państwie pozytywnie wpłynęłoby na podwyższenie jakości danych przy jednoczesnym ograniczeniu obciążeń sprawozdawczych JST oraz możliwości ich wielokrotnego wykorzystania na różnych szczeblach administracji. Proponujemy osiągnięcie tego celu poprzez budowę HUB.</w:t>
      </w:r>
    </w:p>
    <w:p w:rsidR="002C54E6" w:rsidRDefault="00D752E7">
      <w:pPr>
        <w:pStyle w:val="Default"/>
        <w:jc w:val="both"/>
        <w:rPr>
          <w:rFonts w:ascii="Times New Roman" w:eastAsia="Calibri" w:hAnsi="Times New Roman" w:cs="Times New Roman"/>
          <w:color w:val="00000A"/>
          <w:sz w:val="22"/>
          <w:szCs w:val="22"/>
        </w:rPr>
      </w:pPr>
      <w:r>
        <w:rPr>
          <w:rFonts w:ascii="Times New Roman" w:eastAsia="Calibri" w:hAnsi="Times New Roman" w:cs="Times New Roman"/>
          <w:color w:val="00000A"/>
          <w:sz w:val="22"/>
          <w:szCs w:val="22"/>
        </w:rPr>
        <w:t>Doświadczenia norweskie w budowie systemu monitorowania KOSTRA wskazują, że przejście od systemu raportowania bezpośredniego do systemu raportowania pośredniego przynosi realne korzyści. W systemie pośrednim praktycznie nie występuje wtedy zjawisko redundancji, które w warunkach polskich objawia się w postaci przesyłania bardzo zbliżonej treściowo informacji do różnych podmiotów. Dane do HUB pozyskiwane byłyby na podstawie ujednoliconej metodyki w oparciu o przyjęte definicje metadanych oraz słowniki, co znacząco poprawia jakość i spójność danych.</w:t>
      </w:r>
    </w:p>
    <w:p w:rsidR="002C54E6" w:rsidRDefault="00D752E7">
      <w:pPr>
        <w:pStyle w:val="Default"/>
        <w:jc w:val="both"/>
        <w:rPr>
          <w:rFonts w:ascii="Times New Roman" w:eastAsia="Calibri" w:hAnsi="Times New Roman" w:cs="Times New Roman"/>
          <w:color w:val="00000A"/>
          <w:sz w:val="22"/>
          <w:szCs w:val="22"/>
        </w:rPr>
      </w:pPr>
      <w:r>
        <w:rPr>
          <w:rFonts w:ascii="Times New Roman" w:eastAsia="Calibri" w:hAnsi="Times New Roman" w:cs="Times New Roman"/>
          <w:color w:val="00000A"/>
          <w:sz w:val="22"/>
          <w:szCs w:val="22"/>
        </w:rPr>
        <w:t>Dzięki wdrożeniu repozytorium HUB, wspierających je usług oraz zabezpieczenia otoczenia prawnego docelowo rozwiązania  możliwe będzie usprawnienie obiegu danych sprawozdawczych i zapewnienie ich wysokiej jakości i dostępności na wszystkich szczeblach administracji od gmin poprzez powiaty, województwa, aż po szczebel centralny. HUB będzie mógł spełniać rolę zasobu przechowującego dane sprawozdawcze JST, które to byłyby odpowiedzialne za stan danych i zarządzanie nimi. Analogicznie do rozwiązań wdrożonych w Norwegii, jednostki administracji publicznej i inne uprawnione podmioty będą mogły pobierać dane z tego repozytorium, zamiast każdorazowo przesyłać zapotrzebowanie na nie do JST.</w:t>
      </w:r>
    </w:p>
    <w:p w:rsidR="002C54E6" w:rsidRDefault="00D752E7">
      <w:pPr>
        <w:jc w:val="both"/>
      </w:pPr>
      <w:r>
        <w:rPr>
          <w:rFonts w:eastAsia="Calibri" w:cs="Times New Roman"/>
          <w:sz w:val="22"/>
          <w:szCs w:val="22"/>
        </w:rPr>
        <w:t>Poglądowy schemat relacji pomiędzy HUBem, a systemami administracji publicznej i Statystyki Publicznej wygląda następująco:</w:t>
      </w:r>
    </w:p>
    <w:p w:rsidR="002C54E6" w:rsidRDefault="00D752E7" w:rsidP="00D752E7">
      <w:pPr>
        <w:pStyle w:val="Default"/>
        <w:jc w:val="both"/>
        <w:rPr>
          <w:rFonts w:eastAsia="Calibri" w:cs="Times New Roman"/>
          <w:sz w:val="22"/>
          <w:szCs w:val="22"/>
          <w:highlight w:val="white"/>
        </w:rPr>
      </w:pPr>
      <w:r w:rsidRPr="00D752E7">
        <w:rPr>
          <w:rFonts w:ascii="Times New Roman" w:eastAsia="Calibri" w:hAnsi="Times New Roman" w:cs="Times New Roman"/>
          <w:noProof/>
          <w:sz w:val="22"/>
          <w:szCs w:val="22"/>
          <w:shd w:val="clear" w:color="auto" w:fill="FFFFFF"/>
          <w:lang w:eastAsia="pl-PL" w:bidi="ar-SA"/>
        </w:rPr>
        <w:lastRenderedPageBreak/>
        <w:drawing>
          <wp:anchor distT="0" distB="0" distL="0" distR="0" simplePos="0" relativeHeight="2" behindDoc="0" locked="0" layoutInCell="1" allowOverlap="1" wp14:anchorId="13BF2134" wp14:editId="26699332">
            <wp:simplePos x="0" y="0"/>
            <wp:positionH relativeFrom="column">
              <wp:align>center</wp:align>
            </wp:positionH>
            <wp:positionV relativeFrom="paragraph">
              <wp:posOffset>635</wp:posOffset>
            </wp:positionV>
            <wp:extent cx="6120130" cy="4326255"/>
            <wp:effectExtent l="0" t="0" r="0" b="0"/>
            <wp:wrapTopAndBottom/>
            <wp:docPr id="1"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23"/>
                    <pic:cNvPicPr>
                      <a:picLocks noChangeAspect="1" noChangeArrowheads="1"/>
                    </pic:cNvPicPr>
                  </pic:nvPicPr>
                  <pic:blipFill>
                    <a:blip r:embed="rId9"/>
                    <a:stretch>
                      <a:fillRect/>
                    </a:stretch>
                  </pic:blipFill>
                  <pic:spPr bwMode="auto">
                    <a:xfrm>
                      <a:off x="0" y="0"/>
                      <a:ext cx="6120130" cy="4326255"/>
                    </a:xfrm>
                    <a:prstGeom prst="rect">
                      <a:avLst/>
                    </a:prstGeom>
                  </pic:spPr>
                </pic:pic>
              </a:graphicData>
            </a:graphic>
          </wp:anchor>
        </w:drawing>
      </w:r>
      <w:r w:rsidRPr="00D752E7">
        <w:rPr>
          <w:rFonts w:ascii="Times New Roman" w:eastAsia="Calibri" w:hAnsi="Times New Roman" w:cs="Times New Roman"/>
          <w:sz w:val="22"/>
          <w:szCs w:val="22"/>
          <w:shd w:val="clear" w:color="auto" w:fill="FFFFFF"/>
        </w:rPr>
        <w:t>Zgodnie z powyższym schematem HUB będzie spełniał rolę składnicy przechowującej dane JST. Zasilanie składnicy byłoby możliwe przez JST (automatycznie z systemów dziedzinowych lub poprzez aplikację dla JST), administrację państwową (z ogólnopolskich systemów sprawozdawczych) oraz Statystykę Publiczną. Zasilanie przez JST obejmowałoby zasilanie przez urzędy oraz inne jednostki organizacyjne JST</w:t>
      </w:r>
      <w:r>
        <w:rPr>
          <w:rFonts w:eastAsia="Calibri" w:cs="Times New Roman"/>
          <w:sz w:val="22"/>
          <w:szCs w:val="22"/>
          <w:shd w:val="clear" w:color="auto" w:fill="FFFFFF"/>
        </w:rPr>
        <w:t>.</w:t>
      </w:r>
    </w:p>
    <w:p w:rsidR="002C54E6" w:rsidRDefault="00D752E7">
      <w:pPr>
        <w:jc w:val="both"/>
      </w:pPr>
      <w:r>
        <w:rPr>
          <w:rFonts w:eastAsia="Calibri" w:cs="Times New Roman"/>
          <w:color w:val="000000"/>
          <w:sz w:val="22"/>
          <w:szCs w:val="22"/>
        </w:rPr>
        <w:t>Dane z HUB pobierane byłyby w sposób zautomatyzowany przez Statystykę Publiczną. Zakłada się, że docelowo cała sprawozdawczość z JST do Statystyki Publicznej realizowana byłaby poprzez HUB.  Podobnie za pomocą dedykowanych interfejsów dane byłyby pobierane przez różne szczeble administracji państwowej (sprawozdawczość resortowa) i samorządowej (np. sprawozdawczość z gmin do urzędów marszałkowskich). Nie przewiduje się rezygnacji z ogólnopolskich systemów sprawozdawczych (takich jak SIO, BeSTI@) na rzecz HUB. Przyjmuje się, że systemy te w sposób automatyczny wtórnie udostępnią do HUB dane JST. Przewiduje się także możliwość pobierania danych z HUB przez inne uprawnione jednostki oraz przesyłanie brakujących danych do systemu SMUP (zapełnienie luk informacyjnych).</w:t>
      </w:r>
    </w:p>
    <w:p w:rsidR="002C54E6" w:rsidRDefault="00D752E7">
      <w:pPr>
        <w:jc w:val="both"/>
        <w:rPr>
          <w:rFonts w:eastAsia="Calibri" w:cs="Times New Roman"/>
          <w:color w:val="000000"/>
          <w:sz w:val="22"/>
          <w:szCs w:val="22"/>
          <w:highlight w:val="white"/>
        </w:rPr>
      </w:pPr>
      <w:r>
        <w:rPr>
          <w:rFonts w:eastAsia="Calibri" w:cs="Times New Roman"/>
          <w:color w:val="000000"/>
          <w:sz w:val="22"/>
          <w:szCs w:val="22"/>
          <w:shd w:val="clear" w:color="auto" w:fill="FFFFFF"/>
        </w:rPr>
        <w:t xml:space="preserve">JST byłyby właścicielami swoich danych w HUB. Wszystkie zgromadzone w HUB przez daną JST dane byłyby na bieżąco dla niej dostępne i jednostka mogłaby nimi na bieżąco zarządzać lub je przetwarzać (w tym pobierać do wtórnego wykorzystania) poprzez aplikację i system zarządzania danymi. System zarządzania danymi pozwalałby ponadto kontrolować kompletność danych i terminowość ich gromadzenia. Przewiduje się w tym celu budowę, w ramach systemu zarządzania danymi, paneli zarządzających dla kierownictw JST. Podobne panele powinny zostać zaimplementowane dla osób zarządzających sprawozdawczością u odbiorców danych sprawozdawczych, by mogli oni kontrolować na bieżąco kompletność i terminowość otrzymywanych sprawozdań. Wtórnie pobrane dane mogłyby być wykorzystywane do podejmowania decyzji zarządczych przez kierownictwa JST. </w:t>
      </w:r>
    </w:p>
    <w:p w:rsidR="002C54E6" w:rsidRDefault="00D752E7">
      <w:pPr>
        <w:jc w:val="both"/>
      </w:pPr>
      <w:r>
        <w:rPr>
          <w:rFonts w:eastAsia="Calibri" w:cs="Times New Roman"/>
          <w:color w:val="000000"/>
          <w:sz w:val="22"/>
          <w:szCs w:val="22"/>
          <w:shd w:val="clear" w:color="auto" w:fill="FFFFFF"/>
        </w:rPr>
        <w:t xml:space="preserve">Zakładamy, że docelowo system zarządzania danymi </w:t>
      </w:r>
      <w:r>
        <w:rPr>
          <w:rFonts w:eastAsia="Calibri" w:cs="Times New Roman"/>
          <w:color w:val="000000"/>
          <w:sz w:val="22"/>
          <w:szCs w:val="22"/>
        </w:rPr>
        <w:t>będzie stan</w:t>
      </w:r>
      <w:r>
        <w:rPr>
          <w:rFonts w:eastAsia="Calibri" w:cs="Times New Roman"/>
          <w:color w:val="000000"/>
          <w:sz w:val="22"/>
          <w:szCs w:val="22"/>
          <w:shd w:val="clear" w:color="auto" w:fill="FFFFFF"/>
        </w:rPr>
        <w:t xml:space="preserve">owić miejsce, gdzie tworzone są definicje (szablony) nowych sprawozdań w oparciu o słowniki i metadane. Głównym użytkownikiem tego obszaru funkcjonalnego byłaby administracja centralna. </w:t>
      </w:r>
    </w:p>
    <w:p w:rsidR="002C54E6" w:rsidRDefault="00D752E7">
      <w:pPr>
        <w:jc w:val="both"/>
      </w:pPr>
      <w:r>
        <w:rPr>
          <w:rFonts w:eastAsia="Calibri" w:cs="Times New Roman"/>
          <w:color w:val="000000"/>
          <w:sz w:val="22"/>
          <w:szCs w:val="22"/>
        </w:rPr>
        <w:lastRenderedPageBreak/>
        <w:t>Powyższy schemat należy traktować poglądowo jako pewną idę pozwalającą zdefiniować oczekiwania wobec projektu HUB. Projekt obejmowałby HUB, Aplikacje JST, system zarządzania dan</w:t>
      </w:r>
      <w:r w:rsidR="00EC65B2">
        <w:rPr>
          <w:rFonts w:eastAsia="Calibri" w:cs="Times New Roman"/>
          <w:color w:val="000000"/>
          <w:sz w:val="22"/>
          <w:szCs w:val="22"/>
        </w:rPr>
        <w:t>ymi (w tym panele zarządzające</w:t>
      </w:r>
      <w:r>
        <w:rPr>
          <w:rFonts w:eastAsia="Calibri" w:cs="Times New Roman"/>
          <w:color w:val="000000"/>
          <w:sz w:val="22"/>
          <w:szCs w:val="22"/>
        </w:rPr>
        <w:t>) oraz powiązanie HUB z innymi systemami zilustrowanymi na schemacie.</w:t>
      </w:r>
    </w:p>
    <w:p w:rsidR="002C54E6" w:rsidRDefault="00D752E7">
      <w:pPr>
        <w:pStyle w:val="Default"/>
        <w:jc w:val="both"/>
        <w:rPr>
          <w:rFonts w:ascii="Fira Sans" w:eastAsiaTheme="minorHAnsi" w:hAnsi="Fira Sans" w:cs="Fira Sans"/>
          <w:lang w:eastAsia="en-US" w:bidi="ar-SA"/>
        </w:rPr>
      </w:pPr>
      <w:r>
        <w:rPr>
          <w:rFonts w:eastAsia="Calibri" w:cs="Times New Roman"/>
          <w:sz w:val="22"/>
          <w:szCs w:val="22"/>
        </w:rPr>
        <w:t>Powyższe po</w:t>
      </w:r>
      <w:r>
        <w:rPr>
          <w:rFonts w:ascii="Times New Roman" w:eastAsia="Calibri" w:hAnsi="Times New Roman" w:cs="Times New Roman"/>
          <w:sz w:val="22"/>
          <w:szCs w:val="22"/>
        </w:rPr>
        <w:t xml:space="preserve">dejście do wdrożenia HUB czyni zadość wnioskom przedstawicieli JST, dla których bieżący dostęp do najświeższych danych ma podstawowe znaczenie. Docelowo HUB będzie mógł spełniać rolę zasobu przechowującego dane statystyczne (sprawozdawcze) JST, które byłyby odpowiedzialne za stan danych i zarządzanie nimi. </w:t>
      </w:r>
    </w:p>
    <w:p w:rsidR="002C54E6" w:rsidRDefault="00D752E7">
      <w:pPr>
        <w:jc w:val="both"/>
      </w:pPr>
      <w:r>
        <w:rPr>
          <w:rFonts w:eastAsia="Calibri" w:cs="Times New Roman"/>
          <w:color w:val="000000"/>
          <w:sz w:val="22"/>
          <w:szCs w:val="22"/>
        </w:rPr>
        <w:t>Należy zaznaczyć, że mimo iż projekt HUB jest projektem informatycznym, to głównym i kluczowym  zadaniem, od którego zależy powodzenie tego projektu będzie uporządkowanie gromadzonych informacji, zmiany organizacyjne i prawne. Niewątpliwie dużym wyzwaniem będzie także uporządkowanie metadanych i potencjalnie na nowo ich zdefiniowanie.</w:t>
      </w:r>
    </w:p>
    <w:p w:rsidR="002C54E6" w:rsidRDefault="00D752E7">
      <w:pPr>
        <w:jc w:val="both"/>
        <w:rPr>
          <w:rFonts w:cs="Times New Roman"/>
          <w:sz w:val="22"/>
          <w:szCs w:val="22"/>
        </w:rPr>
      </w:pPr>
      <w:r>
        <w:rPr>
          <w:rFonts w:eastAsia="Calibri" w:cs="Times New Roman"/>
          <w:color w:val="000000"/>
          <w:sz w:val="22"/>
          <w:szCs w:val="22"/>
        </w:rPr>
        <w:t>Istnieje szansa na wykorzystanie efektów realizacji innych projektów realizowanych w obszarze zarządzania informacją w samorządach. W szczególności takie możliwości daje projekt realizowany przez Instytut Rozwoju Miast i Regionów  dotyczący zarządzania danymi w mieście.</w:t>
      </w:r>
    </w:p>
    <w:p w:rsidR="002C54E6" w:rsidRDefault="00D752E7">
      <w:pPr>
        <w:jc w:val="both"/>
        <w:rPr>
          <w:rFonts w:eastAsia="Calibri" w:cs="Times New Roman"/>
          <w:color w:val="000000"/>
          <w:sz w:val="22"/>
          <w:szCs w:val="22"/>
        </w:rPr>
      </w:pPr>
      <w:r>
        <w:rPr>
          <w:rFonts w:eastAsia="Calibri" w:cs="Times New Roman"/>
          <w:color w:val="000000"/>
          <w:sz w:val="22"/>
          <w:szCs w:val="22"/>
        </w:rPr>
        <w:t xml:space="preserve">Warto też podkreślić kluczową rolę Statystyki Publicznej we wdrożeniu rozwiązania. Statystyka Publiczna byłaby jednym z głównych odbiorców danych zgromadzonych w HUB i równocześnie twórcą standardów metadanych i słowników dla gromadzonych danych. </w:t>
      </w:r>
      <w:r>
        <w:rPr>
          <w:rFonts w:cs="Times New Roman"/>
          <w:sz w:val="22"/>
          <w:szCs w:val="22"/>
        </w:rPr>
        <w:t xml:space="preserve">Obecnie, równolegle w Głównym Urzędzie Statystycznym prowadzone są prace nad opracowaniem zasad dotyczących metadanych </w:t>
      </w:r>
      <w:r w:rsidR="00EC65B2">
        <w:rPr>
          <w:rFonts w:cs="Times New Roman"/>
          <w:sz w:val="22"/>
          <w:szCs w:val="22"/>
        </w:rPr>
        <w:t xml:space="preserve">w </w:t>
      </w:r>
      <w:r>
        <w:rPr>
          <w:rFonts w:cs="Times New Roman"/>
          <w:sz w:val="22"/>
          <w:szCs w:val="22"/>
        </w:rPr>
        <w:t xml:space="preserve">ramach projektu „Wrota Statystyki”. Wypracowane, spójne podejście, rozwiązania i zasady powinny zostać uwzględnione i wykorzystane w przyszłych pracach nad HUB w zakresie metadanych. </w:t>
      </w:r>
    </w:p>
    <w:p w:rsidR="002C54E6" w:rsidRDefault="002C54E6">
      <w:pPr>
        <w:jc w:val="both"/>
        <w:rPr>
          <w:rFonts w:cs="Times New Roman"/>
          <w:sz w:val="22"/>
          <w:szCs w:val="22"/>
        </w:rPr>
      </w:pPr>
    </w:p>
    <w:p w:rsidR="002C54E6" w:rsidRDefault="002C54E6">
      <w:pPr>
        <w:jc w:val="both"/>
        <w:rPr>
          <w:rFonts w:cs="Times New Roman"/>
          <w:color w:val="000000" w:themeColor="text1"/>
          <w:sz w:val="22"/>
          <w:szCs w:val="22"/>
        </w:rPr>
      </w:pPr>
    </w:p>
    <w:p w:rsidR="002C54E6" w:rsidRDefault="00D752E7">
      <w:pPr>
        <w:pStyle w:val="Nagwek1"/>
        <w:numPr>
          <w:ilvl w:val="0"/>
          <w:numId w:val="2"/>
        </w:numPr>
        <w:rPr>
          <w:rFonts w:ascii="Times New Roman" w:hAnsi="Times New Roman" w:cs="Times New Roman"/>
          <w:sz w:val="28"/>
          <w:szCs w:val="28"/>
        </w:rPr>
      </w:pPr>
      <w:bookmarkStart w:id="4" w:name="_Toc89935350"/>
      <w:bookmarkEnd w:id="4"/>
      <w:r>
        <w:rPr>
          <w:rFonts w:ascii="Times New Roman" w:hAnsi="Times New Roman" w:cs="Times New Roman"/>
          <w:sz w:val="28"/>
          <w:szCs w:val="28"/>
        </w:rPr>
        <w:t>3.</w:t>
      </w:r>
      <w:r>
        <w:rPr>
          <w:rFonts w:ascii="Times New Roman" w:hAnsi="Times New Roman" w:cs="Times New Roman"/>
          <w:sz w:val="28"/>
          <w:szCs w:val="28"/>
        </w:rPr>
        <w:tab/>
        <w:t>Grupy docelowe użytkowników HUB i główni interesariusze</w:t>
      </w:r>
    </w:p>
    <w:p w:rsidR="002C54E6" w:rsidRDefault="002C54E6">
      <w:pPr>
        <w:jc w:val="both"/>
        <w:rPr>
          <w:rFonts w:cs="Times New Roman"/>
          <w:b/>
          <w:color w:val="000000"/>
          <w:sz w:val="22"/>
          <w:szCs w:val="22"/>
        </w:rPr>
      </w:pPr>
    </w:p>
    <w:p w:rsidR="002C54E6" w:rsidRDefault="00D752E7">
      <w:pPr>
        <w:jc w:val="both"/>
      </w:pPr>
      <w:r>
        <w:rPr>
          <w:rFonts w:cs="Times New Roman"/>
          <w:color w:val="000000"/>
          <w:sz w:val="22"/>
          <w:szCs w:val="22"/>
        </w:rPr>
        <w:t>Kluczowymi beneficjentami rozwiązania będą jednostki samorządu terytorialnego oraz administracyjni odbiorcy danych, w tym wojewódzka administracja państwowa i samorządowa. Ponadto użytkownikami systemu będzie administracja centralna. Zakładamy, że na poziom centralny ze strony HUB będą przesyłane dane zagregowane do ustalonego poziomu ( np. poziom wojewódzki). Inni planowani użytkownicy to jednostki badawcze oraz naukowe zajmujące się analizą danych samorządowych, a także podmioty z branży konsultingowej działające na rzecz JST.</w:t>
      </w:r>
    </w:p>
    <w:p w:rsidR="002C54E6" w:rsidRDefault="00D752E7">
      <w:pPr>
        <w:jc w:val="both"/>
      </w:pPr>
      <w:r>
        <w:rPr>
          <w:rFonts w:cs="Times New Roman"/>
          <w:color w:val="000000"/>
          <w:sz w:val="22"/>
          <w:szCs w:val="22"/>
        </w:rPr>
        <w:t>Po konsultacjach, w których brała udział strona samorządowa, przeprowadzonych w II –IV kwartale 2021 r. z samorządami i administracją szczebla centralnego określono trzy kluczowe poziomy grup użytkowników w systemie HUB:</w:t>
      </w:r>
    </w:p>
    <w:p w:rsidR="002C54E6" w:rsidRDefault="002C54E6">
      <w:pPr>
        <w:jc w:val="both"/>
        <w:rPr>
          <w:rFonts w:cs="Times New Roman"/>
          <w:b/>
          <w:color w:val="000000"/>
          <w:sz w:val="22"/>
          <w:szCs w:val="22"/>
        </w:rPr>
      </w:pPr>
    </w:p>
    <w:p w:rsidR="002C54E6" w:rsidRDefault="00D752E7">
      <w:pPr>
        <w:jc w:val="both"/>
      </w:pPr>
      <w:r>
        <w:rPr>
          <w:rFonts w:cs="Times New Roman"/>
          <w:b/>
          <w:color w:val="000000"/>
          <w:sz w:val="22"/>
          <w:szCs w:val="22"/>
        </w:rPr>
        <w:t>Poziom gmin i powiatów</w:t>
      </w:r>
      <w:r>
        <w:rPr>
          <w:rFonts w:cs="Times New Roman"/>
          <w:color w:val="000000"/>
          <w:sz w:val="22"/>
          <w:szCs w:val="22"/>
        </w:rPr>
        <w:t xml:space="preserve"> jest poziomem pierwotnym, gdzie dane są tworzone (pierwotnie wprowadzane). Poziom ten obejmuje także powiatowe i gminne jednostki organizacyjne, które tworzą sprawozdania przekazywane do organów prowadzących lub bezpośrednio do administracji państwowej.</w:t>
      </w:r>
      <w:r>
        <w:rPr>
          <w:rFonts w:cs="Times New Roman"/>
          <w:b/>
          <w:color w:val="000000"/>
          <w:sz w:val="22"/>
          <w:szCs w:val="22"/>
        </w:rPr>
        <w:t xml:space="preserve"> </w:t>
      </w:r>
      <w:r>
        <w:rPr>
          <w:rFonts w:cs="Times New Roman"/>
          <w:color w:val="000000"/>
          <w:sz w:val="22"/>
          <w:szCs w:val="22"/>
        </w:rPr>
        <w:t>Część sprawozdań tworzonych jest także poprzez spółki samorządowe oraz związki międzygminne. Doprecyzowując z poziomu gminy/powiatu planowane jest dla pojedynczej gminy/powiatu kilka punktów wprowadzania danych, w zależności od struktury organizacyjnej danej JST. Dodatkowo oddzielnie należy zdefiniować potrzeby gmin o niskim potencjale w obszarze ICT (w większości są to gminy wiejskie), które oczekują, że w systemie HUB będą zaimplementowane proste narzędzia umożliwiające wprowadzenie danych i w dalszej kolejności ich agregację przewidzianą sprawozdawczością. Oceniamy, że takie podejście jest racjonalne, gdyż daje gminie o niższym potencjale narządzie do zarządzania, a jednoczesne pozwala na automatyczne generowanie określonych sprawozdań. Dla dużych, zwykle wysoko zaawansowanych w obszarze ICT JST istotne jest, by tak zaprojektować system, aby jednostki te mogły zasilać HUB w sposób automatyczny z posiadanych systemów dziedzinowych.</w:t>
      </w:r>
    </w:p>
    <w:p w:rsidR="002C54E6" w:rsidRDefault="002C54E6">
      <w:pPr>
        <w:jc w:val="both"/>
        <w:rPr>
          <w:rFonts w:cs="Times New Roman"/>
          <w:b/>
          <w:color w:val="000000"/>
          <w:sz w:val="22"/>
          <w:szCs w:val="22"/>
          <w:shd w:val="clear" w:color="auto" w:fill="FFFF00"/>
        </w:rPr>
      </w:pPr>
    </w:p>
    <w:p w:rsidR="002C54E6" w:rsidRDefault="00D752E7">
      <w:pPr>
        <w:jc w:val="both"/>
        <w:rPr>
          <w:rFonts w:cs="Times New Roman"/>
          <w:color w:val="000000"/>
          <w:sz w:val="22"/>
          <w:szCs w:val="22"/>
        </w:rPr>
      </w:pPr>
      <w:r>
        <w:rPr>
          <w:rFonts w:cs="Times New Roman"/>
          <w:b/>
          <w:color w:val="000000"/>
          <w:sz w:val="22"/>
          <w:szCs w:val="22"/>
        </w:rPr>
        <w:t>Poziom województw</w:t>
      </w:r>
      <w:r>
        <w:rPr>
          <w:rFonts w:cs="Times New Roman"/>
          <w:color w:val="000000"/>
          <w:sz w:val="22"/>
          <w:szCs w:val="22"/>
        </w:rPr>
        <w:t xml:space="preserve"> obejmuje  zarówno samorząd wojewódzki (urzędy marszałkowskie i jednostki organizacyjne) jak i administrację rządową (urzędy wojewódzkie wraz z administracją zespoloną). Poziom województw jest poziomem, który w zdecydowanej większości przypadków: </w:t>
      </w:r>
    </w:p>
    <w:p w:rsidR="002C54E6" w:rsidRDefault="00D752E7">
      <w:pPr>
        <w:ind w:left="567"/>
        <w:jc w:val="both"/>
      </w:pPr>
      <w:r>
        <w:rPr>
          <w:rFonts w:cs="Times New Roman"/>
          <w:color w:val="000000"/>
          <w:sz w:val="22"/>
          <w:szCs w:val="22"/>
        </w:rPr>
        <w:lastRenderedPageBreak/>
        <w:t>(a) przetwarza informacje z poziomu powiatów/gmin i przesyła na poziom wyższy – centralny, gdzie przetwarzanie sprowadza się do sumowania wartości sprawozdań poziomu gmin i powiatów. Takie sumowanie powinien zautomatyzować system HUB, dzięki temu unikniemy pomyłek i zostanie poprawiona jakość danych.</w:t>
      </w:r>
    </w:p>
    <w:p w:rsidR="002C54E6" w:rsidRDefault="00D752E7">
      <w:pPr>
        <w:ind w:left="567"/>
        <w:jc w:val="both"/>
      </w:pPr>
      <w:r>
        <w:rPr>
          <w:rFonts w:cs="Times New Roman"/>
          <w:color w:val="000000"/>
          <w:sz w:val="22"/>
          <w:szCs w:val="22"/>
        </w:rPr>
        <w:t>(b) wprowadza nowe (pierwotne) własne dane i przesyła dane na poziom wyższy – centralny. Samorząd województwa składa sprawozdania ze swojej działalności (np. transport kolejowy) i powinien on w przyszłości gromadzić dane w HUB, na zasadach podobnych jak gminy i powiaty.</w:t>
      </w:r>
    </w:p>
    <w:p w:rsidR="002C54E6" w:rsidRDefault="002C54E6">
      <w:pPr>
        <w:jc w:val="both"/>
        <w:rPr>
          <w:rFonts w:cs="Times New Roman"/>
          <w:b/>
          <w:color w:val="000000"/>
          <w:sz w:val="22"/>
          <w:szCs w:val="22"/>
        </w:rPr>
      </w:pPr>
    </w:p>
    <w:p w:rsidR="002C54E6" w:rsidRDefault="00D752E7">
      <w:pPr>
        <w:jc w:val="both"/>
      </w:pPr>
      <w:r>
        <w:rPr>
          <w:rFonts w:cs="Times New Roman"/>
          <w:b/>
          <w:color w:val="000000"/>
          <w:sz w:val="22"/>
          <w:szCs w:val="22"/>
        </w:rPr>
        <w:t>Poziom szczebla centralnego</w:t>
      </w:r>
      <w:r>
        <w:rPr>
          <w:rFonts w:cs="Times New Roman"/>
          <w:color w:val="000000"/>
          <w:sz w:val="22"/>
          <w:szCs w:val="22"/>
        </w:rPr>
        <w:t xml:space="preserve">, jest ostatnim trzecim poziomem, który w zdecydowanej większości jest „biernym odbiorcą” (read only), tzn. nie wprowadza nowych danych. Natomiast, z drugiej strony tzn. ze strony definiowania sprawozdań ten poziom jest poziomem kluczowym. System HUB powinien zapewnić możliwość spójnego </w:t>
      </w:r>
      <w:r>
        <w:rPr>
          <w:rFonts w:cs="Times New Roman"/>
          <w:sz w:val="22"/>
          <w:szCs w:val="22"/>
        </w:rPr>
        <w:t xml:space="preserve"> i jednoznacznego generowania oczekiwań sprawozdawczych poprzez zarządzanie zbiorem szablonów raportów i wraz z ich metadanymi. Zapewnienie spójności danych w systemie HUB docelowo powinno być usankcjonowane w odpowiednim akcie prawnym. </w:t>
      </w:r>
    </w:p>
    <w:p w:rsidR="002C54E6" w:rsidRDefault="00D752E7">
      <w:pPr>
        <w:jc w:val="both"/>
      </w:pPr>
      <w:r>
        <w:rPr>
          <w:rFonts w:cs="Times New Roman"/>
          <w:sz w:val="22"/>
          <w:szCs w:val="22"/>
        </w:rPr>
        <w:t>Ponadto poziom centralny to właściciele danych w systemach centralnych, w tym kluczowy właściciel  danych statystycznych – GUS.</w:t>
      </w:r>
    </w:p>
    <w:p w:rsidR="002C54E6" w:rsidRDefault="002C54E6">
      <w:pPr>
        <w:jc w:val="both"/>
        <w:rPr>
          <w:rFonts w:cs="Times New Roman"/>
          <w:color w:val="000000"/>
          <w:sz w:val="22"/>
          <w:szCs w:val="22"/>
        </w:rPr>
      </w:pPr>
    </w:p>
    <w:p w:rsidR="002C54E6" w:rsidRDefault="00D752E7">
      <w:pPr>
        <w:jc w:val="both"/>
      </w:pPr>
      <w:r>
        <w:rPr>
          <w:rFonts w:cs="Times New Roman"/>
          <w:color w:val="000000"/>
          <w:sz w:val="22"/>
          <w:szCs w:val="22"/>
        </w:rPr>
        <w:t>Pozostali interesariusze to jednostki naukowo – badawcze, uczelnie, organizacje pozarządowe (w tym stowarzyszenia samorządowe) i inne instytucje zajmujące się szeroką analizą danych szczebla samorządowego. Potencjalnymi interesariuszami są także przedstawiciele biznesu, którzy mogą wykorzystać dane zgromadzone w HUB zgodnie z przepisami ustawy o otwartych danych i ponownym wykorzystywaniu informacji sektora publicznego.</w:t>
      </w:r>
    </w:p>
    <w:p w:rsidR="002C54E6" w:rsidRDefault="002C54E6">
      <w:pPr>
        <w:jc w:val="both"/>
        <w:rPr>
          <w:rFonts w:cs="Times New Roman"/>
          <w:sz w:val="22"/>
          <w:szCs w:val="22"/>
        </w:rPr>
      </w:pPr>
    </w:p>
    <w:p w:rsidR="002C54E6" w:rsidRDefault="00D752E7">
      <w:pPr>
        <w:keepNext/>
        <w:tabs>
          <w:tab w:val="left" w:pos="0"/>
        </w:tabs>
        <w:spacing w:before="240" w:after="120"/>
        <w:outlineLvl w:val="0"/>
        <w:rPr>
          <w:rFonts w:eastAsia="Microsoft YaHei" w:cs="Times New Roman"/>
          <w:b/>
          <w:bCs/>
          <w:sz w:val="28"/>
          <w:szCs w:val="28"/>
        </w:rPr>
      </w:pPr>
      <w:bookmarkStart w:id="5" w:name="_Toc89935351"/>
      <w:bookmarkStart w:id="6" w:name="Bookmark9"/>
      <w:bookmarkStart w:id="7" w:name="Bookmark8"/>
      <w:bookmarkStart w:id="8" w:name="Bookmark7"/>
      <w:bookmarkStart w:id="9" w:name="__RefHeading___Toc65183392"/>
      <w:bookmarkEnd w:id="5"/>
      <w:bookmarkEnd w:id="6"/>
      <w:bookmarkEnd w:id="7"/>
      <w:bookmarkEnd w:id="8"/>
      <w:bookmarkEnd w:id="9"/>
      <w:r>
        <w:rPr>
          <w:rFonts w:eastAsia="Microsoft YaHei" w:cs="Times New Roman"/>
          <w:b/>
          <w:bCs/>
          <w:sz w:val="28"/>
          <w:szCs w:val="28"/>
        </w:rPr>
        <w:t>4. Źródła i przepływy danych dot. sektora samorządowego i rządowego</w:t>
      </w:r>
    </w:p>
    <w:p w:rsidR="002C54E6" w:rsidRDefault="00D752E7">
      <w:pPr>
        <w:jc w:val="both"/>
        <w:rPr>
          <w:rFonts w:cs="Times New Roman"/>
          <w:color w:val="000000"/>
          <w:sz w:val="22"/>
          <w:szCs w:val="22"/>
        </w:rPr>
      </w:pPr>
      <w:bookmarkStart w:id="10" w:name="Bookmark10"/>
      <w:bookmarkEnd w:id="10"/>
      <w:r>
        <w:rPr>
          <w:rFonts w:cs="Times New Roman"/>
          <w:color w:val="000000"/>
          <w:sz w:val="22"/>
          <w:szCs w:val="22"/>
        </w:rPr>
        <w:t>W trakcie prac nad raportem zidentyfikowano trzy podstawowe poziomy wprowadzania/przetwarzania danych:</w:t>
      </w:r>
    </w:p>
    <w:p w:rsidR="002C54E6" w:rsidRDefault="00D752E7">
      <w:pPr>
        <w:numPr>
          <w:ilvl w:val="0"/>
          <w:numId w:val="4"/>
        </w:numPr>
        <w:jc w:val="both"/>
        <w:rPr>
          <w:rFonts w:cs="Times New Roman"/>
          <w:color w:val="000000"/>
          <w:sz w:val="22"/>
          <w:szCs w:val="22"/>
        </w:rPr>
      </w:pPr>
      <w:r>
        <w:rPr>
          <w:rFonts w:cs="Times New Roman"/>
          <w:color w:val="000000"/>
          <w:sz w:val="22"/>
          <w:szCs w:val="22"/>
        </w:rPr>
        <w:t>gminy i powiaty (w tym jednostki organizacyjne, spółki komunalne i związki międzygminne),</w:t>
      </w:r>
    </w:p>
    <w:p w:rsidR="002C54E6" w:rsidRDefault="00D752E7">
      <w:pPr>
        <w:numPr>
          <w:ilvl w:val="0"/>
          <w:numId w:val="4"/>
        </w:numPr>
        <w:jc w:val="both"/>
        <w:rPr>
          <w:rFonts w:cs="Times New Roman"/>
          <w:color w:val="000000"/>
          <w:sz w:val="22"/>
          <w:szCs w:val="22"/>
        </w:rPr>
      </w:pPr>
      <w:r>
        <w:rPr>
          <w:rFonts w:cs="Times New Roman"/>
          <w:color w:val="000000"/>
          <w:sz w:val="22"/>
          <w:szCs w:val="22"/>
        </w:rPr>
        <w:t>samorząd województwa i wojewódzka administracja rządowa (w szczególności odpowiednio urzędy marszałkowskie i urzędy wojewódzkie),</w:t>
      </w:r>
    </w:p>
    <w:p w:rsidR="002C54E6" w:rsidRDefault="00D752E7">
      <w:pPr>
        <w:numPr>
          <w:ilvl w:val="0"/>
          <w:numId w:val="4"/>
        </w:numPr>
        <w:jc w:val="both"/>
      </w:pPr>
      <w:r>
        <w:rPr>
          <w:rFonts w:cs="Times New Roman"/>
          <w:color w:val="000000"/>
          <w:sz w:val="22"/>
          <w:szCs w:val="22"/>
        </w:rPr>
        <w:t>poziom centralny, czyli mi</w:t>
      </w:r>
      <w:r w:rsidR="00EC65B2">
        <w:rPr>
          <w:rFonts w:cs="Times New Roman"/>
          <w:color w:val="000000"/>
          <w:sz w:val="22"/>
          <w:szCs w:val="22"/>
        </w:rPr>
        <w:t>nisterstwa i urzędy centralne -</w:t>
      </w:r>
      <w:r>
        <w:rPr>
          <w:rFonts w:cs="Times New Roman"/>
          <w:color w:val="000000"/>
          <w:sz w:val="22"/>
          <w:szCs w:val="22"/>
        </w:rPr>
        <w:t xml:space="preserve"> zakładamy, że jest to odbiorca danych bez ich dalszego przesyłania, natomiast odpowiada on za jednoznaczność i spójność  danych, czyli za prawidłowe opisanie i zdefiniowanie sprawozdań.</w:t>
      </w:r>
    </w:p>
    <w:p w:rsidR="002C54E6" w:rsidRDefault="002C54E6">
      <w:pPr>
        <w:jc w:val="both"/>
        <w:rPr>
          <w:rFonts w:cs="Times New Roman"/>
          <w:b/>
          <w:color w:val="000000"/>
          <w:sz w:val="22"/>
          <w:szCs w:val="22"/>
        </w:rPr>
      </w:pPr>
    </w:p>
    <w:p w:rsidR="002C54E6" w:rsidRDefault="00D752E7">
      <w:pPr>
        <w:jc w:val="both"/>
      </w:pPr>
      <w:bookmarkStart w:id="11" w:name="Bookmark11"/>
      <w:bookmarkEnd w:id="11"/>
      <w:r>
        <w:rPr>
          <w:rFonts w:cs="Times New Roman"/>
          <w:color w:val="000000"/>
          <w:sz w:val="22"/>
          <w:szCs w:val="22"/>
          <w:shd w:val="clear" w:color="auto" w:fill="FFFFFF"/>
        </w:rPr>
        <w:t xml:space="preserve">W wyniku analizy przeprowadzonej na bazie informacji uzyskanych z badań realizowanych w  Urzędach Statystycznych w II połowie 2020 r. oraz informacji m.in. uzyskanej z urzędów marszałkowskich podlaskiego i mazowieckiego oraz wywiadów z wybranymi gminami zidentyfikowane zostały trzy poziomy powstawania informacji co  pokrywa się z docelowymi grupami użytkowników systemu HUB: </w:t>
      </w:r>
    </w:p>
    <w:p w:rsidR="002C54E6" w:rsidRDefault="002C54E6">
      <w:pPr>
        <w:jc w:val="both"/>
        <w:rPr>
          <w:rFonts w:cs="Times New Roman"/>
          <w:b/>
          <w:color w:val="000000"/>
          <w:sz w:val="22"/>
          <w:szCs w:val="22"/>
          <w:shd w:val="clear" w:color="auto" w:fill="FFFFFF"/>
        </w:rPr>
      </w:pPr>
    </w:p>
    <w:p w:rsidR="002C54E6" w:rsidRDefault="00D752E7">
      <w:pPr>
        <w:jc w:val="both"/>
        <w:rPr>
          <w:rFonts w:cs="Times New Roman"/>
          <w:color w:val="000000"/>
          <w:sz w:val="22"/>
          <w:szCs w:val="22"/>
          <w:shd w:val="clear" w:color="auto" w:fill="FFFFFF"/>
        </w:rPr>
      </w:pPr>
      <w:r>
        <w:rPr>
          <w:rFonts w:cs="Times New Roman"/>
          <w:b/>
          <w:color w:val="000000"/>
          <w:sz w:val="22"/>
          <w:szCs w:val="22"/>
          <w:shd w:val="clear" w:color="auto" w:fill="FFFFFF"/>
        </w:rPr>
        <w:t>Poziom danych gmin i powiatów</w:t>
      </w:r>
      <w:r>
        <w:rPr>
          <w:rFonts w:cs="Times New Roman"/>
          <w:color w:val="000000"/>
          <w:sz w:val="22"/>
          <w:szCs w:val="22"/>
          <w:shd w:val="clear" w:color="auto" w:fill="FFFFFF"/>
        </w:rPr>
        <w:t>, który szacujemy wartością maksymalną: 170 różnego rodzaju sprawozdań (liczba została zweryfikowana badaniami przeprowadzonymi w 4 kwartale 2020 przez wybrane oddziały urzędów statystycznych o czym w dalszej części dokumentu). W zależności od typu gminy liczba sprawozdań jest różna, co wynika z poniższej tabeli.</w:t>
      </w:r>
    </w:p>
    <w:p w:rsidR="00EC65B2" w:rsidRDefault="00EC65B2">
      <w:pPr>
        <w:jc w:val="both"/>
        <w:rPr>
          <w:rFonts w:cs="Times New Roman"/>
          <w:color w:val="000000"/>
          <w:sz w:val="22"/>
          <w:szCs w:val="22"/>
          <w:shd w:val="clear" w:color="auto" w:fill="FFFFFF"/>
        </w:rPr>
      </w:pPr>
    </w:p>
    <w:p w:rsidR="00EC65B2" w:rsidRDefault="00EC65B2">
      <w:pPr>
        <w:jc w:val="both"/>
        <w:rPr>
          <w:rFonts w:cs="Times New Roman"/>
          <w:color w:val="000000"/>
          <w:sz w:val="22"/>
          <w:szCs w:val="22"/>
          <w:shd w:val="clear" w:color="auto" w:fill="FFFFFF"/>
        </w:rPr>
      </w:pPr>
    </w:p>
    <w:p w:rsidR="00EC65B2" w:rsidRDefault="00EC65B2">
      <w:pPr>
        <w:jc w:val="both"/>
        <w:rPr>
          <w:rFonts w:cs="Times New Roman"/>
          <w:color w:val="000000"/>
          <w:sz w:val="22"/>
          <w:szCs w:val="22"/>
          <w:shd w:val="clear" w:color="auto" w:fill="FFFFFF"/>
        </w:rPr>
      </w:pPr>
    </w:p>
    <w:p w:rsidR="00EC65B2" w:rsidRDefault="00EC65B2">
      <w:pPr>
        <w:jc w:val="both"/>
        <w:rPr>
          <w:rFonts w:cs="Times New Roman"/>
          <w:color w:val="000000"/>
          <w:sz w:val="22"/>
          <w:szCs w:val="22"/>
          <w:shd w:val="clear" w:color="auto" w:fill="FFFFFF"/>
        </w:rPr>
      </w:pPr>
    </w:p>
    <w:p w:rsidR="00EC65B2" w:rsidRDefault="00EC65B2">
      <w:pPr>
        <w:jc w:val="both"/>
        <w:rPr>
          <w:rFonts w:cs="Times New Roman"/>
          <w:color w:val="000000"/>
          <w:sz w:val="22"/>
          <w:szCs w:val="22"/>
          <w:shd w:val="clear" w:color="auto" w:fill="FFFFFF"/>
        </w:rPr>
      </w:pPr>
    </w:p>
    <w:p w:rsidR="00EC65B2" w:rsidRDefault="00EC65B2">
      <w:pPr>
        <w:jc w:val="both"/>
        <w:rPr>
          <w:rFonts w:cs="Times New Roman"/>
          <w:color w:val="000000"/>
          <w:sz w:val="22"/>
          <w:szCs w:val="22"/>
          <w:shd w:val="clear" w:color="auto" w:fill="FFFFFF"/>
        </w:rPr>
      </w:pPr>
    </w:p>
    <w:p w:rsidR="00EC65B2" w:rsidRDefault="00EC65B2">
      <w:pPr>
        <w:jc w:val="both"/>
        <w:rPr>
          <w:rFonts w:cs="Times New Roman"/>
          <w:color w:val="000000"/>
          <w:sz w:val="22"/>
          <w:szCs w:val="22"/>
        </w:rPr>
      </w:pPr>
    </w:p>
    <w:p w:rsidR="002C54E6" w:rsidRDefault="002C54E6">
      <w:pPr>
        <w:jc w:val="both"/>
        <w:rPr>
          <w:rFonts w:cs="Times New Roman"/>
          <w:color w:val="000000"/>
          <w:sz w:val="22"/>
          <w:szCs w:val="22"/>
          <w:shd w:val="clear" w:color="auto" w:fill="FFFFFF"/>
        </w:rPr>
      </w:pPr>
    </w:p>
    <w:tbl>
      <w:tblPr>
        <w:tblW w:w="9117" w:type="dxa"/>
        <w:tblInd w:w="-70" w:type="dxa"/>
        <w:tblBorders>
          <w:top w:val="single" w:sz="4" w:space="0" w:color="000001"/>
          <w:left w:val="single" w:sz="4" w:space="0" w:color="000001"/>
          <w:bottom w:val="single" w:sz="4" w:space="0" w:color="000001"/>
          <w:insideH w:val="single" w:sz="4" w:space="0" w:color="000001"/>
        </w:tblBorders>
        <w:tblCellMar>
          <w:left w:w="78" w:type="dxa"/>
        </w:tblCellMar>
        <w:tblLook w:val="0000" w:firstRow="0" w:lastRow="0" w:firstColumn="0" w:lastColumn="0" w:noHBand="0" w:noVBand="0"/>
      </w:tblPr>
      <w:tblGrid>
        <w:gridCol w:w="1743"/>
        <w:gridCol w:w="1964"/>
        <w:gridCol w:w="1404"/>
        <w:gridCol w:w="1309"/>
        <w:gridCol w:w="1306"/>
        <w:gridCol w:w="1391"/>
      </w:tblGrid>
      <w:tr w:rsidR="002C54E6">
        <w:tc>
          <w:tcPr>
            <w:tcW w:w="1742"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rsidP="00FB7C4D">
            <w:pPr>
              <w:suppressAutoHyphens w:val="0"/>
              <w:spacing w:line="240" w:lineRule="auto"/>
              <w:jc w:val="center"/>
              <w:rPr>
                <w:rFonts w:cs="Times New Roman"/>
                <w:b/>
                <w:sz w:val="18"/>
                <w:szCs w:val="18"/>
              </w:rPr>
            </w:pPr>
            <w:r>
              <w:rPr>
                <w:rFonts w:cs="Times New Roman"/>
                <w:b/>
                <w:sz w:val="18"/>
                <w:szCs w:val="18"/>
              </w:rPr>
              <w:t>Rodzaj jednostki</w:t>
            </w:r>
          </w:p>
        </w:tc>
        <w:tc>
          <w:tcPr>
            <w:tcW w:w="1964"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rsidP="00FB7C4D">
            <w:pPr>
              <w:suppressAutoHyphens w:val="0"/>
              <w:spacing w:line="240" w:lineRule="auto"/>
              <w:jc w:val="center"/>
              <w:rPr>
                <w:rFonts w:cs="Times New Roman"/>
                <w:sz w:val="18"/>
                <w:szCs w:val="18"/>
              </w:rPr>
            </w:pPr>
            <w:r>
              <w:rPr>
                <w:rFonts w:eastAsia="Times New Roman" w:cs="Times New Roman"/>
                <w:b/>
                <w:bCs/>
                <w:sz w:val="18"/>
                <w:szCs w:val="18"/>
                <w:lang w:eastAsia="ar-SA" w:bidi="ar-SA"/>
              </w:rPr>
              <w:t>Nazwa jednostki JST</w:t>
            </w:r>
          </w:p>
        </w:tc>
        <w:tc>
          <w:tcPr>
            <w:tcW w:w="1404"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rsidP="00FB7C4D">
            <w:pPr>
              <w:suppressAutoHyphens w:val="0"/>
              <w:spacing w:line="240" w:lineRule="auto"/>
              <w:jc w:val="center"/>
              <w:rPr>
                <w:rFonts w:cs="Times New Roman"/>
                <w:sz w:val="18"/>
                <w:szCs w:val="18"/>
              </w:rPr>
            </w:pPr>
            <w:r>
              <w:rPr>
                <w:rFonts w:eastAsia="Times New Roman" w:cs="Times New Roman"/>
                <w:b/>
                <w:bCs/>
                <w:sz w:val="18"/>
                <w:szCs w:val="18"/>
                <w:lang w:eastAsia="ar-SA" w:bidi="ar-SA"/>
              </w:rPr>
              <w:t>Sprawozdania GUS</w:t>
            </w:r>
          </w:p>
        </w:tc>
        <w:tc>
          <w:tcPr>
            <w:tcW w:w="1309"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rsidP="00FB7C4D">
            <w:pPr>
              <w:suppressAutoHyphens w:val="0"/>
              <w:spacing w:line="240" w:lineRule="auto"/>
              <w:jc w:val="center"/>
              <w:rPr>
                <w:rFonts w:cs="Times New Roman"/>
                <w:sz w:val="18"/>
                <w:szCs w:val="18"/>
              </w:rPr>
            </w:pPr>
            <w:r>
              <w:rPr>
                <w:rFonts w:eastAsia="Times New Roman" w:cs="Times New Roman"/>
                <w:b/>
                <w:bCs/>
                <w:sz w:val="18"/>
                <w:szCs w:val="18"/>
                <w:lang w:eastAsia="ar-SA" w:bidi="ar-SA"/>
              </w:rPr>
              <w:t>Sprawozdania Finansowe</w:t>
            </w:r>
          </w:p>
        </w:tc>
        <w:tc>
          <w:tcPr>
            <w:tcW w:w="1306"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rsidP="00FB7C4D">
            <w:pPr>
              <w:suppressAutoHyphens w:val="0"/>
              <w:spacing w:line="240" w:lineRule="auto"/>
              <w:jc w:val="center"/>
              <w:rPr>
                <w:rFonts w:cs="Times New Roman"/>
                <w:sz w:val="18"/>
                <w:szCs w:val="18"/>
              </w:rPr>
            </w:pPr>
            <w:r>
              <w:rPr>
                <w:rFonts w:eastAsia="Times New Roman" w:cs="Times New Roman"/>
                <w:b/>
                <w:bCs/>
                <w:sz w:val="18"/>
                <w:szCs w:val="18"/>
                <w:lang w:eastAsia="ar-SA" w:bidi="ar-SA"/>
              </w:rPr>
              <w:t>Sprawozdania Pozostałe</w:t>
            </w:r>
          </w:p>
        </w:tc>
        <w:tc>
          <w:tcPr>
            <w:tcW w:w="1391" w:type="dxa"/>
            <w:tcBorders>
              <w:top w:val="single" w:sz="4" w:space="0" w:color="000001"/>
              <w:left w:val="single" w:sz="4" w:space="0" w:color="000001"/>
              <w:bottom w:val="single" w:sz="4" w:space="0" w:color="000001"/>
              <w:right w:val="single" w:sz="4" w:space="0" w:color="000001"/>
            </w:tcBorders>
            <w:shd w:val="clear" w:color="auto" w:fill="auto"/>
            <w:tcMar>
              <w:left w:w="78" w:type="dxa"/>
            </w:tcMar>
          </w:tcPr>
          <w:p w:rsidR="002C54E6" w:rsidRDefault="00D752E7" w:rsidP="00FB7C4D">
            <w:pPr>
              <w:suppressAutoHyphens w:val="0"/>
              <w:spacing w:line="240" w:lineRule="auto"/>
              <w:jc w:val="center"/>
              <w:rPr>
                <w:rFonts w:cs="Times New Roman"/>
                <w:sz w:val="18"/>
                <w:szCs w:val="18"/>
              </w:rPr>
            </w:pPr>
            <w:r>
              <w:rPr>
                <w:rFonts w:eastAsia="Times New Roman" w:cs="Times New Roman"/>
                <w:b/>
                <w:bCs/>
                <w:sz w:val="18"/>
                <w:szCs w:val="18"/>
                <w:lang w:eastAsia="ar-SA" w:bidi="ar-SA"/>
              </w:rPr>
              <w:t>Suma wykazanych sprawozdań</w:t>
            </w:r>
          </w:p>
        </w:tc>
      </w:tr>
      <w:tr w:rsidR="002C54E6">
        <w:tc>
          <w:tcPr>
            <w:tcW w:w="1742" w:type="dxa"/>
            <w:tcBorders>
              <w:top w:val="single" w:sz="4" w:space="0" w:color="000001"/>
              <w:left w:val="single" w:sz="4" w:space="0" w:color="000001"/>
              <w:bottom w:val="single" w:sz="4" w:space="0" w:color="000001"/>
            </w:tcBorders>
            <w:shd w:val="clear" w:color="auto" w:fill="BDD6EE"/>
            <w:tcMar>
              <w:left w:w="78" w:type="dxa"/>
            </w:tcMar>
          </w:tcPr>
          <w:p w:rsidR="002C54E6" w:rsidRDefault="002C54E6">
            <w:pPr>
              <w:suppressAutoHyphens w:val="0"/>
              <w:spacing w:line="240" w:lineRule="auto"/>
              <w:rPr>
                <w:rFonts w:cs="Times New Roman"/>
                <w:sz w:val="18"/>
                <w:szCs w:val="18"/>
              </w:rPr>
            </w:pPr>
          </w:p>
        </w:tc>
        <w:tc>
          <w:tcPr>
            <w:tcW w:w="1964" w:type="dxa"/>
            <w:tcBorders>
              <w:top w:val="single" w:sz="4" w:space="0" w:color="000001"/>
              <w:left w:val="single" w:sz="4" w:space="0" w:color="000001"/>
              <w:bottom w:val="single" w:sz="4" w:space="0" w:color="000001"/>
            </w:tcBorders>
            <w:shd w:val="clear" w:color="auto" w:fill="BDD6EE"/>
            <w:tcMar>
              <w:left w:w="78" w:type="dxa"/>
            </w:tcMar>
          </w:tcPr>
          <w:p w:rsidR="002C54E6" w:rsidRDefault="002C54E6">
            <w:pPr>
              <w:suppressAutoHyphens w:val="0"/>
              <w:snapToGrid w:val="0"/>
              <w:spacing w:line="240" w:lineRule="auto"/>
              <w:rPr>
                <w:rFonts w:eastAsia="Times New Roman" w:cs="Times New Roman"/>
                <w:b/>
                <w:bCs/>
                <w:sz w:val="18"/>
                <w:szCs w:val="18"/>
                <w:lang w:eastAsia="ar-SA" w:bidi="ar-SA"/>
              </w:rPr>
            </w:pPr>
          </w:p>
        </w:tc>
        <w:tc>
          <w:tcPr>
            <w:tcW w:w="1404" w:type="dxa"/>
            <w:tcBorders>
              <w:top w:val="single" w:sz="4" w:space="0" w:color="000001"/>
              <w:left w:val="single" w:sz="4" w:space="0" w:color="000001"/>
              <w:bottom w:val="single" w:sz="4" w:space="0" w:color="000001"/>
            </w:tcBorders>
            <w:shd w:val="clear" w:color="auto" w:fill="BDD6EE"/>
            <w:tcMar>
              <w:left w:w="7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309" w:type="dxa"/>
            <w:tcBorders>
              <w:top w:val="single" w:sz="4" w:space="0" w:color="000001"/>
              <w:left w:val="single" w:sz="4" w:space="0" w:color="000001"/>
              <w:bottom w:val="single" w:sz="4" w:space="0" w:color="000001"/>
            </w:tcBorders>
            <w:shd w:val="clear" w:color="auto" w:fill="BDD6EE"/>
            <w:tcMar>
              <w:left w:w="7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306" w:type="dxa"/>
            <w:tcBorders>
              <w:top w:val="single" w:sz="4" w:space="0" w:color="000001"/>
              <w:left w:val="single" w:sz="4" w:space="0" w:color="000001"/>
              <w:bottom w:val="single" w:sz="4" w:space="0" w:color="000001"/>
            </w:tcBorders>
            <w:shd w:val="clear" w:color="auto" w:fill="BDD6EE"/>
            <w:tcMar>
              <w:left w:w="7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391" w:type="dxa"/>
            <w:tcBorders>
              <w:top w:val="single" w:sz="4" w:space="0" w:color="000001"/>
              <w:left w:val="single" w:sz="4" w:space="0" w:color="000001"/>
              <w:bottom w:val="single" w:sz="4" w:space="0" w:color="000001"/>
              <w:right w:val="single" w:sz="4" w:space="0" w:color="000001"/>
            </w:tcBorders>
            <w:shd w:val="clear" w:color="auto" w:fill="BDD6EE"/>
            <w:tcMar>
              <w:left w:w="7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r>
      <w:tr w:rsidR="002C54E6">
        <w:trPr>
          <w:cantSplit/>
        </w:trPr>
        <w:tc>
          <w:tcPr>
            <w:tcW w:w="1742"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Gmina (miejsko-wiejska)</w:t>
            </w:r>
          </w:p>
        </w:tc>
        <w:tc>
          <w:tcPr>
            <w:tcW w:w="1964"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Zabłudów</w:t>
            </w:r>
          </w:p>
        </w:tc>
        <w:tc>
          <w:tcPr>
            <w:tcW w:w="1404"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pPr>
              <w:suppressAutoHyphens w:val="0"/>
              <w:spacing w:line="240" w:lineRule="auto"/>
              <w:jc w:val="center"/>
              <w:rPr>
                <w:rFonts w:cs="Times New Roman"/>
                <w:sz w:val="18"/>
                <w:szCs w:val="18"/>
              </w:rPr>
            </w:pPr>
            <w:r>
              <w:rPr>
                <w:rFonts w:cs="Times New Roman"/>
                <w:sz w:val="18"/>
                <w:szCs w:val="18"/>
              </w:rPr>
              <w:t>22</w:t>
            </w:r>
          </w:p>
        </w:tc>
        <w:tc>
          <w:tcPr>
            <w:tcW w:w="1309"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pPr>
              <w:suppressAutoHyphens w:val="0"/>
              <w:spacing w:line="240" w:lineRule="auto"/>
              <w:jc w:val="center"/>
              <w:rPr>
                <w:rFonts w:cs="Times New Roman"/>
                <w:sz w:val="18"/>
                <w:szCs w:val="18"/>
              </w:rPr>
            </w:pPr>
            <w:r>
              <w:rPr>
                <w:rFonts w:cs="Times New Roman"/>
                <w:sz w:val="18"/>
                <w:szCs w:val="18"/>
              </w:rPr>
              <w:t>12</w:t>
            </w:r>
          </w:p>
        </w:tc>
        <w:tc>
          <w:tcPr>
            <w:tcW w:w="1306"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pPr>
              <w:suppressAutoHyphens w:val="0"/>
              <w:spacing w:line="240" w:lineRule="auto"/>
              <w:jc w:val="center"/>
              <w:rPr>
                <w:rFonts w:cs="Times New Roman"/>
                <w:sz w:val="18"/>
                <w:szCs w:val="18"/>
              </w:rPr>
            </w:pPr>
            <w:r>
              <w:rPr>
                <w:rFonts w:cs="Times New Roman"/>
                <w:sz w:val="18"/>
                <w:szCs w:val="18"/>
              </w:rPr>
              <w:t>22</w:t>
            </w:r>
          </w:p>
        </w:tc>
        <w:tc>
          <w:tcPr>
            <w:tcW w:w="1391" w:type="dxa"/>
            <w:tcBorders>
              <w:top w:val="single" w:sz="4" w:space="0" w:color="000001"/>
              <w:left w:val="single" w:sz="4" w:space="0" w:color="000001"/>
              <w:bottom w:val="single" w:sz="4" w:space="0" w:color="000001"/>
              <w:right w:val="single" w:sz="4" w:space="0" w:color="000001"/>
            </w:tcBorders>
            <w:shd w:val="clear" w:color="auto" w:fill="auto"/>
            <w:tcMar>
              <w:left w:w="78" w:type="dxa"/>
            </w:tcMar>
          </w:tcPr>
          <w:p w:rsidR="002C54E6" w:rsidRDefault="00D752E7">
            <w:pPr>
              <w:suppressAutoHyphens w:val="0"/>
              <w:spacing w:line="240" w:lineRule="auto"/>
              <w:jc w:val="center"/>
              <w:rPr>
                <w:rFonts w:cs="Times New Roman"/>
                <w:sz w:val="18"/>
                <w:szCs w:val="18"/>
              </w:rPr>
            </w:pPr>
            <w:r>
              <w:rPr>
                <w:rFonts w:cs="Times New Roman"/>
                <w:sz w:val="18"/>
                <w:szCs w:val="18"/>
              </w:rPr>
              <w:t>56</w:t>
            </w:r>
          </w:p>
        </w:tc>
      </w:tr>
      <w:tr w:rsidR="002C54E6">
        <w:trPr>
          <w:cantSplit/>
        </w:trPr>
        <w:tc>
          <w:tcPr>
            <w:tcW w:w="1742"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Powiat (starostwo powiatowe)</w:t>
            </w:r>
          </w:p>
        </w:tc>
        <w:tc>
          <w:tcPr>
            <w:tcW w:w="1964"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Mońki</w:t>
            </w:r>
          </w:p>
        </w:tc>
        <w:tc>
          <w:tcPr>
            <w:tcW w:w="1404"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pPr>
              <w:suppressAutoHyphens w:val="0"/>
              <w:spacing w:line="240" w:lineRule="auto"/>
              <w:jc w:val="center"/>
              <w:rPr>
                <w:rFonts w:cs="Times New Roman"/>
                <w:sz w:val="18"/>
                <w:szCs w:val="18"/>
              </w:rPr>
            </w:pPr>
            <w:r>
              <w:rPr>
                <w:rFonts w:cs="Times New Roman"/>
                <w:sz w:val="18"/>
                <w:szCs w:val="18"/>
              </w:rPr>
              <w:t>32</w:t>
            </w:r>
          </w:p>
        </w:tc>
        <w:tc>
          <w:tcPr>
            <w:tcW w:w="1309"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pPr>
              <w:suppressAutoHyphens w:val="0"/>
              <w:spacing w:line="240" w:lineRule="auto"/>
              <w:jc w:val="center"/>
              <w:rPr>
                <w:rFonts w:cs="Times New Roman"/>
                <w:sz w:val="18"/>
                <w:szCs w:val="18"/>
              </w:rPr>
            </w:pPr>
            <w:r>
              <w:rPr>
                <w:rFonts w:cs="Times New Roman"/>
                <w:sz w:val="18"/>
                <w:szCs w:val="18"/>
              </w:rPr>
              <w:t>11</w:t>
            </w:r>
          </w:p>
        </w:tc>
        <w:tc>
          <w:tcPr>
            <w:tcW w:w="1306"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pPr>
              <w:suppressAutoHyphens w:val="0"/>
              <w:spacing w:line="240" w:lineRule="auto"/>
              <w:jc w:val="center"/>
              <w:rPr>
                <w:rFonts w:cs="Times New Roman"/>
                <w:sz w:val="18"/>
                <w:szCs w:val="18"/>
              </w:rPr>
            </w:pPr>
            <w:r>
              <w:rPr>
                <w:rFonts w:cs="Times New Roman"/>
                <w:sz w:val="18"/>
                <w:szCs w:val="18"/>
              </w:rPr>
              <w:t>46</w:t>
            </w:r>
          </w:p>
        </w:tc>
        <w:tc>
          <w:tcPr>
            <w:tcW w:w="1391" w:type="dxa"/>
            <w:tcBorders>
              <w:top w:val="single" w:sz="4" w:space="0" w:color="000001"/>
              <w:left w:val="single" w:sz="4" w:space="0" w:color="000001"/>
              <w:bottom w:val="single" w:sz="4" w:space="0" w:color="000001"/>
              <w:right w:val="single" w:sz="4" w:space="0" w:color="000001"/>
            </w:tcBorders>
            <w:shd w:val="clear" w:color="auto" w:fill="auto"/>
            <w:tcMar>
              <w:left w:w="78" w:type="dxa"/>
            </w:tcMar>
          </w:tcPr>
          <w:p w:rsidR="002C54E6" w:rsidRDefault="00D752E7">
            <w:pPr>
              <w:suppressAutoHyphens w:val="0"/>
              <w:spacing w:line="240" w:lineRule="auto"/>
              <w:jc w:val="center"/>
              <w:rPr>
                <w:rFonts w:cs="Times New Roman"/>
                <w:sz w:val="18"/>
                <w:szCs w:val="18"/>
              </w:rPr>
            </w:pPr>
            <w:r>
              <w:rPr>
                <w:rFonts w:cs="Times New Roman"/>
                <w:sz w:val="18"/>
                <w:szCs w:val="18"/>
              </w:rPr>
              <w:t>89</w:t>
            </w:r>
          </w:p>
        </w:tc>
      </w:tr>
      <w:tr w:rsidR="002C54E6">
        <w:trPr>
          <w:cantSplit/>
        </w:trPr>
        <w:tc>
          <w:tcPr>
            <w:tcW w:w="1742"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Miasto na p. pow.</w:t>
            </w:r>
          </w:p>
        </w:tc>
        <w:tc>
          <w:tcPr>
            <w:tcW w:w="1964"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Białystok</w:t>
            </w:r>
          </w:p>
        </w:tc>
        <w:tc>
          <w:tcPr>
            <w:tcW w:w="1404"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pPr>
              <w:suppressAutoHyphens w:val="0"/>
              <w:spacing w:line="240" w:lineRule="auto"/>
              <w:jc w:val="center"/>
              <w:rPr>
                <w:rFonts w:cs="Times New Roman"/>
                <w:sz w:val="18"/>
                <w:szCs w:val="18"/>
              </w:rPr>
            </w:pPr>
            <w:r>
              <w:rPr>
                <w:rFonts w:cs="Times New Roman"/>
                <w:sz w:val="18"/>
                <w:szCs w:val="18"/>
              </w:rPr>
              <w:t>57</w:t>
            </w:r>
          </w:p>
        </w:tc>
        <w:tc>
          <w:tcPr>
            <w:tcW w:w="1309"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pPr>
              <w:suppressAutoHyphens w:val="0"/>
              <w:spacing w:line="240" w:lineRule="auto"/>
              <w:jc w:val="center"/>
              <w:rPr>
                <w:rFonts w:cs="Times New Roman"/>
                <w:sz w:val="18"/>
                <w:szCs w:val="18"/>
              </w:rPr>
            </w:pPr>
            <w:r>
              <w:rPr>
                <w:rFonts w:cs="Times New Roman"/>
                <w:sz w:val="18"/>
                <w:szCs w:val="18"/>
              </w:rPr>
              <w:t>21</w:t>
            </w:r>
          </w:p>
        </w:tc>
        <w:tc>
          <w:tcPr>
            <w:tcW w:w="1306"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pPr>
              <w:suppressAutoHyphens w:val="0"/>
              <w:spacing w:line="240" w:lineRule="auto"/>
              <w:jc w:val="center"/>
              <w:rPr>
                <w:rFonts w:cs="Times New Roman"/>
                <w:sz w:val="18"/>
                <w:szCs w:val="18"/>
              </w:rPr>
            </w:pPr>
            <w:r>
              <w:rPr>
                <w:rFonts w:cs="Times New Roman"/>
                <w:sz w:val="18"/>
                <w:szCs w:val="18"/>
              </w:rPr>
              <w:t>96</w:t>
            </w:r>
          </w:p>
        </w:tc>
        <w:tc>
          <w:tcPr>
            <w:tcW w:w="1391" w:type="dxa"/>
            <w:tcBorders>
              <w:top w:val="single" w:sz="4" w:space="0" w:color="000001"/>
              <w:left w:val="single" w:sz="4" w:space="0" w:color="000001"/>
              <w:bottom w:val="single" w:sz="4" w:space="0" w:color="000001"/>
              <w:right w:val="single" w:sz="4" w:space="0" w:color="000001"/>
            </w:tcBorders>
            <w:shd w:val="clear" w:color="auto" w:fill="auto"/>
            <w:tcMar>
              <w:left w:w="78" w:type="dxa"/>
            </w:tcMar>
          </w:tcPr>
          <w:p w:rsidR="002C54E6" w:rsidRDefault="00D752E7">
            <w:pPr>
              <w:suppressAutoHyphens w:val="0"/>
              <w:spacing w:line="240" w:lineRule="auto"/>
              <w:jc w:val="center"/>
              <w:rPr>
                <w:rFonts w:cs="Times New Roman"/>
                <w:sz w:val="18"/>
                <w:szCs w:val="18"/>
              </w:rPr>
            </w:pPr>
            <w:r>
              <w:rPr>
                <w:rFonts w:cs="Times New Roman"/>
                <w:sz w:val="18"/>
                <w:szCs w:val="18"/>
              </w:rPr>
              <w:t>174</w:t>
            </w:r>
          </w:p>
        </w:tc>
      </w:tr>
      <w:tr w:rsidR="002C54E6" w:rsidTr="00FB7C4D">
        <w:trPr>
          <w:cantSplit/>
          <w:trHeight w:val="352"/>
        </w:trPr>
        <w:tc>
          <w:tcPr>
            <w:tcW w:w="3706" w:type="dxa"/>
            <w:gridSpan w:val="2"/>
            <w:tcBorders>
              <w:top w:val="single" w:sz="4" w:space="0" w:color="000001"/>
              <w:left w:val="single" w:sz="4" w:space="0" w:color="000001"/>
              <w:bottom w:val="single" w:sz="4" w:space="0" w:color="000001"/>
            </w:tcBorders>
            <w:shd w:val="clear" w:color="auto" w:fill="FFFFFF"/>
            <w:tcMar>
              <w:left w:w="78" w:type="dxa"/>
            </w:tcMar>
          </w:tcPr>
          <w:p w:rsidR="002C54E6" w:rsidRDefault="00D752E7">
            <w:pPr>
              <w:suppressAutoHyphens w:val="0"/>
              <w:spacing w:line="240" w:lineRule="auto"/>
            </w:pPr>
            <w:r>
              <w:rPr>
                <w:rFonts w:eastAsia="Times New Roman" w:cs="Times New Roman"/>
                <w:b/>
                <w:bCs/>
                <w:sz w:val="18"/>
                <w:szCs w:val="18"/>
                <w:lang w:eastAsia="ar-SA" w:bidi="ar-SA"/>
              </w:rPr>
              <w:t xml:space="preserve">Ogółem </w:t>
            </w:r>
            <w:r w:rsidR="00FB7C4D">
              <w:rPr>
                <w:rFonts w:eastAsia="Times New Roman" w:cs="Times New Roman"/>
                <w:b/>
                <w:bCs/>
                <w:sz w:val="18"/>
                <w:szCs w:val="18"/>
                <w:lang w:eastAsia="ar-SA" w:bidi="ar-SA"/>
              </w:rPr>
              <w:t>(</w:t>
            </w:r>
            <w:r>
              <w:rPr>
                <w:rFonts w:eastAsia="Times New Roman" w:cs="Times New Roman"/>
                <w:b/>
                <w:bCs/>
                <w:sz w:val="18"/>
                <w:szCs w:val="18"/>
                <w:lang w:eastAsia="ar-SA" w:bidi="ar-SA"/>
              </w:rPr>
              <w:t>Sprawozdania nie powtarzające się</w:t>
            </w:r>
            <w:r w:rsidR="00FB7C4D">
              <w:rPr>
                <w:rFonts w:eastAsia="Times New Roman" w:cs="Times New Roman"/>
                <w:b/>
                <w:bCs/>
                <w:sz w:val="18"/>
                <w:szCs w:val="18"/>
                <w:lang w:eastAsia="ar-SA" w:bidi="ar-SA"/>
              </w:rPr>
              <w:t>)</w:t>
            </w:r>
          </w:p>
        </w:tc>
        <w:tc>
          <w:tcPr>
            <w:tcW w:w="1404"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rsidP="00FB7C4D">
            <w:pPr>
              <w:suppressAutoHyphens w:val="0"/>
              <w:spacing w:line="240" w:lineRule="auto"/>
              <w:jc w:val="center"/>
              <w:rPr>
                <w:rFonts w:cs="Times New Roman"/>
                <w:sz w:val="18"/>
                <w:szCs w:val="18"/>
              </w:rPr>
            </w:pPr>
            <w:r>
              <w:rPr>
                <w:rFonts w:eastAsia="Times New Roman" w:cs="Times New Roman"/>
                <w:b/>
                <w:bCs/>
                <w:sz w:val="18"/>
                <w:szCs w:val="18"/>
                <w:lang w:eastAsia="ar-SA" w:bidi="ar-SA"/>
              </w:rPr>
              <w:t>69</w:t>
            </w:r>
          </w:p>
        </w:tc>
        <w:tc>
          <w:tcPr>
            <w:tcW w:w="1309"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rsidP="00FB7C4D">
            <w:pPr>
              <w:suppressAutoHyphens w:val="0"/>
              <w:spacing w:line="240" w:lineRule="auto"/>
              <w:jc w:val="center"/>
              <w:rPr>
                <w:rFonts w:cs="Times New Roman"/>
                <w:sz w:val="18"/>
                <w:szCs w:val="18"/>
              </w:rPr>
            </w:pPr>
            <w:r>
              <w:rPr>
                <w:rFonts w:eastAsia="Times New Roman" w:cs="Times New Roman"/>
                <w:b/>
                <w:bCs/>
                <w:sz w:val="18"/>
                <w:szCs w:val="18"/>
                <w:lang w:eastAsia="ar-SA" w:bidi="ar-SA"/>
              </w:rPr>
              <w:t>21</w:t>
            </w:r>
          </w:p>
        </w:tc>
        <w:tc>
          <w:tcPr>
            <w:tcW w:w="1306" w:type="dxa"/>
            <w:tcBorders>
              <w:top w:val="single" w:sz="4" w:space="0" w:color="000001"/>
              <w:left w:val="single" w:sz="4" w:space="0" w:color="000001"/>
              <w:bottom w:val="single" w:sz="4" w:space="0" w:color="000001"/>
            </w:tcBorders>
            <w:shd w:val="clear" w:color="auto" w:fill="FFFFFF"/>
            <w:tcMar>
              <w:left w:w="78" w:type="dxa"/>
            </w:tcMar>
          </w:tcPr>
          <w:p w:rsidR="002C54E6" w:rsidRDefault="00D752E7" w:rsidP="00FB7C4D">
            <w:pPr>
              <w:suppressAutoHyphens w:val="0"/>
              <w:spacing w:line="240" w:lineRule="auto"/>
              <w:jc w:val="center"/>
              <w:rPr>
                <w:rFonts w:cs="Times New Roman"/>
                <w:sz w:val="18"/>
                <w:szCs w:val="18"/>
              </w:rPr>
            </w:pPr>
            <w:r>
              <w:rPr>
                <w:rFonts w:eastAsia="Times New Roman" w:cs="Times New Roman"/>
                <w:b/>
                <w:bCs/>
                <w:sz w:val="18"/>
                <w:szCs w:val="18"/>
                <w:lang w:eastAsia="ar-SA" w:bidi="ar-SA"/>
              </w:rPr>
              <w:t>123</w:t>
            </w:r>
          </w:p>
        </w:tc>
        <w:tc>
          <w:tcPr>
            <w:tcW w:w="1391" w:type="dxa"/>
            <w:tcBorders>
              <w:top w:val="single" w:sz="4" w:space="0" w:color="000001"/>
              <w:left w:val="single" w:sz="4" w:space="0" w:color="000001"/>
              <w:bottom w:val="single" w:sz="4" w:space="0" w:color="000001"/>
              <w:right w:val="single" w:sz="4" w:space="0" w:color="000001"/>
            </w:tcBorders>
            <w:shd w:val="clear" w:color="auto" w:fill="auto"/>
            <w:tcMar>
              <w:left w:w="78" w:type="dxa"/>
            </w:tcMar>
          </w:tcPr>
          <w:p w:rsidR="002C54E6" w:rsidRDefault="00D752E7" w:rsidP="00FB7C4D">
            <w:pPr>
              <w:suppressAutoHyphens w:val="0"/>
              <w:spacing w:line="240" w:lineRule="auto"/>
              <w:jc w:val="center"/>
              <w:rPr>
                <w:rFonts w:cs="Times New Roman"/>
                <w:sz w:val="18"/>
                <w:szCs w:val="18"/>
              </w:rPr>
            </w:pPr>
            <w:r>
              <w:rPr>
                <w:rFonts w:eastAsia="Times New Roman" w:cs="Times New Roman"/>
                <w:b/>
                <w:bCs/>
                <w:sz w:val="18"/>
                <w:szCs w:val="18"/>
                <w:lang w:eastAsia="ar-SA" w:bidi="ar-SA"/>
              </w:rPr>
              <w:t>213</w:t>
            </w:r>
          </w:p>
        </w:tc>
      </w:tr>
    </w:tbl>
    <w:p w:rsidR="002C54E6" w:rsidRDefault="002C54E6">
      <w:pPr>
        <w:jc w:val="both"/>
        <w:rPr>
          <w:rFonts w:cs="Times New Roman"/>
          <w:color w:val="000000"/>
          <w:sz w:val="22"/>
          <w:szCs w:val="22"/>
          <w:shd w:val="clear" w:color="auto" w:fill="FFFFFF"/>
        </w:rPr>
      </w:pPr>
    </w:p>
    <w:p w:rsidR="002C54E6" w:rsidRDefault="00D752E7">
      <w:pPr>
        <w:jc w:val="both"/>
      </w:pPr>
      <w:r>
        <w:rPr>
          <w:rFonts w:cs="Times New Roman"/>
          <w:color w:val="000000"/>
          <w:sz w:val="22"/>
          <w:szCs w:val="22"/>
          <w:shd w:val="clear" w:color="auto" w:fill="FFFFFF"/>
        </w:rPr>
        <w:t xml:space="preserve">Poziom gmin i powiatów jest poziomem pierwotnym, gdzie dane do sprawozdań są tworzone, tj. następuje pierwotnie ich wprowadzenie. Dane są generowane z lokalnych systemów informatycznych, jednak tylko w przypadku metropolii i większych miast posiadających dostęp i narzędzia do takich systemów. </w:t>
      </w:r>
      <w:r>
        <w:rPr>
          <w:rFonts w:cs="Times New Roman"/>
          <w:color w:val="000000"/>
          <w:sz w:val="22"/>
          <w:szCs w:val="22"/>
        </w:rPr>
        <w:t xml:space="preserve">Zupełnie odmienną sytuację możemy zaobserwować w części gmin wiejskich, gdzie w większości dane gromadzone są w tradycyjnych papierowych zeszytach, bez ustandaryzowanych i określonych informatycznie form. Wynika to z braku etatów, odpowiednio przeszkolonej kadry i dostępnych narzędzi do przetwarzania i udostępniania danych. </w:t>
      </w:r>
    </w:p>
    <w:p w:rsidR="002C54E6" w:rsidRDefault="00D752E7">
      <w:pPr>
        <w:jc w:val="both"/>
        <w:rPr>
          <w:rFonts w:cs="Times New Roman"/>
          <w:color w:val="000000"/>
          <w:sz w:val="22"/>
          <w:szCs w:val="22"/>
          <w:highlight w:val="white"/>
        </w:rPr>
      </w:pPr>
      <w:r>
        <w:rPr>
          <w:rFonts w:cs="Times New Roman"/>
          <w:color w:val="000000"/>
          <w:sz w:val="22"/>
          <w:szCs w:val="22"/>
          <w:shd w:val="clear" w:color="auto" w:fill="FFFFFF"/>
        </w:rPr>
        <w:t>Niemniej  dla realizacji przyszłego systemu HUB istotna jest globalna liczba raportów na poziomie gmin/powiatów podzielona na 10 obszarów tematycznych:</w:t>
      </w:r>
    </w:p>
    <w:p w:rsidR="002C54E6" w:rsidRDefault="00D752E7">
      <w:pPr>
        <w:jc w:val="both"/>
        <w:rPr>
          <w:rFonts w:cs="Times New Roman"/>
          <w:color w:val="000000"/>
          <w:sz w:val="22"/>
          <w:szCs w:val="22"/>
          <w:highlight w:val="white"/>
        </w:rPr>
      </w:pPr>
      <w:r>
        <w:rPr>
          <w:rFonts w:cs="Times New Roman"/>
          <w:color w:val="000000"/>
          <w:sz w:val="22"/>
          <w:szCs w:val="22"/>
          <w:shd w:val="clear" w:color="auto" w:fill="FFFFFF"/>
        </w:rPr>
        <w:t xml:space="preserve"> </w:t>
      </w:r>
    </w:p>
    <w:p w:rsidR="002C54E6" w:rsidRDefault="00D752E7">
      <w:pPr>
        <w:ind w:left="709"/>
        <w:jc w:val="both"/>
        <w:rPr>
          <w:rFonts w:cs="Times New Roman"/>
          <w:color w:val="000000"/>
          <w:sz w:val="22"/>
          <w:szCs w:val="22"/>
        </w:rPr>
      </w:pPr>
      <w:r>
        <w:rPr>
          <w:rFonts w:cs="Times New Roman"/>
          <w:color w:val="000000"/>
          <w:sz w:val="22"/>
          <w:szCs w:val="22"/>
        </w:rPr>
        <w:t>1. Podatki i opłaty lokalne;</w:t>
      </w:r>
    </w:p>
    <w:p w:rsidR="002C54E6" w:rsidRDefault="00D752E7">
      <w:pPr>
        <w:ind w:left="709"/>
        <w:jc w:val="both"/>
        <w:rPr>
          <w:rFonts w:cs="Times New Roman"/>
          <w:color w:val="000000"/>
          <w:sz w:val="22"/>
          <w:szCs w:val="22"/>
        </w:rPr>
      </w:pPr>
      <w:r>
        <w:rPr>
          <w:rFonts w:cs="Times New Roman"/>
          <w:color w:val="000000"/>
          <w:sz w:val="22"/>
          <w:szCs w:val="22"/>
        </w:rPr>
        <w:t>2. Gospodarowanie nieruchomościami;</w:t>
      </w:r>
    </w:p>
    <w:p w:rsidR="002C54E6" w:rsidRDefault="00D752E7">
      <w:pPr>
        <w:ind w:left="709"/>
        <w:jc w:val="both"/>
        <w:rPr>
          <w:rFonts w:cs="Times New Roman"/>
          <w:color w:val="000000"/>
          <w:sz w:val="22"/>
          <w:szCs w:val="22"/>
        </w:rPr>
      </w:pPr>
      <w:r>
        <w:rPr>
          <w:rFonts w:cs="Times New Roman"/>
          <w:color w:val="000000"/>
          <w:sz w:val="22"/>
          <w:szCs w:val="22"/>
        </w:rPr>
        <w:t>3. Drogownictwo i transport;</w:t>
      </w:r>
    </w:p>
    <w:p w:rsidR="002C54E6" w:rsidRDefault="00D752E7">
      <w:pPr>
        <w:ind w:left="709"/>
        <w:jc w:val="both"/>
        <w:rPr>
          <w:rFonts w:cs="Times New Roman"/>
          <w:color w:val="000000"/>
          <w:sz w:val="22"/>
          <w:szCs w:val="22"/>
        </w:rPr>
      </w:pPr>
      <w:r>
        <w:rPr>
          <w:rFonts w:cs="Times New Roman"/>
          <w:color w:val="000000"/>
          <w:sz w:val="22"/>
          <w:szCs w:val="22"/>
        </w:rPr>
        <w:t>4. Ochrona środowiska;</w:t>
      </w:r>
    </w:p>
    <w:p w:rsidR="002C54E6" w:rsidRDefault="00D752E7">
      <w:pPr>
        <w:ind w:left="709"/>
        <w:jc w:val="both"/>
        <w:rPr>
          <w:rFonts w:cs="Times New Roman"/>
          <w:color w:val="000000"/>
          <w:sz w:val="22"/>
          <w:szCs w:val="22"/>
        </w:rPr>
      </w:pPr>
      <w:r>
        <w:rPr>
          <w:rFonts w:cs="Times New Roman"/>
          <w:color w:val="000000"/>
          <w:sz w:val="22"/>
          <w:szCs w:val="22"/>
        </w:rPr>
        <w:t>5. Inwestycje i budownictwo;</w:t>
      </w:r>
    </w:p>
    <w:p w:rsidR="002C54E6" w:rsidRDefault="00D752E7">
      <w:pPr>
        <w:ind w:left="709"/>
        <w:jc w:val="both"/>
        <w:rPr>
          <w:rFonts w:cs="Times New Roman"/>
          <w:color w:val="000000"/>
          <w:sz w:val="22"/>
          <w:szCs w:val="22"/>
        </w:rPr>
      </w:pPr>
      <w:r>
        <w:rPr>
          <w:rFonts w:cs="Times New Roman"/>
          <w:color w:val="000000"/>
          <w:sz w:val="22"/>
          <w:szCs w:val="22"/>
        </w:rPr>
        <w:t>6. Geodezja i kartografia;</w:t>
      </w:r>
    </w:p>
    <w:p w:rsidR="002C54E6" w:rsidRDefault="00D752E7">
      <w:pPr>
        <w:ind w:left="709"/>
        <w:jc w:val="both"/>
        <w:rPr>
          <w:rFonts w:cs="Times New Roman"/>
          <w:color w:val="000000"/>
          <w:sz w:val="22"/>
          <w:szCs w:val="22"/>
        </w:rPr>
      </w:pPr>
      <w:r>
        <w:rPr>
          <w:rFonts w:cs="Times New Roman"/>
          <w:color w:val="000000"/>
          <w:sz w:val="22"/>
          <w:szCs w:val="22"/>
        </w:rPr>
        <w:t>7  Edukacja;</w:t>
      </w:r>
    </w:p>
    <w:p w:rsidR="002C54E6" w:rsidRDefault="00D752E7">
      <w:pPr>
        <w:ind w:left="709"/>
        <w:jc w:val="both"/>
        <w:rPr>
          <w:rFonts w:cs="Times New Roman"/>
          <w:color w:val="000000"/>
          <w:sz w:val="22"/>
          <w:szCs w:val="22"/>
        </w:rPr>
      </w:pPr>
      <w:r>
        <w:rPr>
          <w:rFonts w:cs="Times New Roman"/>
          <w:color w:val="000000"/>
          <w:sz w:val="22"/>
          <w:szCs w:val="22"/>
        </w:rPr>
        <w:t>8. Lokalna polityka społeczna;</w:t>
      </w:r>
    </w:p>
    <w:p w:rsidR="002C54E6" w:rsidRDefault="00D752E7">
      <w:pPr>
        <w:ind w:left="709"/>
        <w:jc w:val="both"/>
        <w:rPr>
          <w:rFonts w:cs="Times New Roman"/>
          <w:color w:val="000000"/>
          <w:sz w:val="22"/>
          <w:szCs w:val="22"/>
        </w:rPr>
      </w:pPr>
      <w:r>
        <w:rPr>
          <w:rFonts w:cs="Times New Roman"/>
          <w:color w:val="000000"/>
          <w:sz w:val="22"/>
          <w:szCs w:val="22"/>
        </w:rPr>
        <w:t>9. Kultura i rekreacja;</w:t>
      </w:r>
    </w:p>
    <w:p w:rsidR="002C54E6" w:rsidRDefault="00D752E7">
      <w:pPr>
        <w:ind w:left="709"/>
        <w:jc w:val="both"/>
        <w:rPr>
          <w:rFonts w:cs="Times New Roman"/>
          <w:color w:val="000000"/>
          <w:sz w:val="22"/>
          <w:szCs w:val="22"/>
        </w:rPr>
      </w:pPr>
      <w:r>
        <w:rPr>
          <w:rFonts w:cs="Times New Roman"/>
          <w:color w:val="000000"/>
          <w:sz w:val="22"/>
          <w:szCs w:val="22"/>
        </w:rPr>
        <w:t>10. Inne.</w:t>
      </w:r>
    </w:p>
    <w:p w:rsidR="002C54E6" w:rsidRDefault="002C54E6">
      <w:pPr>
        <w:jc w:val="both"/>
        <w:rPr>
          <w:rFonts w:cs="Times New Roman"/>
          <w:color w:val="000000"/>
          <w:sz w:val="22"/>
          <w:szCs w:val="22"/>
          <w:shd w:val="clear" w:color="auto" w:fill="FFFFFF"/>
        </w:rPr>
      </w:pPr>
    </w:p>
    <w:p w:rsidR="002C54E6" w:rsidRDefault="00D752E7">
      <w:pPr>
        <w:jc w:val="both"/>
        <w:rPr>
          <w:rFonts w:cs="Times New Roman"/>
          <w:color w:val="000000"/>
          <w:sz w:val="22"/>
          <w:szCs w:val="22"/>
          <w:highlight w:val="white"/>
        </w:rPr>
      </w:pPr>
      <w:r>
        <w:rPr>
          <w:rFonts w:cs="Times New Roman"/>
          <w:color w:val="000000"/>
          <w:sz w:val="22"/>
          <w:szCs w:val="22"/>
          <w:shd w:val="clear" w:color="auto" w:fill="FFFFFF"/>
        </w:rPr>
        <w:t xml:space="preserve">Powyższy podział jest zgodny z metodyką podziału danych przyjętych w SMUP, co pozwoli w przyszłości zachować spójność pomiędzy obszarami tematycznymi obu systemów, tj. SMUP i HUB. </w:t>
      </w:r>
    </w:p>
    <w:p w:rsidR="002C54E6" w:rsidRDefault="002C54E6">
      <w:pPr>
        <w:jc w:val="both"/>
        <w:rPr>
          <w:rFonts w:cs="Times New Roman"/>
          <w:color w:val="000000"/>
          <w:sz w:val="22"/>
          <w:szCs w:val="22"/>
          <w:shd w:val="clear" w:color="auto" w:fill="FFFFFF"/>
        </w:rPr>
      </w:pPr>
    </w:p>
    <w:p w:rsidR="002C54E6" w:rsidRDefault="00D752E7">
      <w:pPr>
        <w:jc w:val="both"/>
        <w:rPr>
          <w:rFonts w:cs="Times New Roman"/>
          <w:color w:val="000000"/>
          <w:sz w:val="22"/>
          <w:szCs w:val="22"/>
        </w:rPr>
      </w:pPr>
      <w:r>
        <w:rPr>
          <w:rFonts w:cs="Times New Roman"/>
          <w:color w:val="000000"/>
          <w:sz w:val="22"/>
          <w:szCs w:val="22"/>
          <w:shd w:val="clear" w:color="auto" w:fill="FFFFFF"/>
        </w:rPr>
        <w:t>Szacujemy, że około 30% raportów jest tworzonych poza wszelkimi systemami centralnym (w tym systemami GUS), w związku z tym sprawozdania te posiadają pewien margines dowolności co do zakresu i ilości zbierania danych, gdyż nie zostały jednoznacznie zdefiniowane w stosownych rozporządzeniach, o czym w dalszej części dokumentu. Z uwagi na bardzo duży poziom zróżnicowania zarówno struktur jak i form w przesyłanych raportach widzimy potrzebę ujednolicenia zasad opisywania sprawozdań. Na początkowym etapie prac nad sprawozdaniami, które były udostępniane w Demonstratorze Aplikacji dokonaliśmy analizy przepisów prawa w celu uzyskania informacji czy i na jakim poziomie definiowane są poszczególne raporty, o czym w dalszej części dokumentu (rozdział 8 ).</w:t>
      </w:r>
    </w:p>
    <w:p w:rsidR="002C54E6" w:rsidRDefault="002C54E6">
      <w:pPr>
        <w:jc w:val="both"/>
        <w:rPr>
          <w:rFonts w:cs="Times New Roman"/>
          <w:b/>
          <w:color w:val="000000"/>
          <w:sz w:val="22"/>
          <w:szCs w:val="22"/>
          <w:highlight w:val="white"/>
        </w:rPr>
      </w:pPr>
    </w:p>
    <w:p w:rsidR="002C54E6" w:rsidRDefault="00D752E7">
      <w:pPr>
        <w:jc w:val="both"/>
        <w:rPr>
          <w:rFonts w:cs="Times New Roman"/>
          <w:color w:val="000000"/>
          <w:sz w:val="22"/>
          <w:szCs w:val="22"/>
          <w:highlight w:val="yellow"/>
        </w:rPr>
      </w:pPr>
      <w:r>
        <w:rPr>
          <w:rFonts w:cs="Times New Roman"/>
          <w:b/>
          <w:color w:val="000000"/>
          <w:sz w:val="22"/>
          <w:szCs w:val="22"/>
        </w:rPr>
        <w:t>Poziom danych województw</w:t>
      </w:r>
      <w:r>
        <w:rPr>
          <w:rFonts w:cs="Times New Roman"/>
          <w:color w:val="000000"/>
          <w:sz w:val="22"/>
          <w:szCs w:val="22"/>
        </w:rPr>
        <w:t xml:space="preserve"> obejmuje zarówno samorząd wojewódzki (urzędy marszałkowskie i jednostki organizacyjne) jak i administrację rządową (urzędy wojewódzkie wraz z administracją zespoloną). </w:t>
      </w:r>
    </w:p>
    <w:p w:rsidR="002C54E6" w:rsidRDefault="00D752E7">
      <w:pPr>
        <w:jc w:val="both"/>
      </w:pPr>
      <w:r>
        <w:rPr>
          <w:rFonts w:cs="Times New Roman"/>
          <w:color w:val="000000"/>
          <w:sz w:val="22"/>
          <w:szCs w:val="22"/>
        </w:rPr>
        <w:t>W przypadku samorządu wojewódzkiego część sprawozdań jest analogiczna jak w samorządach niższych szczebli (dotyczy to zadań wykonywanych zarówno przez samorząd województwa jak</w:t>
      </w:r>
      <w:r w:rsidR="00FB7C4D">
        <w:rPr>
          <w:rFonts w:cs="Times New Roman"/>
          <w:color w:val="000000"/>
          <w:sz w:val="22"/>
          <w:szCs w:val="22"/>
        </w:rPr>
        <w:t xml:space="preserve"> </w:t>
      </w:r>
      <w:r>
        <w:rPr>
          <w:rFonts w:cs="Times New Roman"/>
          <w:color w:val="000000"/>
          <w:sz w:val="22"/>
          <w:szCs w:val="22"/>
        </w:rPr>
        <w:t>i samorządy niższych szczebli), a część to sprawozdania z działalności zastrzeżonej  dla samorządu wojewódzkiego. Występują także sprawozdania oparte na danych uzyskanych z samorządów niższych szczebli (w tym wypadku województwo agreguje pozyskane dane). Sumaryczna liczba sprawozdań składanych przez samorządy wojewódzkie jest szacowana na ok 80. Przedstawio</w:t>
      </w:r>
      <w:r w:rsidR="00FB7C4D">
        <w:rPr>
          <w:rFonts w:cs="Times New Roman"/>
          <w:color w:val="000000"/>
          <w:sz w:val="22"/>
          <w:szCs w:val="22"/>
        </w:rPr>
        <w:t>ną  wartość należy zweryfikować</w:t>
      </w:r>
      <w:r>
        <w:rPr>
          <w:rFonts w:cs="Times New Roman"/>
          <w:color w:val="000000"/>
          <w:sz w:val="22"/>
          <w:szCs w:val="22"/>
        </w:rPr>
        <w:t xml:space="preserve"> w pierwszych etapach projektu </w:t>
      </w:r>
      <w:r w:rsidR="00FB7C4D">
        <w:rPr>
          <w:rFonts w:cs="Times New Roman"/>
          <w:color w:val="000000"/>
          <w:sz w:val="22"/>
          <w:szCs w:val="22"/>
        </w:rPr>
        <w:t>HUB na reprezentatywnej grupie.</w:t>
      </w:r>
    </w:p>
    <w:p w:rsidR="002C54E6" w:rsidRDefault="00D752E7">
      <w:pPr>
        <w:jc w:val="both"/>
        <w:rPr>
          <w:rFonts w:cs="Times New Roman"/>
          <w:color w:val="000000"/>
          <w:sz w:val="22"/>
          <w:szCs w:val="22"/>
          <w:highlight w:val="yellow"/>
        </w:rPr>
      </w:pPr>
      <w:r>
        <w:rPr>
          <w:rFonts w:cs="Times New Roman"/>
          <w:color w:val="000000"/>
          <w:sz w:val="22"/>
          <w:szCs w:val="22"/>
        </w:rPr>
        <w:t xml:space="preserve">Urzędy wojewódzkie wysyłają na poziom centralny mi. sprawozdania obejmujące przetworzone (agregowane) dane pozyskane wcześniej z samorządów. </w:t>
      </w:r>
    </w:p>
    <w:p w:rsidR="002C54E6" w:rsidRDefault="002C54E6">
      <w:pPr>
        <w:jc w:val="both"/>
        <w:rPr>
          <w:rFonts w:cs="Times New Roman"/>
          <w:color w:val="000000"/>
          <w:sz w:val="22"/>
          <w:szCs w:val="22"/>
          <w:shd w:val="clear" w:color="auto" w:fill="FFFFFF"/>
        </w:rPr>
      </w:pPr>
    </w:p>
    <w:p w:rsidR="002C54E6" w:rsidRDefault="00D752E7">
      <w:pPr>
        <w:jc w:val="both"/>
      </w:pPr>
      <w:r>
        <w:rPr>
          <w:rFonts w:cs="Times New Roman"/>
          <w:color w:val="000000"/>
          <w:sz w:val="22"/>
          <w:szCs w:val="22"/>
          <w:shd w:val="clear" w:color="auto" w:fill="FFFFFF"/>
        </w:rPr>
        <w:lastRenderedPageBreak/>
        <w:t xml:space="preserve">Około 25% raportów poziomu wojewódzkiego jest, podobnie jak w gminach i powiatach, tworzonych poza wszelkimi systemami, w związku z tym dane posiadają pewien margines dowolności, raporty nie zostały jednoznacznie zdefiniowane/opisane analogicznie jak to ma miejsce w gminach i powiatach. </w:t>
      </w:r>
    </w:p>
    <w:p w:rsidR="002C54E6" w:rsidRDefault="00D752E7">
      <w:pPr>
        <w:jc w:val="both"/>
      </w:pPr>
      <w:r>
        <w:rPr>
          <w:rFonts w:cs="Times New Roman"/>
          <w:color w:val="000000"/>
          <w:sz w:val="22"/>
          <w:szCs w:val="22"/>
          <w:shd w:val="clear" w:color="auto" w:fill="FFFFFF"/>
        </w:rPr>
        <w:t xml:space="preserve">Przepływ sprawozdań generowanych poza systemami IT pomiędzy poziomem gmin i powiatów, a poziomem wojewódzkim jest zróżnicowany dla każdego województwa i tym samym zbudowanie jednoznacznego modelu na chwilę obecna jest niewykonalne, szczegóły w dalszej części dokumentu (rozdział 4).   </w:t>
      </w:r>
    </w:p>
    <w:p w:rsidR="002C54E6" w:rsidRDefault="002C54E6">
      <w:pPr>
        <w:jc w:val="both"/>
        <w:rPr>
          <w:rFonts w:cs="Times New Roman"/>
          <w:b/>
          <w:color w:val="000000"/>
          <w:sz w:val="22"/>
          <w:szCs w:val="22"/>
          <w:shd w:val="clear" w:color="auto" w:fill="FFFFFF"/>
        </w:rPr>
      </w:pPr>
    </w:p>
    <w:p w:rsidR="002C54E6" w:rsidRDefault="00D752E7">
      <w:pPr>
        <w:jc w:val="both"/>
        <w:rPr>
          <w:rFonts w:cs="Times New Roman"/>
          <w:color w:val="000000"/>
          <w:sz w:val="22"/>
          <w:szCs w:val="22"/>
          <w:highlight w:val="white"/>
        </w:rPr>
      </w:pPr>
      <w:r>
        <w:rPr>
          <w:rFonts w:cs="Times New Roman"/>
          <w:b/>
          <w:color w:val="000000"/>
          <w:sz w:val="22"/>
          <w:szCs w:val="22"/>
          <w:shd w:val="clear" w:color="auto" w:fill="FFFFFF"/>
        </w:rPr>
        <w:t>Poziom danych szczebla centralnego</w:t>
      </w:r>
      <w:r>
        <w:rPr>
          <w:rFonts w:cs="Times New Roman"/>
          <w:color w:val="000000"/>
          <w:sz w:val="22"/>
          <w:szCs w:val="22"/>
          <w:shd w:val="clear" w:color="auto" w:fill="FFFFFF"/>
        </w:rPr>
        <w:t xml:space="preserve">, jest ostatnim trzecim poziomem wykorzystania danych systemu HUB i jest głównym odbiorcą zagregowanych danych. </w:t>
      </w:r>
    </w:p>
    <w:p w:rsidR="002C54E6" w:rsidRDefault="00D752E7">
      <w:pPr>
        <w:jc w:val="both"/>
        <w:rPr>
          <w:rFonts w:cs="Times New Roman"/>
          <w:color w:val="000000"/>
          <w:sz w:val="22"/>
          <w:szCs w:val="22"/>
          <w:highlight w:val="white"/>
        </w:rPr>
      </w:pPr>
      <w:r>
        <w:rPr>
          <w:rFonts w:cs="Times New Roman"/>
          <w:color w:val="000000"/>
          <w:sz w:val="22"/>
          <w:szCs w:val="22"/>
          <w:shd w:val="clear" w:color="auto" w:fill="FFFFFF"/>
        </w:rPr>
        <w:t>Do systemów poziomu szczebla centralnego zaliczamy system SMUP, którego właścicielem jest GUS  i w tym przypadku system HUB ma zapewnić zapełnienie luk informacyjnych i przyspieszyć dostęp do danych z wybranych obszarów ( np. z drogownictwa).</w:t>
      </w:r>
    </w:p>
    <w:p w:rsidR="002C54E6" w:rsidRDefault="00D752E7">
      <w:pPr>
        <w:jc w:val="both"/>
      </w:pPr>
      <w:r>
        <w:rPr>
          <w:rFonts w:cs="Times New Roman"/>
          <w:color w:val="000000"/>
          <w:sz w:val="22"/>
          <w:szCs w:val="22"/>
          <w:shd w:val="clear" w:color="auto" w:fill="FFFFFF"/>
        </w:rPr>
        <w:t>Ponadto</w:t>
      </w:r>
      <w:r w:rsidR="00FB7C4D">
        <w:rPr>
          <w:rFonts w:cs="Times New Roman"/>
          <w:color w:val="000000"/>
          <w:sz w:val="22"/>
          <w:szCs w:val="22"/>
          <w:shd w:val="clear" w:color="auto" w:fill="FFFFFF"/>
        </w:rPr>
        <w:t>,</w:t>
      </w:r>
      <w:r>
        <w:rPr>
          <w:rFonts w:cs="Times New Roman"/>
          <w:color w:val="000000"/>
          <w:sz w:val="22"/>
          <w:szCs w:val="22"/>
          <w:shd w:val="clear" w:color="auto" w:fill="FFFFFF"/>
        </w:rPr>
        <w:t xml:space="preserve"> jednostki administracji rządowej (poszczególne ministerstwa) są właścicielem systemów centralnych, które zgodnie z proponowanym schematem (rozdział 2) w przyszłości powinny stanowić źródło zasilania danych (czy też </w:t>
      </w:r>
      <w:r w:rsidR="00FB7C4D">
        <w:rPr>
          <w:rFonts w:cs="Times New Roman"/>
          <w:color w:val="000000"/>
          <w:sz w:val="22"/>
          <w:szCs w:val="22"/>
          <w:shd w:val="clear" w:color="auto" w:fill="FFFFFF"/>
        </w:rPr>
        <w:t>ich udostępniania) systemu HUB.</w:t>
      </w:r>
      <w:r>
        <w:rPr>
          <w:rFonts w:cs="Times New Roman"/>
          <w:color w:val="000000"/>
          <w:sz w:val="22"/>
          <w:szCs w:val="22"/>
          <w:shd w:val="clear" w:color="auto" w:fill="FFFFFF"/>
        </w:rPr>
        <w:t xml:space="preserve"> </w:t>
      </w:r>
      <w:r>
        <w:rPr>
          <w:rFonts w:cs="Times New Roman"/>
          <w:sz w:val="22"/>
          <w:szCs w:val="22"/>
        </w:rPr>
        <w:t>Zakładamy,</w:t>
      </w:r>
      <w:r w:rsidR="00FB7C4D">
        <w:rPr>
          <w:rFonts w:cs="Times New Roman"/>
          <w:sz w:val="22"/>
          <w:szCs w:val="22"/>
        </w:rPr>
        <w:t xml:space="preserve"> że</w:t>
      </w:r>
      <w:r>
        <w:rPr>
          <w:rFonts w:cs="Times New Roman"/>
          <w:sz w:val="22"/>
          <w:szCs w:val="22"/>
        </w:rPr>
        <w:t xml:space="preserve"> docelowo zapewnione zostanie</w:t>
      </w:r>
      <w:r w:rsidR="00FB7C4D">
        <w:rPr>
          <w:rFonts w:cs="Times New Roman"/>
          <w:sz w:val="22"/>
          <w:szCs w:val="22"/>
        </w:rPr>
        <w:t xml:space="preserve"> </w:t>
      </w:r>
      <w:r>
        <w:rPr>
          <w:rFonts w:cs="Times New Roman"/>
          <w:sz w:val="22"/>
          <w:szCs w:val="22"/>
        </w:rPr>
        <w:t>przez właścicieli resortowych systemów sprawozdawczych (np. SIO, CAS) zasilanie HUB danymi z tych systemów, w celu optymalizacji pracy (jednokrotnego wprowadzania danych) i zapewnienia kompletności danych na poziomie gmin i powiatów.</w:t>
      </w:r>
    </w:p>
    <w:p w:rsidR="002C54E6" w:rsidRPr="00FB7C4D" w:rsidRDefault="00D752E7">
      <w:pPr>
        <w:jc w:val="both"/>
      </w:pPr>
      <w:r>
        <w:rPr>
          <w:rFonts w:cs="Times New Roman"/>
          <w:color w:val="000000"/>
          <w:sz w:val="22"/>
          <w:szCs w:val="22"/>
          <w:shd w:val="clear" w:color="auto" w:fill="FFFFFF"/>
        </w:rPr>
        <w:t xml:space="preserve">Jednocześnie jednostki centralne powinny być gwarantem zapewnienia spójności i jednoznaczności przetwarzanych danych poprzez centralne definiowanie wzorów sprawozdań i zmiennych w nich występujących </w:t>
      </w:r>
      <w:r>
        <w:rPr>
          <w:rFonts w:cs="Times New Roman"/>
          <w:color w:val="000000"/>
          <w:sz w:val="22"/>
          <w:szCs w:val="22"/>
          <w:highlight w:val="lightGray"/>
          <w:shd w:val="clear" w:color="auto" w:fill="FFFFFF"/>
        </w:rPr>
        <w:t>(</w:t>
      </w:r>
      <w:r w:rsidR="00FB7C4D">
        <w:rPr>
          <w:rFonts w:cs="Times New Roman"/>
          <w:color w:val="000000"/>
          <w:sz w:val="22"/>
          <w:szCs w:val="22"/>
          <w:shd w:val="clear" w:color="auto" w:fill="FFFFFF"/>
        </w:rPr>
        <w:t>schemat - rozdział 2,</w:t>
      </w:r>
      <w:r>
        <w:rPr>
          <w:rFonts w:cs="Times New Roman"/>
          <w:color w:val="000000"/>
          <w:sz w:val="22"/>
          <w:szCs w:val="22"/>
          <w:shd w:val="clear" w:color="auto" w:fill="FFFFFF"/>
        </w:rPr>
        <w:t xml:space="preserve"> jest to system zarządzania danymi).</w:t>
      </w:r>
    </w:p>
    <w:p w:rsidR="002C54E6" w:rsidRDefault="002C54E6">
      <w:pPr>
        <w:jc w:val="both"/>
        <w:rPr>
          <w:rFonts w:cs="Times New Roman"/>
          <w:color w:val="000000"/>
          <w:sz w:val="22"/>
          <w:szCs w:val="22"/>
          <w:shd w:val="clear" w:color="auto" w:fill="FFFFFF"/>
        </w:rPr>
      </w:pPr>
    </w:p>
    <w:p w:rsidR="002C54E6" w:rsidRDefault="00D752E7" w:rsidP="00FB7C4D">
      <w:pPr>
        <w:jc w:val="both"/>
      </w:pPr>
      <w:r>
        <w:rPr>
          <w:rFonts w:cs="Times New Roman"/>
          <w:color w:val="000000"/>
          <w:sz w:val="22"/>
          <w:szCs w:val="22"/>
          <w:shd w:val="clear" w:color="auto" w:fill="FFFFFF"/>
        </w:rPr>
        <w:t>Z punktu widzenia przetwarzania danych, w szczególności pozyskiwania danych, w założeniach do docelowego systemu HUB widzimy następujące procesy obsługi danych:</w:t>
      </w:r>
    </w:p>
    <w:p w:rsidR="002C54E6" w:rsidRDefault="002C54E6" w:rsidP="00FB7C4D">
      <w:pPr>
        <w:jc w:val="both"/>
        <w:rPr>
          <w:rFonts w:cs="Times New Roman"/>
          <w:color w:val="000000"/>
          <w:sz w:val="22"/>
          <w:szCs w:val="22"/>
          <w:highlight w:val="white"/>
        </w:rPr>
      </w:pPr>
    </w:p>
    <w:p w:rsidR="002C54E6" w:rsidRDefault="00D752E7" w:rsidP="00FB7C4D">
      <w:pPr>
        <w:numPr>
          <w:ilvl w:val="0"/>
          <w:numId w:val="3"/>
        </w:numPr>
        <w:tabs>
          <w:tab w:val="left" w:pos="709"/>
        </w:tabs>
        <w:ind w:left="709"/>
        <w:jc w:val="both"/>
        <w:rPr>
          <w:rFonts w:cs="Times New Roman"/>
          <w:color w:val="000000"/>
          <w:sz w:val="22"/>
          <w:szCs w:val="22"/>
          <w:highlight w:val="white"/>
        </w:rPr>
      </w:pPr>
      <w:r>
        <w:rPr>
          <w:rFonts w:cs="Times New Roman"/>
          <w:color w:val="000000"/>
          <w:sz w:val="22"/>
          <w:szCs w:val="22"/>
          <w:shd w:val="clear" w:color="auto" w:fill="FFFFFF"/>
        </w:rPr>
        <w:t>proces zasilania danymi z wykorzystaniem systemów GUS,</w:t>
      </w:r>
    </w:p>
    <w:p w:rsidR="002C54E6" w:rsidRDefault="00D752E7" w:rsidP="00FB7C4D">
      <w:pPr>
        <w:numPr>
          <w:ilvl w:val="0"/>
          <w:numId w:val="3"/>
        </w:numPr>
        <w:tabs>
          <w:tab w:val="left" w:pos="709"/>
        </w:tabs>
        <w:ind w:left="709"/>
        <w:jc w:val="both"/>
      </w:pPr>
      <w:r>
        <w:rPr>
          <w:rFonts w:cs="Times New Roman"/>
          <w:color w:val="000000"/>
          <w:sz w:val="22"/>
          <w:szCs w:val="22"/>
          <w:shd w:val="clear" w:color="auto" w:fill="FFFFFF"/>
        </w:rPr>
        <w:t>proces budowy i zarządzania zbiorem wzorów sprawozdań i definicji tych sprawozdań (do poziomu zmiennych), administrowany docelowo przez jednostki centralne w uzgodnieniu z GUS,</w:t>
      </w:r>
    </w:p>
    <w:p w:rsidR="002C54E6" w:rsidRDefault="00D752E7" w:rsidP="00FB7C4D">
      <w:pPr>
        <w:numPr>
          <w:ilvl w:val="0"/>
          <w:numId w:val="3"/>
        </w:numPr>
        <w:tabs>
          <w:tab w:val="left" w:pos="709"/>
        </w:tabs>
        <w:ind w:left="709"/>
        <w:jc w:val="both"/>
        <w:rPr>
          <w:rFonts w:cs="Times New Roman"/>
          <w:color w:val="000000"/>
          <w:sz w:val="22"/>
          <w:szCs w:val="22"/>
          <w:highlight w:val="white"/>
        </w:rPr>
      </w:pPr>
      <w:r>
        <w:rPr>
          <w:rFonts w:cs="Times New Roman"/>
          <w:color w:val="000000"/>
          <w:sz w:val="22"/>
          <w:szCs w:val="22"/>
          <w:shd w:val="clear" w:color="auto" w:fill="FFFFFF"/>
        </w:rPr>
        <w:t>proces zasilania danymi z wykorzystaniem innych systemów centralnych (np. BeSTi@, SIO), zgodnie ze schematem są to Systemy Zewnętrzne,</w:t>
      </w:r>
    </w:p>
    <w:p w:rsidR="002C54E6" w:rsidRDefault="00D752E7" w:rsidP="00FB7C4D">
      <w:pPr>
        <w:numPr>
          <w:ilvl w:val="0"/>
          <w:numId w:val="3"/>
        </w:numPr>
        <w:tabs>
          <w:tab w:val="left" w:pos="709"/>
        </w:tabs>
        <w:ind w:left="709"/>
        <w:jc w:val="both"/>
      </w:pPr>
      <w:r>
        <w:rPr>
          <w:rFonts w:cs="Times New Roman"/>
          <w:color w:val="000000"/>
          <w:sz w:val="22"/>
          <w:szCs w:val="22"/>
          <w:shd w:val="clear" w:color="auto" w:fill="FFFFFF"/>
        </w:rPr>
        <w:t>proces zasilania danymi przez systemy dziedzinowe występujące w dużych JST,</w:t>
      </w:r>
    </w:p>
    <w:p w:rsidR="002C54E6" w:rsidRDefault="00D752E7" w:rsidP="00FB7C4D">
      <w:pPr>
        <w:numPr>
          <w:ilvl w:val="0"/>
          <w:numId w:val="3"/>
        </w:numPr>
        <w:tabs>
          <w:tab w:val="left" w:pos="709"/>
        </w:tabs>
        <w:ind w:left="709"/>
        <w:jc w:val="both"/>
        <w:rPr>
          <w:rFonts w:cs="Times New Roman"/>
          <w:color w:val="000000"/>
          <w:sz w:val="22"/>
          <w:szCs w:val="22"/>
          <w:highlight w:val="white"/>
        </w:rPr>
      </w:pPr>
      <w:r>
        <w:rPr>
          <w:rFonts w:cs="Times New Roman"/>
          <w:color w:val="000000"/>
          <w:sz w:val="22"/>
          <w:szCs w:val="22"/>
          <w:shd w:val="clear" w:color="auto" w:fill="FFFFFF"/>
        </w:rPr>
        <w:t xml:space="preserve">proces zasilania danymi bez wykorzystywania istniejących systemów – poprzez specjalną aplikację (dotyczy to w szczególności gmin o niskim poziomie rozwoju informatycznego – części gmin wiejskich). </w:t>
      </w:r>
    </w:p>
    <w:p w:rsidR="002C54E6" w:rsidRDefault="00D752E7" w:rsidP="00FB7C4D">
      <w:pPr>
        <w:jc w:val="both"/>
      </w:pPr>
      <w:r>
        <w:rPr>
          <w:rFonts w:cs="Times New Roman"/>
          <w:color w:val="000000"/>
          <w:sz w:val="22"/>
          <w:szCs w:val="22"/>
          <w:shd w:val="clear" w:color="auto" w:fill="FFFFFF"/>
        </w:rPr>
        <w:t>Powyższa analiza pokazuje, że w planowanym systemie HUB mamy różne modele przetwarzania danych, które w dalszych pracach powinny zostać uwzględnione</w:t>
      </w:r>
      <w:r>
        <w:rPr>
          <w:rFonts w:cs="Times New Roman"/>
          <w:color w:val="000000"/>
          <w:sz w:val="22"/>
          <w:szCs w:val="22"/>
        </w:rPr>
        <w:t xml:space="preserve">. Dlatego też projekt powinien być realizowany metodą przyrostową z uwzględnieniem kluczowego gestora, czyli JST.  </w:t>
      </w:r>
    </w:p>
    <w:p w:rsidR="002C54E6" w:rsidRDefault="002C54E6" w:rsidP="00FB7C4D">
      <w:pPr>
        <w:jc w:val="both"/>
        <w:rPr>
          <w:rFonts w:cs="Times New Roman"/>
          <w:sz w:val="22"/>
          <w:szCs w:val="22"/>
        </w:rPr>
      </w:pPr>
    </w:p>
    <w:p w:rsidR="002C54E6" w:rsidRDefault="00D752E7">
      <w:pPr>
        <w:keepNext/>
        <w:tabs>
          <w:tab w:val="left" w:pos="0"/>
        </w:tabs>
        <w:spacing w:before="240" w:after="120"/>
        <w:outlineLvl w:val="0"/>
        <w:rPr>
          <w:rFonts w:eastAsia="Microsoft YaHei" w:cs="Times New Roman"/>
          <w:b/>
          <w:bCs/>
          <w:sz w:val="28"/>
          <w:szCs w:val="28"/>
        </w:rPr>
      </w:pPr>
      <w:bookmarkStart w:id="12" w:name="Bookmark13"/>
      <w:bookmarkStart w:id="13" w:name="__RefHeading___Toc65183394"/>
      <w:bookmarkStart w:id="14" w:name="_Toc89935352"/>
      <w:bookmarkEnd w:id="12"/>
      <w:bookmarkEnd w:id="13"/>
      <w:r>
        <w:rPr>
          <w:rFonts w:eastAsia="Microsoft YaHei" w:cs="Times New Roman"/>
          <w:b/>
          <w:bCs/>
          <w:sz w:val="28"/>
          <w:szCs w:val="28"/>
        </w:rPr>
        <w:t>5.  Badanie sprawozdawczości gmin i powiatów przez Urzędy Statystyczne</w:t>
      </w:r>
      <w:bookmarkEnd w:id="14"/>
      <w:r>
        <w:rPr>
          <w:rFonts w:eastAsia="Microsoft YaHei" w:cs="Times New Roman"/>
          <w:b/>
          <w:bCs/>
          <w:sz w:val="28"/>
          <w:szCs w:val="28"/>
        </w:rPr>
        <w:t xml:space="preserve"> </w:t>
      </w:r>
    </w:p>
    <w:p w:rsidR="002C54E6" w:rsidRDefault="00D752E7">
      <w:pPr>
        <w:pStyle w:val="Default"/>
        <w:jc w:val="both"/>
        <w:rPr>
          <w:rFonts w:ascii="Times New Roman" w:hAnsi="Times New Roman" w:cs="Times New Roman"/>
          <w:color w:val="00000A"/>
          <w:sz w:val="22"/>
          <w:szCs w:val="22"/>
        </w:rPr>
      </w:pPr>
      <w:r>
        <w:rPr>
          <w:rFonts w:ascii="Times New Roman" w:hAnsi="Times New Roman" w:cs="Times New Roman"/>
          <w:bCs/>
          <w:color w:val="00000A"/>
          <w:sz w:val="22"/>
          <w:szCs w:val="22"/>
        </w:rPr>
        <w:t xml:space="preserve">W ramach projektu SMUP, Zespół ds. HUB opracował wytyczne i zrealizował badanie polegające na inwentaryzacji obowiązków sprawozdawczych wybranych jednostek samorządu terytorialnego. </w:t>
      </w:r>
    </w:p>
    <w:p w:rsidR="002C54E6" w:rsidRDefault="00D752E7">
      <w:pPr>
        <w:jc w:val="both"/>
        <w:rPr>
          <w:rFonts w:cs="Times New Roman"/>
          <w:sz w:val="22"/>
          <w:szCs w:val="22"/>
        </w:rPr>
      </w:pPr>
      <w:r>
        <w:rPr>
          <w:rFonts w:cs="Times New Roman"/>
          <w:sz w:val="22"/>
          <w:szCs w:val="22"/>
        </w:rPr>
        <w:t>Analizę sprawozdawczości zaplanowano na poziomie gmin i powiatów. Analizę przeprowadziły wybrane zespoły Wojewódzkich Ośrodków Badań Regionalnych (WOBR) w Urzędach Statystycznych GUS. Badaniem objęte zostały 3 rodzaje jednostek terytorialnych, po jednym rodzaju: gminy, powiaty ziemskie i miasta na prawach powiatu. W celu realizacji badania sprawozdawczości poszczególne Zespoły zadaniowe z US-ów nawiązały kontakt i współpracowały z jednostkami sprawozdawczymi w swoich regionach. W badaniu uwzględniono także zadania realizowane  poprzez jednostki organizacyjne, spółki komunalne i związki międzygminne. Ponadto</w:t>
      </w:r>
      <w:r w:rsidR="00FB7C4D">
        <w:rPr>
          <w:rFonts w:cs="Times New Roman"/>
          <w:sz w:val="22"/>
          <w:szCs w:val="22"/>
        </w:rPr>
        <w:t>,</w:t>
      </w:r>
      <w:r>
        <w:rPr>
          <w:rFonts w:cs="Times New Roman"/>
          <w:sz w:val="22"/>
          <w:szCs w:val="22"/>
        </w:rPr>
        <w:t xml:space="preserve"> pozyskano informacje dot. sposobu przekazywania, czyli w jakiej formie i za pośrednictwem jakiego systemu przesyłane są formularze.</w:t>
      </w:r>
    </w:p>
    <w:p w:rsidR="002C54E6" w:rsidRDefault="00D752E7">
      <w:pPr>
        <w:jc w:val="both"/>
        <w:rPr>
          <w:rFonts w:cs="Times New Roman"/>
          <w:sz w:val="22"/>
          <w:szCs w:val="22"/>
        </w:rPr>
      </w:pPr>
      <w:r>
        <w:rPr>
          <w:rFonts w:cs="Times New Roman"/>
          <w:sz w:val="22"/>
          <w:szCs w:val="22"/>
        </w:rPr>
        <w:t>Powyższe informacje pozwoliły na podział sprawozdań wg sposobu przesyłania:</w:t>
      </w:r>
    </w:p>
    <w:p w:rsidR="002C54E6" w:rsidRDefault="00D752E7">
      <w:pPr>
        <w:pStyle w:val="Akapitzlist1"/>
        <w:widowControl w:val="0"/>
        <w:numPr>
          <w:ilvl w:val="1"/>
          <w:numId w:val="5"/>
        </w:numPr>
        <w:jc w:val="both"/>
        <w:rPr>
          <w:rFonts w:cs="Times New Roman"/>
          <w:sz w:val="22"/>
          <w:szCs w:val="22"/>
        </w:rPr>
      </w:pPr>
      <w:r>
        <w:rPr>
          <w:rFonts w:cs="Times New Roman"/>
          <w:sz w:val="22"/>
          <w:szCs w:val="22"/>
        </w:rPr>
        <w:t xml:space="preserve">Sprawozdania GUS - przesyłane za pomocą portalu sprawozdawczego lub za pomocą systemu </w:t>
      </w:r>
      <w:r>
        <w:rPr>
          <w:rFonts w:cs="Times New Roman"/>
          <w:sz w:val="22"/>
          <w:szCs w:val="22"/>
        </w:rPr>
        <w:lastRenderedPageBreak/>
        <w:t xml:space="preserve">Trans GUS do Głównego Urzędu Statystycznego. </w:t>
      </w:r>
    </w:p>
    <w:p w:rsidR="002C54E6" w:rsidRDefault="00D752E7">
      <w:pPr>
        <w:pStyle w:val="Akapitzlist1"/>
        <w:widowControl w:val="0"/>
        <w:numPr>
          <w:ilvl w:val="1"/>
          <w:numId w:val="5"/>
        </w:numPr>
        <w:jc w:val="both"/>
        <w:rPr>
          <w:rFonts w:cs="Times New Roman"/>
          <w:sz w:val="22"/>
          <w:szCs w:val="22"/>
        </w:rPr>
      </w:pPr>
      <w:r>
        <w:rPr>
          <w:rFonts w:cs="Times New Roman"/>
          <w:sz w:val="22"/>
          <w:szCs w:val="22"/>
        </w:rPr>
        <w:t xml:space="preserve">Sprawozdania finansowe Rb - wewnątrz </w:t>
      </w:r>
      <w:r w:rsidR="0037185A">
        <w:rPr>
          <w:rFonts w:cs="Times New Roman"/>
          <w:sz w:val="22"/>
          <w:szCs w:val="22"/>
        </w:rPr>
        <w:t>JST</w:t>
      </w:r>
      <w:r>
        <w:rPr>
          <w:rFonts w:cs="Times New Roman"/>
          <w:sz w:val="22"/>
          <w:szCs w:val="22"/>
        </w:rPr>
        <w:t xml:space="preserve"> występuje sprawozdawczość wewnętrzna (np. z jednostek organizacyjnych do urzędu gminy/starostwa). Koncentrowano się głównie na sprawozdawczości wewnętrznej, która wynika z przepisów prawa, w szczególności sprawozdawczości finansowej typu Rb.</w:t>
      </w:r>
    </w:p>
    <w:p w:rsidR="002C54E6" w:rsidRDefault="00D752E7">
      <w:pPr>
        <w:pStyle w:val="Akapitzlist1"/>
        <w:widowControl w:val="0"/>
        <w:numPr>
          <w:ilvl w:val="1"/>
          <w:numId w:val="5"/>
        </w:numPr>
        <w:jc w:val="both"/>
        <w:rPr>
          <w:rFonts w:cs="Times New Roman"/>
          <w:sz w:val="22"/>
          <w:szCs w:val="22"/>
        </w:rPr>
      </w:pPr>
      <w:r>
        <w:rPr>
          <w:rFonts w:cs="Times New Roman"/>
          <w:sz w:val="22"/>
          <w:szCs w:val="22"/>
        </w:rPr>
        <w:t>Pozostałe sprawozdania – nieustandaryzowane, wysyłane poza systemami, dodatkowo informacje wysyłane przez Ośrodki Pomocy Społecznej, Centra Pomocy Rodzinie i Powiatowe Urzędy Pracy.</w:t>
      </w:r>
    </w:p>
    <w:p w:rsidR="002C54E6" w:rsidRDefault="00D752E7">
      <w:pPr>
        <w:pStyle w:val="Default"/>
        <w:jc w:val="both"/>
      </w:pPr>
      <w:r>
        <w:rPr>
          <w:rFonts w:ascii="Times New Roman" w:hAnsi="Times New Roman" w:cs="Times New Roman"/>
          <w:bCs/>
          <w:color w:val="00000A"/>
          <w:sz w:val="22"/>
          <w:szCs w:val="22"/>
        </w:rPr>
        <w:t>W kolejnym etapie prac dokonano analizy sprawozdań zaliczonych do grupy – pozostałe, ze względu na ich nieustandaryzowany charakter. Dla tych sprawozdań pozyskano informacje dotyczące występujących tam algorytmów, zmiennych typu tekstowego, danych sumowanych, jak również  najczęściej występujących funkcji matematycznych.</w:t>
      </w:r>
    </w:p>
    <w:p w:rsidR="002C54E6" w:rsidRDefault="002C54E6">
      <w:pPr>
        <w:pStyle w:val="Default"/>
        <w:jc w:val="both"/>
        <w:rPr>
          <w:rFonts w:ascii="Times New Roman" w:hAnsi="Times New Roman" w:cs="Times New Roman"/>
          <w:bCs/>
          <w:color w:val="00000A"/>
          <w:sz w:val="22"/>
          <w:szCs w:val="22"/>
        </w:rPr>
      </w:pPr>
    </w:p>
    <w:p w:rsidR="002C54E6" w:rsidRDefault="00D752E7">
      <w:pPr>
        <w:pStyle w:val="Default"/>
        <w:jc w:val="both"/>
      </w:pPr>
      <w:bookmarkStart w:id="15" w:name="__RefHeading___Toc65183396"/>
      <w:bookmarkEnd w:id="15"/>
      <w:r>
        <w:rPr>
          <w:rFonts w:ascii="Times New Roman" w:hAnsi="Times New Roman" w:cs="Times New Roman"/>
          <w:bCs/>
          <w:color w:val="00000A"/>
          <w:sz w:val="22"/>
          <w:szCs w:val="22"/>
        </w:rPr>
        <w:t>Analiza i zestawienia formularzy oraz informacje wyszczególnione poniżej stanowiły załączniki do poprzedniej wersji Raportu. Zebrane informacje to:</w:t>
      </w:r>
    </w:p>
    <w:p w:rsidR="002C54E6" w:rsidRDefault="00D752E7">
      <w:pPr>
        <w:pStyle w:val="Default"/>
        <w:jc w:val="both"/>
        <w:rPr>
          <w:rFonts w:ascii="Times New Roman" w:hAnsi="Times New Roman" w:cs="Times New Roman"/>
          <w:bCs/>
          <w:color w:val="00000A"/>
          <w:sz w:val="22"/>
          <w:szCs w:val="22"/>
        </w:rPr>
      </w:pPr>
      <w:r>
        <w:rPr>
          <w:rFonts w:ascii="Times New Roman" w:hAnsi="Times New Roman" w:cs="Times New Roman"/>
          <w:bCs/>
          <w:color w:val="00000A"/>
          <w:sz w:val="22"/>
          <w:szCs w:val="22"/>
        </w:rPr>
        <w:t>- symbol sprawozdania,</w:t>
      </w:r>
    </w:p>
    <w:p w:rsidR="002C54E6" w:rsidRDefault="00D752E7">
      <w:pPr>
        <w:pStyle w:val="Default"/>
        <w:jc w:val="both"/>
        <w:rPr>
          <w:rFonts w:ascii="Times New Roman" w:hAnsi="Times New Roman" w:cs="Times New Roman"/>
          <w:bCs/>
          <w:color w:val="00000A"/>
          <w:sz w:val="22"/>
          <w:szCs w:val="22"/>
        </w:rPr>
      </w:pPr>
      <w:r>
        <w:rPr>
          <w:rFonts w:ascii="Times New Roman" w:hAnsi="Times New Roman" w:cs="Times New Roman"/>
          <w:bCs/>
          <w:color w:val="00000A"/>
          <w:sz w:val="22"/>
          <w:szCs w:val="22"/>
        </w:rPr>
        <w:t>- nazwa sprawozdania,</w:t>
      </w:r>
    </w:p>
    <w:p w:rsidR="002C54E6" w:rsidRDefault="00D752E7">
      <w:pPr>
        <w:pStyle w:val="Default"/>
        <w:jc w:val="both"/>
        <w:rPr>
          <w:rFonts w:ascii="Times New Roman" w:hAnsi="Times New Roman" w:cs="Times New Roman"/>
          <w:bCs/>
          <w:color w:val="00000A"/>
          <w:sz w:val="22"/>
          <w:szCs w:val="22"/>
        </w:rPr>
      </w:pPr>
      <w:r>
        <w:rPr>
          <w:rFonts w:ascii="Times New Roman" w:hAnsi="Times New Roman" w:cs="Times New Roman"/>
          <w:bCs/>
          <w:color w:val="00000A"/>
          <w:sz w:val="22"/>
          <w:szCs w:val="22"/>
        </w:rPr>
        <w:t>- przypisany obszar tematyczny,</w:t>
      </w:r>
    </w:p>
    <w:p w:rsidR="002C54E6" w:rsidRDefault="00D752E7">
      <w:pPr>
        <w:pStyle w:val="Default"/>
        <w:jc w:val="both"/>
        <w:rPr>
          <w:rFonts w:ascii="Times New Roman" w:hAnsi="Times New Roman" w:cs="Times New Roman"/>
          <w:bCs/>
          <w:color w:val="00000A"/>
          <w:sz w:val="22"/>
          <w:szCs w:val="22"/>
        </w:rPr>
      </w:pPr>
      <w:r>
        <w:rPr>
          <w:rFonts w:ascii="Times New Roman" w:hAnsi="Times New Roman" w:cs="Times New Roman"/>
          <w:bCs/>
          <w:color w:val="00000A"/>
          <w:sz w:val="22"/>
          <w:szCs w:val="22"/>
        </w:rPr>
        <w:t>- jakiej jednostce i jakim systemem są przekazywane,</w:t>
      </w:r>
    </w:p>
    <w:p w:rsidR="002C54E6" w:rsidRDefault="00D752E7">
      <w:pPr>
        <w:pStyle w:val="Default"/>
        <w:jc w:val="both"/>
        <w:rPr>
          <w:rFonts w:ascii="Times New Roman" w:hAnsi="Times New Roman" w:cs="Times New Roman"/>
          <w:bCs/>
          <w:color w:val="00000A"/>
          <w:sz w:val="22"/>
          <w:szCs w:val="22"/>
        </w:rPr>
      </w:pPr>
      <w:r>
        <w:rPr>
          <w:rFonts w:ascii="Times New Roman" w:hAnsi="Times New Roman" w:cs="Times New Roman"/>
          <w:bCs/>
          <w:color w:val="00000A"/>
          <w:sz w:val="22"/>
          <w:szCs w:val="22"/>
        </w:rPr>
        <w:t>- jaka jednostka przekazuje (gmina, powiat czy miasto na prawach powiatu),</w:t>
      </w:r>
    </w:p>
    <w:p w:rsidR="002C54E6" w:rsidRDefault="00D752E7">
      <w:pPr>
        <w:pStyle w:val="Default"/>
        <w:jc w:val="both"/>
        <w:rPr>
          <w:rFonts w:ascii="Times New Roman" w:hAnsi="Times New Roman" w:cs="Times New Roman"/>
          <w:bCs/>
          <w:color w:val="00000A"/>
          <w:sz w:val="22"/>
          <w:szCs w:val="22"/>
        </w:rPr>
      </w:pPr>
      <w:r>
        <w:rPr>
          <w:rFonts w:ascii="Times New Roman" w:hAnsi="Times New Roman" w:cs="Times New Roman"/>
          <w:bCs/>
          <w:color w:val="00000A"/>
          <w:sz w:val="22"/>
          <w:szCs w:val="22"/>
        </w:rPr>
        <w:t>- terminy przekazywanych danych,</w:t>
      </w:r>
    </w:p>
    <w:p w:rsidR="002C54E6" w:rsidRDefault="00D752E7">
      <w:pPr>
        <w:pStyle w:val="Default"/>
        <w:jc w:val="both"/>
        <w:rPr>
          <w:rFonts w:ascii="Times New Roman" w:hAnsi="Times New Roman" w:cs="Times New Roman"/>
          <w:bCs/>
          <w:color w:val="00000A"/>
          <w:sz w:val="22"/>
          <w:szCs w:val="22"/>
        </w:rPr>
      </w:pPr>
      <w:r>
        <w:rPr>
          <w:rFonts w:ascii="Times New Roman" w:hAnsi="Times New Roman" w:cs="Times New Roman"/>
          <w:bCs/>
          <w:color w:val="00000A"/>
          <w:sz w:val="22"/>
          <w:szCs w:val="22"/>
        </w:rPr>
        <w:t>- format przekazywanych danych (np. PDF, Word, Excel, dokument papierowy),</w:t>
      </w:r>
    </w:p>
    <w:p w:rsidR="002C54E6" w:rsidRDefault="00D752E7">
      <w:pPr>
        <w:pStyle w:val="Default"/>
        <w:jc w:val="both"/>
        <w:rPr>
          <w:rFonts w:ascii="Times New Roman" w:hAnsi="Times New Roman" w:cs="Times New Roman"/>
          <w:bCs/>
          <w:color w:val="00000A"/>
          <w:sz w:val="22"/>
          <w:szCs w:val="22"/>
        </w:rPr>
      </w:pPr>
      <w:r>
        <w:rPr>
          <w:rFonts w:ascii="Times New Roman" w:hAnsi="Times New Roman" w:cs="Times New Roman"/>
          <w:bCs/>
          <w:color w:val="00000A"/>
          <w:sz w:val="22"/>
          <w:szCs w:val="22"/>
        </w:rPr>
        <w:t>- informacja na temat pojawiających się słowników i list kodowych.</w:t>
      </w:r>
    </w:p>
    <w:p w:rsidR="002C54E6" w:rsidRDefault="00D752E7">
      <w:pPr>
        <w:pStyle w:val="Default"/>
        <w:jc w:val="both"/>
        <w:rPr>
          <w:rFonts w:ascii="Times New Roman" w:hAnsi="Times New Roman" w:cs="Times New Roman"/>
          <w:bCs/>
          <w:color w:val="00000A"/>
          <w:sz w:val="22"/>
          <w:szCs w:val="22"/>
        </w:rPr>
      </w:pPr>
      <w:r>
        <w:rPr>
          <w:rFonts w:ascii="Times New Roman" w:hAnsi="Times New Roman" w:cs="Times New Roman"/>
          <w:bCs/>
          <w:color w:val="00000A"/>
          <w:sz w:val="22"/>
          <w:szCs w:val="22"/>
        </w:rPr>
        <w:t xml:space="preserve">- wykaz zmiennych, algorytmy, zmienne tekstowe, funkcje matematyczne </w:t>
      </w:r>
      <w:r>
        <w:rPr>
          <w:rFonts w:ascii="Times New Roman" w:hAnsi="Times New Roman" w:cs="Times New Roman"/>
          <w:sz w:val="22"/>
          <w:szCs w:val="22"/>
        </w:rPr>
        <w:t>(np. suma, iloraz, średnia arytmetyczna, dynamika).</w:t>
      </w:r>
    </w:p>
    <w:p w:rsidR="002C54E6" w:rsidRDefault="002C54E6">
      <w:pPr>
        <w:pStyle w:val="Default"/>
        <w:jc w:val="both"/>
        <w:rPr>
          <w:rFonts w:ascii="Times New Roman" w:hAnsi="Times New Roman" w:cs="Times New Roman"/>
          <w:bCs/>
          <w:color w:val="00000A"/>
          <w:sz w:val="22"/>
          <w:szCs w:val="22"/>
        </w:rPr>
      </w:pPr>
    </w:p>
    <w:p w:rsidR="002C54E6" w:rsidRDefault="00D752E7">
      <w:pPr>
        <w:pStyle w:val="Default"/>
        <w:jc w:val="both"/>
      </w:pPr>
      <w:r>
        <w:rPr>
          <w:rFonts w:ascii="Times New Roman" w:hAnsi="Times New Roman" w:cs="Times New Roman"/>
          <w:bCs/>
          <w:color w:val="00000A"/>
          <w:sz w:val="22"/>
          <w:szCs w:val="22"/>
        </w:rPr>
        <w:t>Liczbę sprawozdań zewidencjonowanych w poszczególnych zespołach obrazuje poniższa tabela.</w:t>
      </w:r>
    </w:p>
    <w:p w:rsidR="002C54E6" w:rsidRDefault="002C54E6">
      <w:pPr>
        <w:jc w:val="both"/>
        <w:rPr>
          <w:rFonts w:ascii="Fira Sans" w:hAnsi="Fira Sans" w:cs="Fira Sans"/>
          <w:sz w:val="20"/>
          <w:szCs w:val="20"/>
        </w:rPr>
      </w:pPr>
    </w:p>
    <w:tbl>
      <w:tblPr>
        <w:tblW w:w="9117" w:type="dxa"/>
        <w:tblInd w:w="-80" w:type="dxa"/>
        <w:tblBorders>
          <w:top w:val="single" w:sz="4" w:space="0" w:color="000001"/>
          <w:left w:val="single" w:sz="4" w:space="0" w:color="000001"/>
          <w:bottom w:val="single" w:sz="4" w:space="0" w:color="000001"/>
          <w:insideH w:val="single" w:sz="4" w:space="0" w:color="000001"/>
        </w:tblBorders>
        <w:tblCellMar>
          <w:left w:w="68" w:type="dxa"/>
        </w:tblCellMar>
        <w:tblLook w:val="0000" w:firstRow="0" w:lastRow="0" w:firstColumn="0" w:lastColumn="0" w:noHBand="0" w:noVBand="0"/>
      </w:tblPr>
      <w:tblGrid>
        <w:gridCol w:w="1797"/>
        <w:gridCol w:w="2055"/>
        <w:gridCol w:w="1414"/>
        <w:gridCol w:w="1311"/>
        <w:gridCol w:w="1131"/>
        <w:gridCol w:w="1409"/>
      </w:tblGrid>
      <w:tr w:rsidR="002C54E6">
        <w:tc>
          <w:tcPr>
            <w:tcW w:w="1796"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Fira Sans" w:cs="Times New Roman"/>
                <w:b/>
                <w:bCs/>
                <w:sz w:val="18"/>
                <w:szCs w:val="18"/>
                <w:lang w:eastAsia="ar-SA" w:bidi="ar-SA"/>
              </w:rPr>
              <w:t xml:space="preserve"> </w:t>
            </w:r>
            <w:r>
              <w:rPr>
                <w:rFonts w:eastAsia="Times New Roman" w:cs="Times New Roman"/>
                <w:b/>
                <w:bCs/>
                <w:sz w:val="18"/>
                <w:szCs w:val="18"/>
                <w:lang w:eastAsia="ar-SA" w:bidi="ar-SA"/>
              </w:rPr>
              <w:t>Zespoły</w:t>
            </w:r>
          </w:p>
        </w:tc>
        <w:tc>
          <w:tcPr>
            <w:tcW w:w="2055"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Nazwa jednostki</w:t>
            </w:r>
          </w:p>
        </w:tc>
        <w:tc>
          <w:tcPr>
            <w:tcW w:w="1414"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W tym: Sprawozdania GUS</w:t>
            </w:r>
          </w:p>
        </w:tc>
        <w:tc>
          <w:tcPr>
            <w:tcW w:w="1311"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W tym: Sprawozdania Finansowe</w:t>
            </w:r>
          </w:p>
        </w:tc>
        <w:tc>
          <w:tcPr>
            <w:tcW w:w="1131"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W tym: Pozostałe</w:t>
            </w:r>
          </w:p>
        </w:tc>
        <w:tc>
          <w:tcPr>
            <w:tcW w:w="1409" w:type="dxa"/>
            <w:tcBorders>
              <w:top w:val="single" w:sz="4" w:space="0" w:color="000001"/>
              <w:left w:val="single" w:sz="4" w:space="0" w:color="000001"/>
              <w:bottom w:val="single" w:sz="4" w:space="0" w:color="000001"/>
              <w:right w:val="single" w:sz="4" w:space="0" w:color="000001"/>
            </w:tcBorders>
            <w:shd w:val="clear" w:color="auto" w:fill="auto"/>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 xml:space="preserve">Suma wykazanych sprawozdań </w:t>
            </w:r>
          </w:p>
        </w:tc>
      </w:tr>
      <w:tr w:rsidR="002C54E6">
        <w:tc>
          <w:tcPr>
            <w:tcW w:w="1796" w:type="dxa"/>
            <w:tcBorders>
              <w:top w:val="single" w:sz="4" w:space="0" w:color="000001"/>
              <w:left w:val="single" w:sz="4" w:space="0" w:color="000001"/>
              <w:bottom w:val="single" w:sz="4" w:space="0" w:color="000001"/>
            </w:tcBorders>
            <w:shd w:val="clear" w:color="auto" w:fill="BDD6EE"/>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US Wrocław</w:t>
            </w:r>
          </w:p>
        </w:tc>
        <w:tc>
          <w:tcPr>
            <w:tcW w:w="2055" w:type="dxa"/>
            <w:tcBorders>
              <w:top w:val="single" w:sz="4" w:space="0" w:color="000001"/>
              <w:left w:val="single" w:sz="4" w:space="0" w:color="000001"/>
              <w:bottom w:val="single" w:sz="4" w:space="0" w:color="000001"/>
            </w:tcBorders>
            <w:shd w:val="clear" w:color="auto" w:fill="BDD6EE"/>
            <w:tcMar>
              <w:left w:w="68" w:type="dxa"/>
            </w:tcMar>
          </w:tcPr>
          <w:p w:rsidR="002C54E6" w:rsidRDefault="002C54E6">
            <w:pPr>
              <w:suppressAutoHyphens w:val="0"/>
              <w:snapToGrid w:val="0"/>
              <w:spacing w:line="240" w:lineRule="auto"/>
              <w:rPr>
                <w:rFonts w:eastAsia="Times New Roman" w:cs="Times New Roman"/>
                <w:b/>
                <w:bCs/>
                <w:sz w:val="18"/>
                <w:szCs w:val="18"/>
                <w:lang w:eastAsia="ar-SA" w:bidi="ar-SA"/>
              </w:rPr>
            </w:pPr>
          </w:p>
        </w:tc>
        <w:tc>
          <w:tcPr>
            <w:tcW w:w="1414" w:type="dxa"/>
            <w:tcBorders>
              <w:top w:val="single" w:sz="4" w:space="0" w:color="000001"/>
              <w:left w:val="single" w:sz="4" w:space="0" w:color="000001"/>
              <w:bottom w:val="single" w:sz="4" w:space="0" w:color="000001"/>
            </w:tcBorders>
            <w:shd w:val="clear" w:color="auto" w:fill="BDD6EE"/>
            <w:tcMar>
              <w:left w:w="68" w:type="dxa"/>
            </w:tcMar>
          </w:tcPr>
          <w:p w:rsidR="002C54E6" w:rsidRDefault="002C54E6">
            <w:pPr>
              <w:suppressAutoHyphens w:val="0"/>
              <w:snapToGrid w:val="0"/>
              <w:spacing w:line="240" w:lineRule="auto"/>
              <w:rPr>
                <w:rFonts w:eastAsia="Times New Roman" w:cs="Times New Roman"/>
                <w:b/>
                <w:bCs/>
                <w:sz w:val="18"/>
                <w:szCs w:val="18"/>
                <w:lang w:eastAsia="ar-SA" w:bidi="ar-SA"/>
              </w:rPr>
            </w:pPr>
          </w:p>
        </w:tc>
        <w:tc>
          <w:tcPr>
            <w:tcW w:w="1311" w:type="dxa"/>
            <w:tcBorders>
              <w:top w:val="single" w:sz="4" w:space="0" w:color="000001"/>
              <w:left w:val="single" w:sz="4" w:space="0" w:color="000001"/>
              <w:bottom w:val="single" w:sz="4" w:space="0" w:color="000001"/>
            </w:tcBorders>
            <w:shd w:val="clear" w:color="auto" w:fill="BDD6EE"/>
            <w:tcMar>
              <w:left w:w="68" w:type="dxa"/>
            </w:tcMar>
          </w:tcPr>
          <w:p w:rsidR="002C54E6" w:rsidRDefault="002C54E6">
            <w:pPr>
              <w:suppressAutoHyphens w:val="0"/>
              <w:snapToGrid w:val="0"/>
              <w:spacing w:line="240" w:lineRule="auto"/>
              <w:rPr>
                <w:rFonts w:eastAsia="Times New Roman" w:cs="Times New Roman"/>
                <w:b/>
                <w:bCs/>
                <w:sz w:val="18"/>
                <w:szCs w:val="18"/>
                <w:lang w:eastAsia="ar-SA" w:bidi="ar-SA"/>
              </w:rPr>
            </w:pPr>
          </w:p>
        </w:tc>
        <w:tc>
          <w:tcPr>
            <w:tcW w:w="1131" w:type="dxa"/>
            <w:tcBorders>
              <w:top w:val="single" w:sz="4" w:space="0" w:color="000001"/>
              <w:left w:val="single" w:sz="4" w:space="0" w:color="000001"/>
              <w:bottom w:val="single" w:sz="4" w:space="0" w:color="000001"/>
            </w:tcBorders>
            <w:shd w:val="clear" w:color="auto" w:fill="BDD6EE"/>
            <w:tcMar>
              <w:left w:w="68" w:type="dxa"/>
            </w:tcMar>
          </w:tcPr>
          <w:p w:rsidR="002C54E6" w:rsidRDefault="002C54E6">
            <w:pPr>
              <w:suppressAutoHyphens w:val="0"/>
              <w:snapToGrid w:val="0"/>
              <w:spacing w:line="240" w:lineRule="auto"/>
              <w:rPr>
                <w:rFonts w:eastAsia="Times New Roman" w:cs="Times New Roman"/>
                <w:b/>
                <w:bCs/>
                <w:sz w:val="18"/>
                <w:szCs w:val="18"/>
                <w:lang w:eastAsia="ar-SA" w:bidi="ar-SA"/>
              </w:rPr>
            </w:pPr>
          </w:p>
        </w:tc>
        <w:tc>
          <w:tcPr>
            <w:tcW w:w="1409" w:type="dxa"/>
            <w:tcBorders>
              <w:top w:val="single" w:sz="4" w:space="0" w:color="000001"/>
              <w:left w:val="single" w:sz="4" w:space="0" w:color="000001"/>
              <w:bottom w:val="single" w:sz="4" w:space="0" w:color="000001"/>
              <w:right w:val="single" w:sz="4" w:space="0" w:color="000001"/>
            </w:tcBorders>
            <w:shd w:val="clear" w:color="auto" w:fill="BDD6EE"/>
            <w:tcMar>
              <w:left w:w="68" w:type="dxa"/>
            </w:tcMar>
          </w:tcPr>
          <w:p w:rsidR="002C54E6" w:rsidRDefault="002C54E6">
            <w:pPr>
              <w:suppressAutoHyphens w:val="0"/>
              <w:snapToGrid w:val="0"/>
              <w:spacing w:line="240" w:lineRule="auto"/>
              <w:rPr>
                <w:rFonts w:eastAsia="Times New Roman" w:cs="Times New Roman"/>
                <w:b/>
                <w:bCs/>
                <w:sz w:val="18"/>
                <w:szCs w:val="18"/>
                <w:lang w:eastAsia="ar-SA" w:bidi="ar-SA"/>
              </w:rPr>
            </w:pPr>
          </w:p>
        </w:tc>
      </w:tr>
      <w:tr w:rsidR="002C54E6">
        <w:trPr>
          <w:cantSplit/>
        </w:trPr>
        <w:tc>
          <w:tcPr>
            <w:tcW w:w="1796"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Gmina</w:t>
            </w:r>
          </w:p>
        </w:tc>
        <w:tc>
          <w:tcPr>
            <w:tcW w:w="2055"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Legnica</w:t>
            </w:r>
          </w:p>
        </w:tc>
        <w:tc>
          <w:tcPr>
            <w:tcW w:w="1414" w:type="dxa"/>
            <w:vMerge w:val="restart"/>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p w:rsidR="002C54E6" w:rsidRDefault="00D752E7">
            <w:pPr>
              <w:suppressAutoHyphens w:val="0"/>
              <w:spacing w:line="240" w:lineRule="auto"/>
              <w:jc w:val="center"/>
              <w:rPr>
                <w:rFonts w:cs="Times New Roman"/>
                <w:sz w:val="18"/>
                <w:szCs w:val="18"/>
              </w:rPr>
            </w:pPr>
            <w:r>
              <w:rPr>
                <w:rFonts w:eastAsia="Times New Roman" w:cs="Times New Roman"/>
                <w:b/>
                <w:bCs/>
                <w:sz w:val="18"/>
                <w:szCs w:val="18"/>
                <w:lang w:eastAsia="ar-SA" w:bidi="ar-SA"/>
              </w:rPr>
              <w:t>44</w:t>
            </w:r>
          </w:p>
        </w:tc>
        <w:tc>
          <w:tcPr>
            <w:tcW w:w="1311" w:type="dxa"/>
            <w:vMerge w:val="restart"/>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p w:rsidR="002C54E6" w:rsidRDefault="00D752E7">
            <w:pPr>
              <w:suppressAutoHyphens w:val="0"/>
              <w:spacing w:line="240" w:lineRule="auto"/>
              <w:jc w:val="center"/>
              <w:rPr>
                <w:rFonts w:cs="Times New Roman"/>
                <w:sz w:val="18"/>
                <w:szCs w:val="18"/>
              </w:rPr>
            </w:pPr>
            <w:r>
              <w:rPr>
                <w:rFonts w:eastAsia="Times New Roman" w:cs="Times New Roman"/>
                <w:b/>
                <w:bCs/>
                <w:sz w:val="18"/>
                <w:szCs w:val="18"/>
                <w:lang w:eastAsia="ar-SA" w:bidi="ar-SA"/>
              </w:rPr>
              <w:t>30</w:t>
            </w:r>
          </w:p>
        </w:tc>
        <w:tc>
          <w:tcPr>
            <w:tcW w:w="1131" w:type="dxa"/>
            <w:vMerge w:val="restart"/>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p w:rsidR="002C54E6" w:rsidRDefault="00D752E7">
            <w:pPr>
              <w:suppressAutoHyphens w:val="0"/>
              <w:spacing w:line="240" w:lineRule="auto"/>
              <w:jc w:val="center"/>
              <w:rPr>
                <w:rFonts w:cs="Times New Roman"/>
                <w:sz w:val="18"/>
                <w:szCs w:val="18"/>
              </w:rPr>
            </w:pPr>
            <w:r>
              <w:rPr>
                <w:rFonts w:eastAsia="Times New Roman" w:cs="Times New Roman"/>
                <w:b/>
                <w:bCs/>
                <w:sz w:val="18"/>
                <w:szCs w:val="18"/>
                <w:lang w:eastAsia="ar-SA" w:bidi="ar-SA"/>
              </w:rPr>
              <w:t>213</w:t>
            </w:r>
          </w:p>
        </w:tc>
        <w:tc>
          <w:tcPr>
            <w:tcW w:w="1409" w:type="dxa"/>
            <w:vMerge w:val="restart"/>
            <w:tcBorders>
              <w:top w:val="single" w:sz="4" w:space="0" w:color="000001"/>
              <w:left w:val="single" w:sz="4" w:space="0" w:color="000001"/>
              <w:bottom w:val="single" w:sz="4" w:space="0" w:color="000001"/>
              <w:right w:val="single" w:sz="4" w:space="0" w:color="000001"/>
            </w:tcBorders>
            <w:shd w:val="clear" w:color="auto" w:fill="auto"/>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p w:rsidR="002C54E6" w:rsidRDefault="00D752E7">
            <w:pPr>
              <w:suppressAutoHyphens w:val="0"/>
              <w:spacing w:line="240" w:lineRule="auto"/>
              <w:jc w:val="center"/>
              <w:rPr>
                <w:rFonts w:cs="Times New Roman"/>
                <w:sz w:val="18"/>
                <w:szCs w:val="18"/>
              </w:rPr>
            </w:pPr>
            <w:r>
              <w:rPr>
                <w:rFonts w:eastAsia="Times New Roman" w:cs="Times New Roman"/>
                <w:b/>
                <w:bCs/>
                <w:sz w:val="18"/>
                <w:szCs w:val="18"/>
                <w:lang w:eastAsia="ar-SA" w:bidi="ar-SA"/>
              </w:rPr>
              <w:t>287</w:t>
            </w:r>
          </w:p>
        </w:tc>
      </w:tr>
      <w:tr w:rsidR="002C54E6">
        <w:trPr>
          <w:cantSplit/>
        </w:trPr>
        <w:tc>
          <w:tcPr>
            <w:tcW w:w="1796"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Powiat</w:t>
            </w:r>
          </w:p>
        </w:tc>
        <w:tc>
          <w:tcPr>
            <w:tcW w:w="2055"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Wrocławski</w:t>
            </w:r>
          </w:p>
        </w:tc>
        <w:tc>
          <w:tcPr>
            <w:tcW w:w="1414"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311"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131"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409" w:type="dxa"/>
            <w:vMerge/>
            <w:tcBorders>
              <w:top w:val="single" w:sz="4" w:space="0" w:color="000001"/>
              <w:left w:val="single" w:sz="4" w:space="0" w:color="000001"/>
              <w:bottom w:val="single" w:sz="4" w:space="0" w:color="000001"/>
              <w:right w:val="single" w:sz="4" w:space="0" w:color="000001"/>
            </w:tcBorders>
            <w:shd w:val="clear" w:color="auto" w:fill="auto"/>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r>
      <w:tr w:rsidR="002C54E6">
        <w:trPr>
          <w:cantSplit/>
        </w:trPr>
        <w:tc>
          <w:tcPr>
            <w:tcW w:w="1796"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Miasto na p. pow.</w:t>
            </w:r>
          </w:p>
        </w:tc>
        <w:tc>
          <w:tcPr>
            <w:tcW w:w="2055"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Oleśnica</w:t>
            </w:r>
          </w:p>
        </w:tc>
        <w:tc>
          <w:tcPr>
            <w:tcW w:w="1414"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311"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131"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409" w:type="dxa"/>
            <w:vMerge/>
            <w:tcBorders>
              <w:top w:val="single" w:sz="4" w:space="0" w:color="000001"/>
              <w:left w:val="single" w:sz="4" w:space="0" w:color="000001"/>
              <w:bottom w:val="single" w:sz="4" w:space="0" w:color="000001"/>
              <w:right w:val="single" w:sz="4" w:space="0" w:color="000001"/>
            </w:tcBorders>
            <w:shd w:val="clear" w:color="auto" w:fill="auto"/>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r>
      <w:tr w:rsidR="002C54E6">
        <w:tc>
          <w:tcPr>
            <w:tcW w:w="1796" w:type="dxa"/>
            <w:tcBorders>
              <w:top w:val="single" w:sz="4" w:space="0" w:color="000001"/>
              <w:left w:val="single" w:sz="4" w:space="0" w:color="000001"/>
              <w:bottom w:val="single" w:sz="4" w:space="0" w:color="000001"/>
            </w:tcBorders>
            <w:shd w:val="clear" w:color="auto" w:fill="BDD6EE"/>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US Białystok</w:t>
            </w:r>
          </w:p>
        </w:tc>
        <w:tc>
          <w:tcPr>
            <w:tcW w:w="2055" w:type="dxa"/>
            <w:tcBorders>
              <w:top w:val="single" w:sz="4" w:space="0" w:color="000001"/>
              <w:left w:val="single" w:sz="4" w:space="0" w:color="000001"/>
              <w:bottom w:val="single" w:sz="4" w:space="0" w:color="000001"/>
            </w:tcBorders>
            <w:shd w:val="clear" w:color="auto" w:fill="BDD6EE"/>
            <w:tcMar>
              <w:left w:w="68" w:type="dxa"/>
            </w:tcMar>
          </w:tcPr>
          <w:p w:rsidR="002C54E6" w:rsidRDefault="002C54E6">
            <w:pPr>
              <w:suppressAutoHyphens w:val="0"/>
              <w:snapToGrid w:val="0"/>
              <w:spacing w:line="240" w:lineRule="auto"/>
              <w:rPr>
                <w:rFonts w:eastAsia="Times New Roman" w:cs="Times New Roman"/>
                <w:b/>
                <w:bCs/>
                <w:sz w:val="18"/>
                <w:szCs w:val="18"/>
                <w:lang w:eastAsia="ar-SA" w:bidi="ar-SA"/>
              </w:rPr>
            </w:pPr>
          </w:p>
        </w:tc>
        <w:tc>
          <w:tcPr>
            <w:tcW w:w="1414" w:type="dxa"/>
            <w:tcBorders>
              <w:top w:val="single" w:sz="4" w:space="0" w:color="000001"/>
              <w:left w:val="single" w:sz="4" w:space="0" w:color="000001"/>
              <w:bottom w:val="single" w:sz="4" w:space="0" w:color="000001"/>
            </w:tcBorders>
            <w:shd w:val="clear" w:color="auto" w:fill="BDD6EE"/>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311" w:type="dxa"/>
            <w:tcBorders>
              <w:top w:val="single" w:sz="4" w:space="0" w:color="000001"/>
              <w:left w:val="single" w:sz="4" w:space="0" w:color="000001"/>
              <w:bottom w:val="single" w:sz="4" w:space="0" w:color="000001"/>
            </w:tcBorders>
            <w:shd w:val="clear" w:color="auto" w:fill="BDD6EE"/>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131" w:type="dxa"/>
            <w:tcBorders>
              <w:top w:val="single" w:sz="4" w:space="0" w:color="000001"/>
              <w:left w:val="single" w:sz="4" w:space="0" w:color="000001"/>
              <w:bottom w:val="single" w:sz="4" w:space="0" w:color="000001"/>
            </w:tcBorders>
            <w:shd w:val="clear" w:color="auto" w:fill="BDD6EE"/>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409" w:type="dxa"/>
            <w:tcBorders>
              <w:top w:val="single" w:sz="4" w:space="0" w:color="000001"/>
              <w:left w:val="single" w:sz="4" w:space="0" w:color="000001"/>
              <w:bottom w:val="single" w:sz="4" w:space="0" w:color="000001"/>
              <w:right w:val="single" w:sz="4" w:space="0" w:color="000001"/>
            </w:tcBorders>
            <w:shd w:val="clear" w:color="auto" w:fill="BDD6EE"/>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r>
      <w:tr w:rsidR="002C54E6">
        <w:trPr>
          <w:cantSplit/>
        </w:trPr>
        <w:tc>
          <w:tcPr>
            <w:tcW w:w="1796"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Gmina (miejsko-wiejska)</w:t>
            </w:r>
          </w:p>
        </w:tc>
        <w:tc>
          <w:tcPr>
            <w:tcW w:w="2055"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Zabłudów</w:t>
            </w:r>
          </w:p>
        </w:tc>
        <w:tc>
          <w:tcPr>
            <w:tcW w:w="1414" w:type="dxa"/>
            <w:vMerge w:val="restart"/>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p w:rsidR="002C54E6" w:rsidRDefault="002C54E6">
            <w:pPr>
              <w:suppressAutoHyphens w:val="0"/>
              <w:spacing w:line="240" w:lineRule="auto"/>
              <w:jc w:val="center"/>
              <w:rPr>
                <w:rFonts w:eastAsia="Times New Roman" w:cs="Times New Roman"/>
                <w:b/>
                <w:bCs/>
                <w:sz w:val="18"/>
                <w:szCs w:val="18"/>
                <w:lang w:eastAsia="ar-SA" w:bidi="ar-SA"/>
              </w:rPr>
            </w:pPr>
          </w:p>
          <w:p w:rsidR="002C54E6" w:rsidRDefault="00D752E7">
            <w:pPr>
              <w:suppressAutoHyphens w:val="0"/>
              <w:spacing w:line="240" w:lineRule="auto"/>
              <w:jc w:val="center"/>
              <w:rPr>
                <w:rFonts w:cs="Times New Roman"/>
                <w:sz w:val="18"/>
                <w:szCs w:val="18"/>
              </w:rPr>
            </w:pPr>
            <w:r>
              <w:rPr>
                <w:rFonts w:eastAsia="Times New Roman" w:cs="Times New Roman"/>
                <w:b/>
                <w:bCs/>
                <w:sz w:val="18"/>
                <w:szCs w:val="18"/>
                <w:lang w:eastAsia="ar-SA" w:bidi="ar-SA"/>
              </w:rPr>
              <w:t>69</w:t>
            </w:r>
          </w:p>
        </w:tc>
        <w:tc>
          <w:tcPr>
            <w:tcW w:w="1311" w:type="dxa"/>
            <w:vMerge w:val="restart"/>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p w:rsidR="002C54E6" w:rsidRDefault="002C54E6">
            <w:pPr>
              <w:suppressAutoHyphens w:val="0"/>
              <w:spacing w:line="240" w:lineRule="auto"/>
              <w:jc w:val="center"/>
              <w:rPr>
                <w:rFonts w:eastAsia="Times New Roman" w:cs="Times New Roman"/>
                <w:b/>
                <w:bCs/>
                <w:sz w:val="18"/>
                <w:szCs w:val="18"/>
                <w:lang w:eastAsia="ar-SA" w:bidi="ar-SA"/>
              </w:rPr>
            </w:pPr>
          </w:p>
          <w:p w:rsidR="002C54E6" w:rsidRDefault="00D752E7">
            <w:pPr>
              <w:suppressAutoHyphens w:val="0"/>
              <w:spacing w:line="240" w:lineRule="auto"/>
              <w:jc w:val="center"/>
              <w:rPr>
                <w:rFonts w:cs="Times New Roman"/>
                <w:sz w:val="18"/>
                <w:szCs w:val="18"/>
              </w:rPr>
            </w:pPr>
            <w:r>
              <w:rPr>
                <w:rFonts w:eastAsia="Times New Roman" w:cs="Times New Roman"/>
                <w:b/>
                <w:bCs/>
                <w:sz w:val="18"/>
                <w:szCs w:val="18"/>
                <w:lang w:eastAsia="ar-SA" w:bidi="ar-SA"/>
              </w:rPr>
              <w:t>21</w:t>
            </w:r>
          </w:p>
        </w:tc>
        <w:tc>
          <w:tcPr>
            <w:tcW w:w="1131" w:type="dxa"/>
            <w:vMerge w:val="restart"/>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p w:rsidR="002C54E6" w:rsidRDefault="002C54E6">
            <w:pPr>
              <w:suppressAutoHyphens w:val="0"/>
              <w:spacing w:line="240" w:lineRule="auto"/>
              <w:jc w:val="center"/>
              <w:rPr>
                <w:rFonts w:eastAsia="Times New Roman" w:cs="Times New Roman"/>
                <w:b/>
                <w:bCs/>
                <w:sz w:val="18"/>
                <w:szCs w:val="18"/>
                <w:lang w:eastAsia="ar-SA" w:bidi="ar-SA"/>
              </w:rPr>
            </w:pPr>
          </w:p>
          <w:p w:rsidR="002C54E6" w:rsidRDefault="00D752E7">
            <w:pPr>
              <w:suppressAutoHyphens w:val="0"/>
              <w:spacing w:line="240" w:lineRule="auto"/>
              <w:jc w:val="center"/>
              <w:rPr>
                <w:rFonts w:cs="Times New Roman"/>
                <w:sz w:val="18"/>
                <w:szCs w:val="18"/>
              </w:rPr>
            </w:pPr>
            <w:r>
              <w:rPr>
                <w:rFonts w:eastAsia="Times New Roman" w:cs="Times New Roman"/>
                <w:b/>
                <w:bCs/>
                <w:sz w:val="18"/>
                <w:szCs w:val="18"/>
                <w:lang w:eastAsia="ar-SA" w:bidi="ar-SA"/>
              </w:rPr>
              <w:t>123</w:t>
            </w:r>
          </w:p>
        </w:tc>
        <w:tc>
          <w:tcPr>
            <w:tcW w:w="1409" w:type="dxa"/>
            <w:vMerge w:val="restart"/>
            <w:tcBorders>
              <w:top w:val="single" w:sz="4" w:space="0" w:color="000001"/>
              <w:left w:val="single" w:sz="4" w:space="0" w:color="000001"/>
              <w:bottom w:val="single" w:sz="4" w:space="0" w:color="000001"/>
              <w:right w:val="single" w:sz="4" w:space="0" w:color="000001"/>
            </w:tcBorders>
            <w:shd w:val="clear" w:color="auto" w:fill="auto"/>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p w:rsidR="002C54E6" w:rsidRDefault="002C54E6">
            <w:pPr>
              <w:suppressAutoHyphens w:val="0"/>
              <w:spacing w:line="240" w:lineRule="auto"/>
              <w:jc w:val="center"/>
              <w:rPr>
                <w:rFonts w:eastAsia="Times New Roman" w:cs="Times New Roman"/>
                <w:b/>
                <w:bCs/>
                <w:sz w:val="18"/>
                <w:szCs w:val="18"/>
                <w:lang w:eastAsia="ar-SA" w:bidi="ar-SA"/>
              </w:rPr>
            </w:pPr>
          </w:p>
          <w:p w:rsidR="002C54E6" w:rsidRDefault="00D752E7">
            <w:pPr>
              <w:suppressAutoHyphens w:val="0"/>
              <w:spacing w:line="240" w:lineRule="auto"/>
              <w:jc w:val="center"/>
              <w:rPr>
                <w:rFonts w:cs="Times New Roman"/>
                <w:sz w:val="18"/>
                <w:szCs w:val="18"/>
              </w:rPr>
            </w:pPr>
            <w:r>
              <w:rPr>
                <w:rFonts w:eastAsia="Times New Roman" w:cs="Times New Roman"/>
                <w:b/>
                <w:bCs/>
                <w:sz w:val="18"/>
                <w:szCs w:val="18"/>
                <w:lang w:eastAsia="ar-SA" w:bidi="ar-SA"/>
              </w:rPr>
              <w:t>213</w:t>
            </w:r>
          </w:p>
        </w:tc>
      </w:tr>
      <w:tr w:rsidR="002C54E6">
        <w:trPr>
          <w:cantSplit/>
        </w:trPr>
        <w:tc>
          <w:tcPr>
            <w:tcW w:w="1796"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Powiat (starostwo powiatowe)</w:t>
            </w:r>
          </w:p>
        </w:tc>
        <w:tc>
          <w:tcPr>
            <w:tcW w:w="2055"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Mońki</w:t>
            </w:r>
          </w:p>
        </w:tc>
        <w:tc>
          <w:tcPr>
            <w:tcW w:w="1414"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311"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131"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409" w:type="dxa"/>
            <w:vMerge/>
            <w:tcBorders>
              <w:top w:val="single" w:sz="4" w:space="0" w:color="000001"/>
              <w:left w:val="single" w:sz="4" w:space="0" w:color="000001"/>
              <w:bottom w:val="single" w:sz="4" w:space="0" w:color="000001"/>
              <w:right w:val="single" w:sz="4" w:space="0" w:color="000001"/>
            </w:tcBorders>
            <w:shd w:val="clear" w:color="auto" w:fill="auto"/>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r>
      <w:tr w:rsidR="002C54E6">
        <w:trPr>
          <w:cantSplit/>
        </w:trPr>
        <w:tc>
          <w:tcPr>
            <w:tcW w:w="1796"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Miasto na p. pow.</w:t>
            </w:r>
          </w:p>
        </w:tc>
        <w:tc>
          <w:tcPr>
            <w:tcW w:w="2055"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Białystok</w:t>
            </w:r>
          </w:p>
        </w:tc>
        <w:tc>
          <w:tcPr>
            <w:tcW w:w="1414"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311"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131"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409" w:type="dxa"/>
            <w:vMerge/>
            <w:tcBorders>
              <w:top w:val="single" w:sz="4" w:space="0" w:color="000001"/>
              <w:left w:val="single" w:sz="4" w:space="0" w:color="000001"/>
              <w:bottom w:val="single" w:sz="4" w:space="0" w:color="000001"/>
              <w:right w:val="single" w:sz="4" w:space="0" w:color="000001"/>
            </w:tcBorders>
            <w:shd w:val="clear" w:color="auto" w:fill="auto"/>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r>
      <w:tr w:rsidR="002C54E6">
        <w:tc>
          <w:tcPr>
            <w:tcW w:w="1796" w:type="dxa"/>
            <w:tcBorders>
              <w:top w:val="single" w:sz="4" w:space="0" w:color="000001"/>
              <w:left w:val="single" w:sz="4" w:space="0" w:color="000001"/>
              <w:bottom w:val="single" w:sz="4" w:space="0" w:color="000001"/>
            </w:tcBorders>
            <w:shd w:val="clear" w:color="auto" w:fill="BDD6EE"/>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US Gdańsk</w:t>
            </w:r>
          </w:p>
        </w:tc>
        <w:tc>
          <w:tcPr>
            <w:tcW w:w="2055" w:type="dxa"/>
            <w:tcBorders>
              <w:top w:val="single" w:sz="4" w:space="0" w:color="000001"/>
              <w:left w:val="single" w:sz="4" w:space="0" w:color="000001"/>
              <w:bottom w:val="single" w:sz="4" w:space="0" w:color="000001"/>
            </w:tcBorders>
            <w:shd w:val="clear" w:color="auto" w:fill="BDD6EE"/>
            <w:tcMar>
              <w:left w:w="68" w:type="dxa"/>
            </w:tcMar>
          </w:tcPr>
          <w:p w:rsidR="002C54E6" w:rsidRDefault="002C54E6">
            <w:pPr>
              <w:suppressAutoHyphens w:val="0"/>
              <w:snapToGrid w:val="0"/>
              <w:spacing w:line="240" w:lineRule="auto"/>
              <w:rPr>
                <w:rFonts w:eastAsia="Times New Roman" w:cs="Times New Roman"/>
                <w:b/>
                <w:bCs/>
                <w:sz w:val="18"/>
                <w:szCs w:val="18"/>
                <w:lang w:eastAsia="ar-SA" w:bidi="ar-SA"/>
              </w:rPr>
            </w:pPr>
          </w:p>
        </w:tc>
        <w:tc>
          <w:tcPr>
            <w:tcW w:w="1414" w:type="dxa"/>
            <w:tcBorders>
              <w:top w:val="single" w:sz="4" w:space="0" w:color="000001"/>
              <w:left w:val="single" w:sz="4" w:space="0" w:color="000001"/>
              <w:bottom w:val="single" w:sz="4" w:space="0" w:color="000001"/>
            </w:tcBorders>
            <w:shd w:val="clear" w:color="auto" w:fill="BDD6EE"/>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311" w:type="dxa"/>
            <w:tcBorders>
              <w:top w:val="single" w:sz="4" w:space="0" w:color="000001"/>
              <w:left w:val="single" w:sz="4" w:space="0" w:color="000001"/>
              <w:bottom w:val="single" w:sz="4" w:space="0" w:color="000001"/>
            </w:tcBorders>
            <w:shd w:val="clear" w:color="auto" w:fill="BDD6EE"/>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131" w:type="dxa"/>
            <w:tcBorders>
              <w:top w:val="single" w:sz="4" w:space="0" w:color="000001"/>
              <w:left w:val="single" w:sz="4" w:space="0" w:color="000001"/>
              <w:bottom w:val="single" w:sz="4" w:space="0" w:color="000001"/>
            </w:tcBorders>
            <w:shd w:val="clear" w:color="auto" w:fill="BDD6EE"/>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409" w:type="dxa"/>
            <w:tcBorders>
              <w:top w:val="single" w:sz="4" w:space="0" w:color="000001"/>
              <w:left w:val="single" w:sz="4" w:space="0" w:color="000001"/>
              <w:bottom w:val="single" w:sz="4" w:space="0" w:color="000001"/>
              <w:right w:val="single" w:sz="4" w:space="0" w:color="000001"/>
            </w:tcBorders>
            <w:shd w:val="clear" w:color="auto" w:fill="BDD6EE"/>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r>
      <w:tr w:rsidR="002C54E6">
        <w:trPr>
          <w:cantSplit/>
        </w:trPr>
        <w:tc>
          <w:tcPr>
            <w:tcW w:w="1796"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Gmina</w:t>
            </w:r>
          </w:p>
        </w:tc>
        <w:tc>
          <w:tcPr>
            <w:tcW w:w="2055"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Lipusz</w:t>
            </w:r>
          </w:p>
        </w:tc>
        <w:tc>
          <w:tcPr>
            <w:tcW w:w="1414" w:type="dxa"/>
            <w:vMerge w:val="restart"/>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p w:rsidR="002C54E6" w:rsidRDefault="00D752E7">
            <w:pPr>
              <w:suppressAutoHyphens w:val="0"/>
              <w:spacing w:line="240" w:lineRule="auto"/>
              <w:jc w:val="center"/>
              <w:rPr>
                <w:rFonts w:cs="Times New Roman"/>
                <w:sz w:val="18"/>
                <w:szCs w:val="18"/>
              </w:rPr>
            </w:pPr>
            <w:r>
              <w:rPr>
                <w:rFonts w:eastAsia="Times New Roman" w:cs="Times New Roman"/>
                <w:b/>
                <w:bCs/>
                <w:sz w:val="18"/>
                <w:szCs w:val="18"/>
                <w:lang w:eastAsia="ar-SA" w:bidi="ar-SA"/>
              </w:rPr>
              <w:t>42</w:t>
            </w:r>
          </w:p>
        </w:tc>
        <w:tc>
          <w:tcPr>
            <w:tcW w:w="1311" w:type="dxa"/>
            <w:vMerge w:val="restart"/>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p w:rsidR="002C54E6" w:rsidRDefault="00D752E7">
            <w:pPr>
              <w:suppressAutoHyphens w:val="0"/>
              <w:spacing w:line="240" w:lineRule="auto"/>
              <w:jc w:val="center"/>
              <w:rPr>
                <w:rFonts w:cs="Times New Roman"/>
                <w:sz w:val="18"/>
                <w:szCs w:val="18"/>
              </w:rPr>
            </w:pPr>
            <w:r>
              <w:rPr>
                <w:rFonts w:eastAsia="Times New Roman" w:cs="Times New Roman"/>
                <w:b/>
                <w:bCs/>
                <w:sz w:val="18"/>
                <w:szCs w:val="18"/>
                <w:lang w:eastAsia="ar-SA" w:bidi="ar-SA"/>
              </w:rPr>
              <w:t>24</w:t>
            </w:r>
          </w:p>
        </w:tc>
        <w:tc>
          <w:tcPr>
            <w:tcW w:w="1131" w:type="dxa"/>
            <w:vMerge w:val="restart"/>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p w:rsidR="002C54E6" w:rsidRDefault="00D752E7">
            <w:pPr>
              <w:suppressAutoHyphens w:val="0"/>
              <w:spacing w:line="240" w:lineRule="auto"/>
              <w:jc w:val="center"/>
              <w:rPr>
                <w:rFonts w:cs="Times New Roman"/>
                <w:sz w:val="18"/>
                <w:szCs w:val="18"/>
              </w:rPr>
            </w:pPr>
            <w:r>
              <w:rPr>
                <w:rFonts w:eastAsia="Times New Roman" w:cs="Times New Roman"/>
                <w:b/>
                <w:bCs/>
                <w:sz w:val="18"/>
                <w:szCs w:val="18"/>
                <w:lang w:eastAsia="ar-SA" w:bidi="ar-SA"/>
              </w:rPr>
              <w:t>98</w:t>
            </w:r>
          </w:p>
        </w:tc>
        <w:tc>
          <w:tcPr>
            <w:tcW w:w="1409" w:type="dxa"/>
            <w:vMerge w:val="restart"/>
            <w:tcBorders>
              <w:top w:val="single" w:sz="4" w:space="0" w:color="000001"/>
              <w:left w:val="single" w:sz="4" w:space="0" w:color="000001"/>
              <w:bottom w:val="single" w:sz="4" w:space="0" w:color="000001"/>
              <w:right w:val="single" w:sz="4" w:space="0" w:color="000001"/>
            </w:tcBorders>
            <w:shd w:val="clear" w:color="auto" w:fill="auto"/>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p w:rsidR="002C54E6" w:rsidRDefault="00D752E7">
            <w:pPr>
              <w:suppressAutoHyphens w:val="0"/>
              <w:spacing w:line="240" w:lineRule="auto"/>
              <w:jc w:val="center"/>
              <w:rPr>
                <w:rFonts w:cs="Times New Roman"/>
                <w:sz w:val="18"/>
                <w:szCs w:val="18"/>
              </w:rPr>
            </w:pPr>
            <w:r>
              <w:rPr>
                <w:rFonts w:eastAsia="Times New Roman" w:cs="Times New Roman"/>
                <w:b/>
                <w:bCs/>
                <w:sz w:val="18"/>
                <w:szCs w:val="18"/>
                <w:lang w:eastAsia="ar-SA" w:bidi="ar-SA"/>
              </w:rPr>
              <w:t>164</w:t>
            </w:r>
          </w:p>
        </w:tc>
      </w:tr>
      <w:tr w:rsidR="002C54E6">
        <w:trPr>
          <w:cantSplit/>
        </w:trPr>
        <w:tc>
          <w:tcPr>
            <w:tcW w:w="1796"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Powiat</w:t>
            </w:r>
          </w:p>
        </w:tc>
        <w:tc>
          <w:tcPr>
            <w:tcW w:w="2055"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Słupsk</w:t>
            </w:r>
          </w:p>
        </w:tc>
        <w:tc>
          <w:tcPr>
            <w:tcW w:w="1414"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311"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131"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409" w:type="dxa"/>
            <w:vMerge/>
            <w:tcBorders>
              <w:top w:val="single" w:sz="4" w:space="0" w:color="000001"/>
              <w:left w:val="single" w:sz="4" w:space="0" w:color="000001"/>
              <w:bottom w:val="single" w:sz="4" w:space="0" w:color="000001"/>
              <w:right w:val="single" w:sz="4" w:space="0" w:color="000001"/>
            </w:tcBorders>
            <w:shd w:val="clear" w:color="auto" w:fill="auto"/>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r>
      <w:tr w:rsidR="002C54E6">
        <w:trPr>
          <w:cantSplit/>
        </w:trPr>
        <w:tc>
          <w:tcPr>
            <w:tcW w:w="1796"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Miasto na p. pow.</w:t>
            </w:r>
          </w:p>
        </w:tc>
        <w:tc>
          <w:tcPr>
            <w:tcW w:w="2055"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Gdynia</w:t>
            </w:r>
          </w:p>
        </w:tc>
        <w:tc>
          <w:tcPr>
            <w:tcW w:w="1414"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311"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131"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409" w:type="dxa"/>
            <w:vMerge/>
            <w:tcBorders>
              <w:top w:val="single" w:sz="4" w:space="0" w:color="000001"/>
              <w:left w:val="single" w:sz="4" w:space="0" w:color="000001"/>
              <w:bottom w:val="single" w:sz="4" w:space="0" w:color="000001"/>
              <w:right w:val="single" w:sz="4" w:space="0" w:color="000001"/>
            </w:tcBorders>
            <w:shd w:val="clear" w:color="auto" w:fill="auto"/>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r>
      <w:tr w:rsidR="002C54E6">
        <w:tc>
          <w:tcPr>
            <w:tcW w:w="1796" w:type="dxa"/>
            <w:tcBorders>
              <w:top w:val="single" w:sz="4" w:space="0" w:color="000001"/>
              <w:left w:val="single" w:sz="4" w:space="0" w:color="000001"/>
              <w:bottom w:val="single" w:sz="4" w:space="0" w:color="000001"/>
            </w:tcBorders>
            <w:shd w:val="clear" w:color="auto" w:fill="BDD6EE"/>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US Zielona Góra</w:t>
            </w:r>
          </w:p>
        </w:tc>
        <w:tc>
          <w:tcPr>
            <w:tcW w:w="2055" w:type="dxa"/>
            <w:tcBorders>
              <w:top w:val="single" w:sz="4" w:space="0" w:color="000001"/>
              <w:left w:val="single" w:sz="4" w:space="0" w:color="000001"/>
              <w:bottom w:val="single" w:sz="4" w:space="0" w:color="000001"/>
            </w:tcBorders>
            <w:shd w:val="clear" w:color="auto" w:fill="BDD6EE"/>
            <w:tcMar>
              <w:left w:w="68" w:type="dxa"/>
            </w:tcMar>
          </w:tcPr>
          <w:p w:rsidR="002C54E6" w:rsidRDefault="002C54E6">
            <w:pPr>
              <w:suppressAutoHyphens w:val="0"/>
              <w:snapToGrid w:val="0"/>
              <w:spacing w:line="240" w:lineRule="auto"/>
              <w:rPr>
                <w:rFonts w:eastAsia="Times New Roman" w:cs="Times New Roman"/>
                <w:b/>
                <w:bCs/>
                <w:sz w:val="18"/>
                <w:szCs w:val="18"/>
                <w:lang w:eastAsia="ar-SA" w:bidi="ar-SA"/>
              </w:rPr>
            </w:pPr>
          </w:p>
        </w:tc>
        <w:tc>
          <w:tcPr>
            <w:tcW w:w="1414" w:type="dxa"/>
            <w:tcBorders>
              <w:top w:val="single" w:sz="4" w:space="0" w:color="000001"/>
              <w:left w:val="single" w:sz="4" w:space="0" w:color="000001"/>
              <w:bottom w:val="single" w:sz="4" w:space="0" w:color="000001"/>
            </w:tcBorders>
            <w:shd w:val="clear" w:color="auto" w:fill="BDD6EE"/>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311" w:type="dxa"/>
            <w:tcBorders>
              <w:top w:val="single" w:sz="4" w:space="0" w:color="000001"/>
              <w:left w:val="single" w:sz="4" w:space="0" w:color="000001"/>
              <w:bottom w:val="single" w:sz="4" w:space="0" w:color="000001"/>
            </w:tcBorders>
            <w:shd w:val="clear" w:color="auto" w:fill="BDD6EE"/>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131" w:type="dxa"/>
            <w:tcBorders>
              <w:top w:val="single" w:sz="4" w:space="0" w:color="000001"/>
              <w:left w:val="single" w:sz="4" w:space="0" w:color="000001"/>
              <w:bottom w:val="single" w:sz="4" w:space="0" w:color="000001"/>
            </w:tcBorders>
            <w:shd w:val="clear" w:color="auto" w:fill="BDD6EE"/>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c>
          <w:tcPr>
            <w:tcW w:w="1409" w:type="dxa"/>
            <w:tcBorders>
              <w:top w:val="single" w:sz="4" w:space="0" w:color="000001"/>
              <w:left w:val="single" w:sz="4" w:space="0" w:color="000001"/>
              <w:bottom w:val="single" w:sz="4" w:space="0" w:color="000001"/>
              <w:right w:val="single" w:sz="4" w:space="0" w:color="000001"/>
            </w:tcBorders>
            <w:shd w:val="clear" w:color="auto" w:fill="BDD6EE"/>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tc>
      </w:tr>
      <w:tr w:rsidR="002C54E6">
        <w:trPr>
          <w:cantSplit/>
        </w:trPr>
        <w:tc>
          <w:tcPr>
            <w:tcW w:w="1796"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Gmina</w:t>
            </w:r>
          </w:p>
        </w:tc>
        <w:tc>
          <w:tcPr>
            <w:tcW w:w="2055"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Trzebiechów</w:t>
            </w:r>
          </w:p>
        </w:tc>
        <w:tc>
          <w:tcPr>
            <w:tcW w:w="1414" w:type="dxa"/>
            <w:vMerge w:val="restart"/>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p w:rsidR="002C54E6" w:rsidRDefault="002C54E6">
            <w:pPr>
              <w:suppressAutoHyphens w:val="0"/>
              <w:spacing w:line="240" w:lineRule="auto"/>
              <w:jc w:val="center"/>
              <w:rPr>
                <w:rFonts w:eastAsia="Times New Roman" w:cs="Times New Roman"/>
                <w:b/>
                <w:bCs/>
                <w:sz w:val="18"/>
                <w:szCs w:val="18"/>
                <w:lang w:eastAsia="ar-SA" w:bidi="ar-SA"/>
              </w:rPr>
            </w:pPr>
          </w:p>
          <w:p w:rsidR="002C54E6" w:rsidRDefault="00D752E7">
            <w:pPr>
              <w:suppressAutoHyphens w:val="0"/>
              <w:spacing w:line="240" w:lineRule="auto"/>
              <w:jc w:val="center"/>
              <w:rPr>
                <w:rFonts w:cs="Times New Roman"/>
                <w:sz w:val="18"/>
                <w:szCs w:val="18"/>
              </w:rPr>
            </w:pPr>
            <w:r>
              <w:rPr>
                <w:rFonts w:eastAsia="Times New Roman" w:cs="Times New Roman"/>
                <w:b/>
                <w:bCs/>
                <w:sz w:val="18"/>
                <w:szCs w:val="18"/>
                <w:lang w:eastAsia="ar-SA" w:bidi="ar-SA"/>
              </w:rPr>
              <w:t>28</w:t>
            </w:r>
          </w:p>
        </w:tc>
        <w:tc>
          <w:tcPr>
            <w:tcW w:w="1311" w:type="dxa"/>
            <w:vMerge w:val="restart"/>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p w:rsidR="002C54E6" w:rsidRDefault="002C54E6">
            <w:pPr>
              <w:suppressAutoHyphens w:val="0"/>
              <w:spacing w:line="240" w:lineRule="auto"/>
              <w:jc w:val="center"/>
              <w:rPr>
                <w:rFonts w:eastAsia="Times New Roman" w:cs="Times New Roman"/>
                <w:b/>
                <w:bCs/>
                <w:sz w:val="18"/>
                <w:szCs w:val="18"/>
                <w:lang w:eastAsia="ar-SA" w:bidi="ar-SA"/>
              </w:rPr>
            </w:pPr>
          </w:p>
          <w:p w:rsidR="002C54E6" w:rsidRDefault="00D752E7">
            <w:pPr>
              <w:suppressAutoHyphens w:val="0"/>
              <w:spacing w:line="240" w:lineRule="auto"/>
              <w:jc w:val="center"/>
              <w:rPr>
                <w:rFonts w:cs="Times New Roman"/>
                <w:sz w:val="18"/>
                <w:szCs w:val="18"/>
              </w:rPr>
            </w:pPr>
            <w:r>
              <w:rPr>
                <w:rFonts w:eastAsia="Times New Roman" w:cs="Times New Roman"/>
                <w:b/>
                <w:bCs/>
                <w:sz w:val="18"/>
                <w:szCs w:val="18"/>
                <w:lang w:eastAsia="ar-SA" w:bidi="ar-SA"/>
              </w:rPr>
              <w:t>22</w:t>
            </w:r>
          </w:p>
        </w:tc>
        <w:tc>
          <w:tcPr>
            <w:tcW w:w="1131" w:type="dxa"/>
            <w:vMerge w:val="restart"/>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p w:rsidR="002C54E6" w:rsidRDefault="002C54E6">
            <w:pPr>
              <w:suppressAutoHyphens w:val="0"/>
              <w:spacing w:line="240" w:lineRule="auto"/>
              <w:jc w:val="center"/>
              <w:rPr>
                <w:rFonts w:eastAsia="Times New Roman" w:cs="Times New Roman"/>
                <w:b/>
                <w:bCs/>
                <w:sz w:val="18"/>
                <w:szCs w:val="18"/>
                <w:lang w:eastAsia="ar-SA" w:bidi="ar-SA"/>
              </w:rPr>
            </w:pPr>
          </w:p>
          <w:p w:rsidR="002C54E6" w:rsidRDefault="00D752E7">
            <w:pPr>
              <w:suppressAutoHyphens w:val="0"/>
              <w:spacing w:line="240" w:lineRule="auto"/>
              <w:jc w:val="center"/>
              <w:rPr>
                <w:rFonts w:cs="Times New Roman"/>
                <w:sz w:val="18"/>
                <w:szCs w:val="18"/>
              </w:rPr>
            </w:pPr>
            <w:r>
              <w:rPr>
                <w:rFonts w:eastAsia="Times New Roman" w:cs="Times New Roman"/>
                <w:b/>
                <w:bCs/>
                <w:sz w:val="18"/>
                <w:szCs w:val="18"/>
                <w:lang w:eastAsia="ar-SA" w:bidi="ar-SA"/>
              </w:rPr>
              <w:t>164</w:t>
            </w:r>
          </w:p>
        </w:tc>
        <w:tc>
          <w:tcPr>
            <w:tcW w:w="1409" w:type="dxa"/>
            <w:vMerge w:val="restart"/>
            <w:tcBorders>
              <w:top w:val="single" w:sz="4" w:space="0" w:color="000001"/>
              <w:left w:val="single" w:sz="4" w:space="0" w:color="000001"/>
              <w:bottom w:val="single" w:sz="4" w:space="0" w:color="000001"/>
              <w:right w:val="single" w:sz="4" w:space="0" w:color="000001"/>
            </w:tcBorders>
            <w:shd w:val="clear" w:color="auto" w:fill="auto"/>
            <w:tcMar>
              <w:left w:w="68" w:type="dxa"/>
            </w:tcMar>
          </w:tcPr>
          <w:p w:rsidR="002C54E6" w:rsidRDefault="002C54E6">
            <w:pPr>
              <w:suppressAutoHyphens w:val="0"/>
              <w:snapToGrid w:val="0"/>
              <w:spacing w:line="240" w:lineRule="auto"/>
              <w:jc w:val="center"/>
              <w:rPr>
                <w:rFonts w:eastAsia="Times New Roman" w:cs="Times New Roman"/>
                <w:b/>
                <w:bCs/>
                <w:sz w:val="18"/>
                <w:szCs w:val="18"/>
                <w:lang w:eastAsia="ar-SA" w:bidi="ar-SA"/>
              </w:rPr>
            </w:pPr>
          </w:p>
          <w:p w:rsidR="002C54E6" w:rsidRDefault="002C54E6">
            <w:pPr>
              <w:suppressAutoHyphens w:val="0"/>
              <w:spacing w:line="240" w:lineRule="auto"/>
              <w:jc w:val="center"/>
              <w:rPr>
                <w:rFonts w:eastAsia="Times New Roman" w:cs="Times New Roman"/>
                <w:b/>
                <w:bCs/>
                <w:sz w:val="18"/>
                <w:szCs w:val="18"/>
                <w:lang w:eastAsia="ar-SA" w:bidi="ar-SA"/>
              </w:rPr>
            </w:pPr>
          </w:p>
          <w:p w:rsidR="002C54E6" w:rsidRDefault="00D752E7">
            <w:pPr>
              <w:suppressAutoHyphens w:val="0"/>
              <w:spacing w:line="240" w:lineRule="auto"/>
              <w:jc w:val="center"/>
              <w:rPr>
                <w:rFonts w:cs="Times New Roman"/>
                <w:sz w:val="18"/>
                <w:szCs w:val="18"/>
              </w:rPr>
            </w:pPr>
            <w:r>
              <w:rPr>
                <w:rFonts w:eastAsia="Times New Roman" w:cs="Times New Roman"/>
                <w:b/>
                <w:bCs/>
                <w:sz w:val="18"/>
                <w:szCs w:val="18"/>
                <w:lang w:eastAsia="ar-SA" w:bidi="ar-SA"/>
              </w:rPr>
              <w:t>214</w:t>
            </w:r>
          </w:p>
        </w:tc>
      </w:tr>
      <w:tr w:rsidR="002C54E6">
        <w:trPr>
          <w:cantSplit/>
        </w:trPr>
        <w:tc>
          <w:tcPr>
            <w:tcW w:w="1796"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Powiat</w:t>
            </w:r>
          </w:p>
        </w:tc>
        <w:tc>
          <w:tcPr>
            <w:tcW w:w="2055"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Krosno Odrzańskie</w:t>
            </w:r>
          </w:p>
        </w:tc>
        <w:tc>
          <w:tcPr>
            <w:tcW w:w="1414"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rPr>
                <w:rFonts w:eastAsia="Times New Roman" w:cs="Times New Roman"/>
                <w:b/>
                <w:bCs/>
                <w:sz w:val="18"/>
                <w:szCs w:val="18"/>
                <w:lang w:eastAsia="ar-SA" w:bidi="ar-SA"/>
              </w:rPr>
            </w:pPr>
          </w:p>
        </w:tc>
        <w:tc>
          <w:tcPr>
            <w:tcW w:w="1311"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rPr>
                <w:rFonts w:eastAsia="Times New Roman" w:cs="Times New Roman"/>
                <w:b/>
                <w:bCs/>
                <w:sz w:val="18"/>
                <w:szCs w:val="18"/>
                <w:lang w:eastAsia="ar-SA" w:bidi="ar-SA"/>
              </w:rPr>
            </w:pPr>
          </w:p>
        </w:tc>
        <w:tc>
          <w:tcPr>
            <w:tcW w:w="1131"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rPr>
                <w:rFonts w:eastAsia="Times New Roman" w:cs="Times New Roman"/>
                <w:b/>
                <w:bCs/>
                <w:sz w:val="18"/>
                <w:szCs w:val="18"/>
                <w:lang w:eastAsia="ar-SA" w:bidi="ar-SA"/>
              </w:rPr>
            </w:pPr>
          </w:p>
        </w:tc>
        <w:tc>
          <w:tcPr>
            <w:tcW w:w="1409" w:type="dxa"/>
            <w:vMerge/>
            <w:tcBorders>
              <w:top w:val="single" w:sz="4" w:space="0" w:color="000001"/>
              <w:left w:val="single" w:sz="4" w:space="0" w:color="000001"/>
              <w:bottom w:val="single" w:sz="4" w:space="0" w:color="000001"/>
              <w:right w:val="single" w:sz="4" w:space="0" w:color="000001"/>
            </w:tcBorders>
            <w:shd w:val="clear" w:color="auto" w:fill="auto"/>
            <w:tcMar>
              <w:left w:w="68" w:type="dxa"/>
            </w:tcMar>
          </w:tcPr>
          <w:p w:rsidR="002C54E6" w:rsidRDefault="002C54E6">
            <w:pPr>
              <w:suppressAutoHyphens w:val="0"/>
              <w:snapToGrid w:val="0"/>
              <w:spacing w:line="240" w:lineRule="auto"/>
              <w:rPr>
                <w:rFonts w:eastAsia="Times New Roman" w:cs="Times New Roman"/>
                <w:b/>
                <w:bCs/>
                <w:sz w:val="18"/>
                <w:szCs w:val="18"/>
                <w:lang w:eastAsia="ar-SA" w:bidi="ar-SA"/>
              </w:rPr>
            </w:pPr>
          </w:p>
        </w:tc>
      </w:tr>
      <w:tr w:rsidR="002C54E6">
        <w:trPr>
          <w:cantSplit/>
        </w:trPr>
        <w:tc>
          <w:tcPr>
            <w:tcW w:w="1796"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Miasto na p. pow.</w:t>
            </w:r>
          </w:p>
        </w:tc>
        <w:tc>
          <w:tcPr>
            <w:tcW w:w="2055" w:type="dxa"/>
            <w:tcBorders>
              <w:top w:val="single" w:sz="4" w:space="0" w:color="000001"/>
              <w:left w:val="single" w:sz="4" w:space="0" w:color="000001"/>
              <w:bottom w:val="single" w:sz="4" w:space="0" w:color="000001"/>
            </w:tcBorders>
            <w:shd w:val="clear" w:color="auto" w:fill="FFFFFF"/>
            <w:tcMar>
              <w:left w:w="68" w:type="dxa"/>
            </w:tcMar>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Zielona Góra</w:t>
            </w:r>
          </w:p>
        </w:tc>
        <w:tc>
          <w:tcPr>
            <w:tcW w:w="1414"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rPr>
                <w:rFonts w:eastAsia="Times New Roman" w:cs="Times New Roman"/>
                <w:b/>
                <w:bCs/>
                <w:sz w:val="18"/>
                <w:szCs w:val="18"/>
                <w:lang w:eastAsia="ar-SA" w:bidi="ar-SA"/>
              </w:rPr>
            </w:pPr>
          </w:p>
        </w:tc>
        <w:tc>
          <w:tcPr>
            <w:tcW w:w="1311"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rPr>
                <w:rFonts w:eastAsia="Times New Roman" w:cs="Times New Roman"/>
                <w:b/>
                <w:bCs/>
                <w:sz w:val="18"/>
                <w:szCs w:val="18"/>
                <w:lang w:eastAsia="ar-SA" w:bidi="ar-SA"/>
              </w:rPr>
            </w:pPr>
          </w:p>
        </w:tc>
        <w:tc>
          <w:tcPr>
            <w:tcW w:w="1131" w:type="dxa"/>
            <w:vMerge/>
            <w:tcBorders>
              <w:top w:val="single" w:sz="4" w:space="0" w:color="000001"/>
              <w:left w:val="single" w:sz="4" w:space="0" w:color="000001"/>
              <w:bottom w:val="single" w:sz="4" w:space="0" w:color="000001"/>
            </w:tcBorders>
            <w:shd w:val="clear" w:color="auto" w:fill="FFFFFF"/>
            <w:tcMar>
              <w:left w:w="68" w:type="dxa"/>
            </w:tcMar>
          </w:tcPr>
          <w:p w:rsidR="002C54E6" w:rsidRDefault="002C54E6">
            <w:pPr>
              <w:suppressAutoHyphens w:val="0"/>
              <w:snapToGrid w:val="0"/>
              <w:spacing w:line="240" w:lineRule="auto"/>
              <w:rPr>
                <w:rFonts w:eastAsia="Times New Roman" w:cs="Times New Roman"/>
                <w:b/>
                <w:bCs/>
                <w:sz w:val="18"/>
                <w:szCs w:val="18"/>
                <w:lang w:eastAsia="ar-SA" w:bidi="ar-SA"/>
              </w:rPr>
            </w:pPr>
          </w:p>
        </w:tc>
        <w:tc>
          <w:tcPr>
            <w:tcW w:w="1409" w:type="dxa"/>
            <w:vMerge/>
            <w:tcBorders>
              <w:top w:val="single" w:sz="4" w:space="0" w:color="000001"/>
              <w:left w:val="single" w:sz="4" w:space="0" w:color="000001"/>
              <w:bottom w:val="single" w:sz="4" w:space="0" w:color="000001"/>
              <w:right w:val="single" w:sz="4" w:space="0" w:color="000001"/>
            </w:tcBorders>
            <w:shd w:val="clear" w:color="auto" w:fill="auto"/>
            <w:tcMar>
              <w:left w:w="68" w:type="dxa"/>
            </w:tcMar>
          </w:tcPr>
          <w:p w:rsidR="002C54E6" w:rsidRDefault="002C54E6">
            <w:pPr>
              <w:suppressAutoHyphens w:val="0"/>
              <w:snapToGrid w:val="0"/>
              <w:spacing w:line="240" w:lineRule="auto"/>
              <w:rPr>
                <w:rFonts w:eastAsia="Times New Roman" w:cs="Times New Roman"/>
                <w:b/>
                <w:bCs/>
                <w:sz w:val="18"/>
                <w:szCs w:val="18"/>
                <w:lang w:eastAsia="ar-SA" w:bidi="ar-SA"/>
              </w:rPr>
            </w:pPr>
          </w:p>
        </w:tc>
      </w:tr>
    </w:tbl>
    <w:p w:rsidR="002C54E6" w:rsidRDefault="00D752E7">
      <w:pPr>
        <w:jc w:val="both"/>
        <w:rPr>
          <w:rFonts w:cs="Times New Roman"/>
          <w:sz w:val="20"/>
          <w:szCs w:val="20"/>
        </w:rPr>
      </w:pPr>
      <w:bookmarkStart w:id="16" w:name="__RefHeading__1367_1631848161"/>
      <w:bookmarkEnd w:id="16"/>
      <w:r>
        <w:rPr>
          <w:rFonts w:cs="Times New Roman"/>
          <w:sz w:val="20"/>
          <w:szCs w:val="20"/>
        </w:rPr>
        <w:t>Tabela nr 1: Liczba zidentyfikowanych sprawozdań przez Zespoły US</w:t>
      </w:r>
    </w:p>
    <w:p w:rsidR="002C54E6" w:rsidRDefault="002C54E6">
      <w:pPr>
        <w:jc w:val="both"/>
        <w:rPr>
          <w:rFonts w:ascii="Fira Sans" w:hAnsi="Fira Sans" w:cs="Fira Sans"/>
          <w:sz w:val="20"/>
          <w:szCs w:val="20"/>
        </w:rPr>
      </w:pPr>
    </w:p>
    <w:p w:rsidR="002C54E6" w:rsidRDefault="00D752E7">
      <w:pPr>
        <w:jc w:val="both"/>
        <w:rPr>
          <w:rFonts w:cs="Times New Roman"/>
          <w:sz w:val="22"/>
          <w:szCs w:val="22"/>
        </w:rPr>
      </w:pPr>
      <w:r>
        <w:rPr>
          <w:rFonts w:cs="Times New Roman"/>
          <w:sz w:val="22"/>
          <w:szCs w:val="22"/>
        </w:rPr>
        <w:t xml:space="preserve">Liczba sprawozdań różni się w zależności od regionu, co niewątpliwie wynika ze specyfiki oraz od dostępu do informacji pozyskanych przez Zespoły w poszczególnych urzędach. </w:t>
      </w:r>
    </w:p>
    <w:p w:rsidR="002C54E6" w:rsidRDefault="00D752E7">
      <w:pPr>
        <w:jc w:val="both"/>
        <w:rPr>
          <w:rFonts w:cs="Times New Roman"/>
          <w:sz w:val="22"/>
          <w:szCs w:val="22"/>
        </w:rPr>
      </w:pPr>
      <w:r>
        <w:rPr>
          <w:rFonts w:cs="Times New Roman"/>
          <w:sz w:val="22"/>
          <w:szCs w:val="22"/>
        </w:rPr>
        <w:t xml:space="preserve">Zespół ds. HUB dokonał syntezy sprawozdań (z grupy Pozostałe) otrzymanych od 4 Zespołów, a następnie podzielił te sprawozdania według obszarów tematycznych SMUP. </w:t>
      </w:r>
    </w:p>
    <w:p w:rsidR="002C54E6" w:rsidRDefault="002C54E6">
      <w:pPr>
        <w:jc w:val="both"/>
        <w:rPr>
          <w:rFonts w:cs="Times New Roman"/>
          <w:sz w:val="22"/>
          <w:szCs w:val="22"/>
        </w:rPr>
      </w:pPr>
    </w:p>
    <w:tbl>
      <w:tblPr>
        <w:tblW w:w="8997" w:type="dxa"/>
        <w:tblInd w:w="39" w:type="dxa"/>
        <w:tblBorders>
          <w:top w:val="single" w:sz="4" w:space="0" w:color="00FFFF"/>
          <w:left w:val="single" w:sz="4" w:space="0" w:color="00FFFF"/>
          <w:bottom w:val="single" w:sz="4" w:space="0" w:color="00FFFF"/>
          <w:insideH w:val="single" w:sz="4" w:space="0" w:color="00FFFF"/>
        </w:tblBorders>
        <w:tblCellMar>
          <w:left w:w="35" w:type="dxa"/>
          <w:right w:w="70" w:type="dxa"/>
        </w:tblCellMar>
        <w:tblLook w:val="0000" w:firstRow="0" w:lastRow="0" w:firstColumn="0" w:lastColumn="0" w:noHBand="0" w:noVBand="0"/>
      </w:tblPr>
      <w:tblGrid>
        <w:gridCol w:w="3328"/>
        <w:gridCol w:w="996"/>
        <w:gridCol w:w="1560"/>
        <w:gridCol w:w="992"/>
        <w:gridCol w:w="155"/>
        <w:gridCol w:w="1262"/>
        <w:gridCol w:w="704"/>
      </w:tblGrid>
      <w:tr w:rsidR="002C54E6">
        <w:trPr>
          <w:trHeight w:val="290"/>
        </w:trPr>
        <w:tc>
          <w:tcPr>
            <w:tcW w:w="3327" w:type="dxa"/>
            <w:tcBorders>
              <w:top w:val="single" w:sz="4" w:space="0" w:color="00FFFF"/>
              <w:left w:val="single" w:sz="4" w:space="0" w:color="00FFFF"/>
              <w:bottom w:val="single" w:sz="4" w:space="0" w:color="00FFFF"/>
            </w:tcBorders>
            <w:shd w:val="clear" w:color="auto" w:fill="9CC2E5"/>
            <w:tcMar>
              <w:left w:w="35" w:type="dxa"/>
            </w:tcMar>
            <w:vAlign w:val="bottom"/>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Obszar tematyczny- „Pozostałe”</w:t>
            </w:r>
          </w:p>
        </w:tc>
        <w:tc>
          <w:tcPr>
            <w:tcW w:w="996" w:type="dxa"/>
            <w:tcBorders>
              <w:top w:val="single" w:sz="4" w:space="0" w:color="00FFFF"/>
              <w:bottom w:val="single" w:sz="4" w:space="0" w:color="00FFFF"/>
            </w:tcBorders>
            <w:shd w:val="clear" w:color="auto" w:fill="9CC2E5"/>
            <w:tcMar>
              <w:left w:w="70" w:type="dxa"/>
            </w:tcMar>
            <w:vAlign w:val="bottom"/>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Białystok</w:t>
            </w:r>
          </w:p>
        </w:tc>
        <w:tc>
          <w:tcPr>
            <w:tcW w:w="1560" w:type="dxa"/>
            <w:tcBorders>
              <w:top w:val="single" w:sz="4" w:space="0" w:color="00FFFF"/>
              <w:bottom w:val="single" w:sz="4" w:space="0" w:color="00FFFF"/>
            </w:tcBorders>
            <w:shd w:val="clear" w:color="auto" w:fill="9CC2E5"/>
            <w:tcMar>
              <w:left w:w="70" w:type="dxa"/>
            </w:tcMar>
            <w:vAlign w:val="bottom"/>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 xml:space="preserve">          Gdańsk</w:t>
            </w:r>
          </w:p>
        </w:tc>
        <w:tc>
          <w:tcPr>
            <w:tcW w:w="992" w:type="dxa"/>
            <w:tcBorders>
              <w:top w:val="single" w:sz="4" w:space="0" w:color="00FFFF"/>
              <w:bottom w:val="single" w:sz="4" w:space="0" w:color="00FFFF"/>
            </w:tcBorders>
            <w:shd w:val="clear" w:color="auto" w:fill="9CC2E5"/>
            <w:tcMar>
              <w:left w:w="70" w:type="dxa"/>
            </w:tcMar>
            <w:vAlign w:val="bottom"/>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Wrocław</w:t>
            </w:r>
          </w:p>
        </w:tc>
        <w:tc>
          <w:tcPr>
            <w:tcW w:w="155" w:type="dxa"/>
            <w:tcBorders>
              <w:top w:val="single" w:sz="4" w:space="0" w:color="00FFFF"/>
              <w:bottom w:val="single" w:sz="4" w:space="0" w:color="00FFFF"/>
            </w:tcBorders>
            <w:shd w:val="clear" w:color="auto" w:fill="9CC2E5"/>
            <w:tcMar>
              <w:left w:w="70" w:type="dxa"/>
            </w:tcMar>
          </w:tcPr>
          <w:p w:rsidR="002C54E6" w:rsidRDefault="002C54E6">
            <w:pPr>
              <w:suppressAutoHyphens w:val="0"/>
              <w:spacing w:line="240" w:lineRule="auto"/>
              <w:rPr>
                <w:rFonts w:eastAsia="Times New Roman" w:cs="Times New Roman"/>
                <w:b/>
                <w:bCs/>
                <w:sz w:val="18"/>
                <w:szCs w:val="18"/>
                <w:lang w:eastAsia="ar-SA" w:bidi="ar-SA"/>
              </w:rPr>
            </w:pPr>
          </w:p>
        </w:tc>
        <w:tc>
          <w:tcPr>
            <w:tcW w:w="1262" w:type="dxa"/>
            <w:tcBorders>
              <w:top w:val="single" w:sz="4" w:space="0" w:color="00FFFF"/>
              <w:bottom w:val="single" w:sz="4" w:space="0" w:color="00FFFF"/>
            </w:tcBorders>
            <w:shd w:val="clear" w:color="auto" w:fill="9CC2E5"/>
            <w:tcMar>
              <w:left w:w="70" w:type="dxa"/>
            </w:tcMar>
            <w:vAlign w:val="bottom"/>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Zielona Góra</w:t>
            </w:r>
          </w:p>
        </w:tc>
        <w:tc>
          <w:tcPr>
            <w:tcW w:w="704" w:type="dxa"/>
            <w:tcBorders>
              <w:top w:val="single" w:sz="4" w:space="0" w:color="00FFFF"/>
              <w:left w:val="single" w:sz="4" w:space="0" w:color="00FFFF"/>
              <w:bottom w:val="single" w:sz="4" w:space="0" w:color="00FFFF"/>
              <w:right w:val="single" w:sz="4" w:space="0" w:color="00FFFF"/>
            </w:tcBorders>
            <w:shd w:val="clear" w:color="auto" w:fill="9CC2E5"/>
            <w:tcMar>
              <w:left w:w="45" w:type="dxa"/>
            </w:tcMar>
            <w:vAlign w:val="bottom"/>
          </w:tcPr>
          <w:p w:rsidR="002C54E6" w:rsidRDefault="00D752E7">
            <w:pPr>
              <w:suppressAutoHyphens w:val="0"/>
              <w:spacing w:line="240" w:lineRule="auto"/>
              <w:rPr>
                <w:rFonts w:cs="Times New Roman"/>
                <w:sz w:val="18"/>
                <w:szCs w:val="18"/>
              </w:rPr>
            </w:pPr>
            <w:r>
              <w:rPr>
                <w:rFonts w:eastAsia="Times New Roman" w:cs="Times New Roman"/>
                <w:b/>
                <w:bCs/>
                <w:sz w:val="18"/>
                <w:szCs w:val="18"/>
                <w:lang w:eastAsia="ar-SA" w:bidi="ar-SA"/>
              </w:rPr>
              <w:t>Suma</w:t>
            </w:r>
          </w:p>
        </w:tc>
      </w:tr>
      <w:tr w:rsidR="002C54E6">
        <w:trPr>
          <w:trHeight w:val="290"/>
        </w:trPr>
        <w:tc>
          <w:tcPr>
            <w:tcW w:w="3327" w:type="dxa"/>
            <w:tcBorders>
              <w:top w:val="single" w:sz="4" w:space="0" w:color="00FFFF"/>
              <w:left w:val="single" w:sz="4" w:space="0" w:color="00FFFF"/>
              <w:bottom w:val="single" w:sz="4" w:space="0" w:color="00FFFF"/>
            </w:tcBorders>
            <w:shd w:val="clear" w:color="auto" w:fill="DDEBF7"/>
            <w:tcMar>
              <w:left w:w="35" w:type="dxa"/>
            </w:tcMar>
            <w:vAlign w:val="bottom"/>
          </w:tcPr>
          <w:p w:rsidR="002C54E6" w:rsidRDefault="00D752E7">
            <w:pPr>
              <w:suppressAutoHyphens w:val="0"/>
              <w:spacing w:line="240" w:lineRule="auto"/>
              <w:rPr>
                <w:rFonts w:cs="Times New Roman"/>
                <w:sz w:val="18"/>
                <w:szCs w:val="18"/>
              </w:rPr>
            </w:pPr>
            <w:r>
              <w:rPr>
                <w:rFonts w:eastAsia="Times New Roman" w:cs="Times New Roman"/>
                <w:color w:val="000000"/>
                <w:sz w:val="18"/>
                <w:szCs w:val="18"/>
                <w:lang w:eastAsia="ar-SA" w:bidi="ar-SA"/>
              </w:rPr>
              <w:t>1Ochrona Środowiska</w:t>
            </w:r>
          </w:p>
        </w:tc>
        <w:tc>
          <w:tcPr>
            <w:tcW w:w="996" w:type="dxa"/>
            <w:tcBorders>
              <w:top w:val="single" w:sz="4" w:space="0" w:color="00FFFF"/>
              <w:bottom w:val="single" w:sz="4" w:space="0" w:color="00FFFF"/>
            </w:tcBorders>
            <w:shd w:val="clear" w:color="auto" w:fill="DDEBF7"/>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5</w:t>
            </w:r>
          </w:p>
        </w:tc>
        <w:tc>
          <w:tcPr>
            <w:tcW w:w="1560" w:type="dxa"/>
            <w:tcBorders>
              <w:top w:val="single" w:sz="4" w:space="0" w:color="00FFFF"/>
              <w:bottom w:val="single" w:sz="4" w:space="0" w:color="00FFFF"/>
            </w:tcBorders>
            <w:shd w:val="clear" w:color="auto" w:fill="DDEBF7"/>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2</w:t>
            </w:r>
          </w:p>
        </w:tc>
        <w:tc>
          <w:tcPr>
            <w:tcW w:w="992" w:type="dxa"/>
            <w:tcBorders>
              <w:top w:val="single" w:sz="4" w:space="0" w:color="00FFFF"/>
              <w:bottom w:val="single" w:sz="4" w:space="0" w:color="00FFFF"/>
            </w:tcBorders>
            <w:shd w:val="clear" w:color="auto" w:fill="DDEBF7"/>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2</w:t>
            </w:r>
          </w:p>
        </w:tc>
        <w:tc>
          <w:tcPr>
            <w:tcW w:w="155" w:type="dxa"/>
            <w:tcBorders>
              <w:top w:val="single" w:sz="4" w:space="0" w:color="00FFFF"/>
              <w:bottom w:val="single" w:sz="4" w:space="0" w:color="00FFFF"/>
            </w:tcBorders>
            <w:shd w:val="clear" w:color="auto" w:fill="DDEBF7"/>
            <w:tcMar>
              <w:left w:w="70" w:type="dxa"/>
            </w:tcMar>
          </w:tcPr>
          <w:p w:rsidR="002C54E6" w:rsidRDefault="002C54E6">
            <w:pPr>
              <w:suppressAutoHyphens w:val="0"/>
              <w:spacing w:line="240" w:lineRule="auto"/>
              <w:jc w:val="right"/>
              <w:rPr>
                <w:rFonts w:eastAsia="Times New Roman" w:cs="Times New Roman"/>
                <w:color w:val="000000"/>
                <w:sz w:val="18"/>
                <w:szCs w:val="18"/>
                <w:lang w:eastAsia="ar-SA" w:bidi="ar-SA"/>
              </w:rPr>
            </w:pPr>
          </w:p>
        </w:tc>
        <w:tc>
          <w:tcPr>
            <w:tcW w:w="1262" w:type="dxa"/>
            <w:tcBorders>
              <w:top w:val="single" w:sz="4" w:space="0" w:color="00FFFF"/>
              <w:bottom w:val="single" w:sz="4" w:space="0" w:color="00FFFF"/>
            </w:tcBorders>
            <w:shd w:val="clear" w:color="auto" w:fill="DDEBF7"/>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1</w:t>
            </w:r>
          </w:p>
        </w:tc>
        <w:tc>
          <w:tcPr>
            <w:tcW w:w="704" w:type="dxa"/>
            <w:tcBorders>
              <w:top w:val="single" w:sz="4" w:space="0" w:color="00FFFF"/>
              <w:left w:val="single" w:sz="4" w:space="0" w:color="00FFFF"/>
              <w:bottom w:val="single" w:sz="4" w:space="0" w:color="00FFFF"/>
              <w:right w:val="single" w:sz="4" w:space="0" w:color="00FFFF"/>
            </w:tcBorders>
            <w:shd w:val="clear" w:color="auto" w:fill="D9D9D9"/>
            <w:tcMar>
              <w:left w:w="45"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10</w:t>
            </w:r>
          </w:p>
        </w:tc>
      </w:tr>
      <w:tr w:rsidR="002C54E6">
        <w:trPr>
          <w:trHeight w:val="290"/>
        </w:trPr>
        <w:tc>
          <w:tcPr>
            <w:tcW w:w="3327" w:type="dxa"/>
            <w:tcBorders>
              <w:top w:val="single" w:sz="4" w:space="0" w:color="00FFFF"/>
              <w:left w:val="single" w:sz="4" w:space="0" w:color="00FFFF"/>
              <w:bottom w:val="single" w:sz="4" w:space="0" w:color="00FFFF"/>
            </w:tcBorders>
            <w:shd w:val="clear" w:color="auto" w:fill="auto"/>
            <w:tcMar>
              <w:left w:w="35" w:type="dxa"/>
            </w:tcMar>
            <w:vAlign w:val="bottom"/>
          </w:tcPr>
          <w:p w:rsidR="002C54E6" w:rsidRDefault="00D752E7">
            <w:pPr>
              <w:suppressAutoHyphens w:val="0"/>
              <w:spacing w:line="240" w:lineRule="auto"/>
              <w:rPr>
                <w:rFonts w:cs="Times New Roman"/>
                <w:sz w:val="18"/>
                <w:szCs w:val="18"/>
              </w:rPr>
            </w:pPr>
            <w:r>
              <w:rPr>
                <w:rFonts w:eastAsia="Times New Roman" w:cs="Times New Roman"/>
                <w:color w:val="000000"/>
                <w:sz w:val="18"/>
                <w:szCs w:val="18"/>
                <w:lang w:eastAsia="ar-SA" w:bidi="ar-SA"/>
              </w:rPr>
              <w:lastRenderedPageBreak/>
              <w:t>2 Geodezja i Kartografia</w:t>
            </w:r>
          </w:p>
        </w:tc>
        <w:tc>
          <w:tcPr>
            <w:tcW w:w="996" w:type="dxa"/>
            <w:tcBorders>
              <w:top w:val="single" w:sz="4" w:space="0" w:color="00FFFF"/>
              <w:bottom w:val="single" w:sz="4" w:space="0" w:color="00FFFF"/>
            </w:tcBorders>
            <w:shd w:val="clear" w:color="auto" w:fill="auto"/>
            <w:tcMar>
              <w:left w:w="70" w:type="dxa"/>
            </w:tcMar>
            <w:vAlign w:val="bottom"/>
          </w:tcPr>
          <w:p w:rsidR="002C54E6" w:rsidRDefault="002C54E6">
            <w:pPr>
              <w:suppressAutoHyphens w:val="0"/>
              <w:snapToGrid w:val="0"/>
              <w:spacing w:line="240" w:lineRule="auto"/>
              <w:jc w:val="right"/>
              <w:rPr>
                <w:rFonts w:eastAsia="Times New Roman" w:cs="Times New Roman"/>
                <w:color w:val="000000"/>
                <w:sz w:val="18"/>
                <w:szCs w:val="18"/>
                <w:lang w:eastAsia="ar-SA" w:bidi="ar-SA"/>
              </w:rPr>
            </w:pPr>
          </w:p>
        </w:tc>
        <w:tc>
          <w:tcPr>
            <w:tcW w:w="1560" w:type="dxa"/>
            <w:tcBorders>
              <w:top w:val="single" w:sz="4" w:space="0" w:color="00FFFF"/>
              <w:bottom w:val="single" w:sz="4" w:space="0" w:color="00FFFF"/>
            </w:tcBorders>
            <w:shd w:val="clear" w:color="auto" w:fill="auto"/>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3</w:t>
            </w:r>
          </w:p>
        </w:tc>
        <w:tc>
          <w:tcPr>
            <w:tcW w:w="992" w:type="dxa"/>
            <w:tcBorders>
              <w:top w:val="single" w:sz="4" w:space="0" w:color="00FFFF"/>
              <w:bottom w:val="single" w:sz="4" w:space="0" w:color="00FFFF"/>
            </w:tcBorders>
            <w:shd w:val="clear" w:color="auto" w:fill="auto"/>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1</w:t>
            </w:r>
          </w:p>
        </w:tc>
        <w:tc>
          <w:tcPr>
            <w:tcW w:w="155" w:type="dxa"/>
            <w:tcBorders>
              <w:top w:val="single" w:sz="4" w:space="0" w:color="00FFFF"/>
              <w:bottom w:val="single" w:sz="4" w:space="0" w:color="00FFFF"/>
            </w:tcBorders>
            <w:shd w:val="clear" w:color="auto" w:fill="auto"/>
            <w:tcMar>
              <w:left w:w="70" w:type="dxa"/>
            </w:tcMar>
          </w:tcPr>
          <w:p w:rsidR="002C54E6" w:rsidRDefault="002C54E6">
            <w:pPr>
              <w:suppressAutoHyphens w:val="0"/>
              <w:spacing w:line="240" w:lineRule="auto"/>
              <w:jc w:val="right"/>
              <w:rPr>
                <w:rFonts w:eastAsia="Times New Roman" w:cs="Times New Roman"/>
                <w:color w:val="000000"/>
                <w:sz w:val="18"/>
                <w:szCs w:val="18"/>
                <w:lang w:eastAsia="ar-SA" w:bidi="ar-SA"/>
              </w:rPr>
            </w:pPr>
          </w:p>
        </w:tc>
        <w:tc>
          <w:tcPr>
            <w:tcW w:w="1262" w:type="dxa"/>
            <w:tcBorders>
              <w:top w:val="single" w:sz="4" w:space="0" w:color="00FFFF"/>
              <w:bottom w:val="single" w:sz="4" w:space="0" w:color="00FFFF"/>
            </w:tcBorders>
            <w:shd w:val="clear" w:color="auto" w:fill="auto"/>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2</w:t>
            </w:r>
          </w:p>
        </w:tc>
        <w:tc>
          <w:tcPr>
            <w:tcW w:w="704" w:type="dxa"/>
            <w:tcBorders>
              <w:top w:val="single" w:sz="4" w:space="0" w:color="00FFFF"/>
              <w:left w:val="single" w:sz="4" w:space="0" w:color="00FFFF"/>
              <w:bottom w:val="single" w:sz="4" w:space="0" w:color="00FFFF"/>
              <w:right w:val="single" w:sz="4" w:space="0" w:color="00FFFF"/>
            </w:tcBorders>
            <w:shd w:val="clear" w:color="auto" w:fill="D9D9D9"/>
            <w:tcMar>
              <w:left w:w="45"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6</w:t>
            </w:r>
          </w:p>
        </w:tc>
      </w:tr>
      <w:tr w:rsidR="002C54E6">
        <w:trPr>
          <w:trHeight w:val="290"/>
        </w:trPr>
        <w:tc>
          <w:tcPr>
            <w:tcW w:w="3327" w:type="dxa"/>
            <w:tcBorders>
              <w:top w:val="single" w:sz="4" w:space="0" w:color="00FFFF"/>
              <w:left w:val="single" w:sz="4" w:space="0" w:color="00FFFF"/>
              <w:bottom w:val="single" w:sz="4" w:space="0" w:color="00FFFF"/>
            </w:tcBorders>
            <w:shd w:val="clear" w:color="auto" w:fill="DDEBF7"/>
            <w:tcMar>
              <w:left w:w="35" w:type="dxa"/>
            </w:tcMar>
            <w:vAlign w:val="bottom"/>
          </w:tcPr>
          <w:p w:rsidR="002C54E6" w:rsidRDefault="00D752E7">
            <w:pPr>
              <w:suppressAutoHyphens w:val="0"/>
              <w:spacing w:line="240" w:lineRule="auto"/>
              <w:rPr>
                <w:rFonts w:cs="Times New Roman"/>
                <w:sz w:val="18"/>
                <w:szCs w:val="18"/>
              </w:rPr>
            </w:pPr>
            <w:r>
              <w:rPr>
                <w:rFonts w:eastAsia="Times New Roman" w:cs="Times New Roman"/>
                <w:color w:val="000000"/>
                <w:sz w:val="18"/>
                <w:szCs w:val="18"/>
                <w:lang w:eastAsia="ar-SA" w:bidi="ar-SA"/>
              </w:rPr>
              <w:t>3 Inne</w:t>
            </w:r>
          </w:p>
        </w:tc>
        <w:tc>
          <w:tcPr>
            <w:tcW w:w="996" w:type="dxa"/>
            <w:tcBorders>
              <w:top w:val="single" w:sz="4" w:space="0" w:color="00FFFF"/>
              <w:bottom w:val="single" w:sz="4" w:space="0" w:color="00FFFF"/>
            </w:tcBorders>
            <w:shd w:val="clear" w:color="auto" w:fill="DDEBF7"/>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2</w:t>
            </w:r>
          </w:p>
        </w:tc>
        <w:tc>
          <w:tcPr>
            <w:tcW w:w="1560" w:type="dxa"/>
            <w:tcBorders>
              <w:top w:val="single" w:sz="4" w:space="0" w:color="00FFFF"/>
              <w:bottom w:val="single" w:sz="4" w:space="0" w:color="00FFFF"/>
            </w:tcBorders>
            <w:shd w:val="clear" w:color="auto" w:fill="DDEBF7"/>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2</w:t>
            </w:r>
          </w:p>
        </w:tc>
        <w:tc>
          <w:tcPr>
            <w:tcW w:w="992" w:type="dxa"/>
            <w:tcBorders>
              <w:top w:val="single" w:sz="4" w:space="0" w:color="00FFFF"/>
              <w:bottom w:val="single" w:sz="4" w:space="0" w:color="00FFFF"/>
            </w:tcBorders>
            <w:shd w:val="clear" w:color="auto" w:fill="DDEBF7"/>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2</w:t>
            </w:r>
          </w:p>
        </w:tc>
        <w:tc>
          <w:tcPr>
            <w:tcW w:w="155" w:type="dxa"/>
            <w:tcBorders>
              <w:top w:val="single" w:sz="4" w:space="0" w:color="00FFFF"/>
              <w:bottom w:val="single" w:sz="4" w:space="0" w:color="00FFFF"/>
            </w:tcBorders>
            <w:shd w:val="clear" w:color="auto" w:fill="DDEBF7"/>
            <w:tcMar>
              <w:left w:w="70" w:type="dxa"/>
            </w:tcMar>
          </w:tcPr>
          <w:p w:rsidR="002C54E6" w:rsidRDefault="002C54E6">
            <w:pPr>
              <w:suppressAutoHyphens w:val="0"/>
              <w:snapToGrid w:val="0"/>
              <w:spacing w:line="240" w:lineRule="auto"/>
              <w:jc w:val="right"/>
              <w:rPr>
                <w:rFonts w:eastAsia="Times New Roman" w:cs="Times New Roman"/>
                <w:color w:val="000000"/>
                <w:sz w:val="18"/>
                <w:szCs w:val="18"/>
                <w:lang w:eastAsia="ar-SA" w:bidi="ar-SA"/>
              </w:rPr>
            </w:pPr>
          </w:p>
        </w:tc>
        <w:tc>
          <w:tcPr>
            <w:tcW w:w="1262" w:type="dxa"/>
            <w:tcBorders>
              <w:top w:val="single" w:sz="4" w:space="0" w:color="00FFFF"/>
              <w:bottom w:val="single" w:sz="4" w:space="0" w:color="00FFFF"/>
            </w:tcBorders>
            <w:shd w:val="clear" w:color="auto" w:fill="DDEBF7"/>
            <w:tcMar>
              <w:left w:w="70" w:type="dxa"/>
            </w:tcMar>
            <w:vAlign w:val="bottom"/>
          </w:tcPr>
          <w:p w:rsidR="002C54E6" w:rsidRDefault="002C54E6">
            <w:pPr>
              <w:suppressAutoHyphens w:val="0"/>
              <w:snapToGrid w:val="0"/>
              <w:spacing w:line="240" w:lineRule="auto"/>
              <w:jc w:val="right"/>
              <w:rPr>
                <w:rFonts w:eastAsia="Times New Roman" w:cs="Times New Roman"/>
                <w:color w:val="000000"/>
                <w:sz w:val="18"/>
                <w:szCs w:val="18"/>
                <w:lang w:eastAsia="ar-SA" w:bidi="ar-SA"/>
              </w:rPr>
            </w:pPr>
          </w:p>
        </w:tc>
        <w:tc>
          <w:tcPr>
            <w:tcW w:w="704" w:type="dxa"/>
            <w:tcBorders>
              <w:top w:val="single" w:sz="4" w:space="0" w:color="00FFFF"/>
              <w:left w:val="single" w:sz="4" w:space="0" w:color="00FFFF"/>
              <w:bottom w:val="single" w:sz="4" w:space="0" w:color="00FFFF"/>
              <w:right w:val="single" w:sz="4" w:space="0" w:color="00FFFF"/>
            </w:tcBorders>
            <w:shd w:val="clear" w:color="auto" w:fill="D9D9D9"/>
            <w:tcMar>
              <w:left w:w="45"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6</w:t>
            </w:r>
          </w:p>
        </w:tc>
      </w:tr>
      <w:tr w:rsidR="002C54E6">
        <w:trPr>
          <w:trHeight w:val="290"/>
        </w:trPr>
        <w:tc>
          <w:tcPr>
            <w:tcW w:w="3327" w:type="dxa"/>
            <w:tcBorders>
              <w:top w:val="single" w:sz="4" w:space="0" w:color="00FFFF"/>
              <w:left w:val="single" w:sz="4" w:space="0" w:color="00FFFF"/>
              <w:bottom w:val="single" w:sz="4" w:space="0" w:color="00FFFF"/>
            </w:tcBorders>
            <w:shd w:val="clear" w:color="auto" w:fill="auto"/>
            <w:tcMar>
              <w:left w:w="35" w:type="dxa"/>
            </w:tcMar>
            <w:vAlign w:val="bottom"/>
          </w:tcPr>
          <w:p w:rsidR="002C54E6" w:rsidRDefault="00D752E7">
            <w:pPr>
              <w:suppressAutoHyphens w:val="0"/>
              <w:spacing w:line="240" w:lineRule="auto"/>
              <w:rPr>
                <w:rFonts w:cs="Times New Roman"/>
                <w:sz w:val="18"/>
                <w:szCs w:val="18"/>
              </w:rPr>
            </w:pPr>
            <w:r>
              <w:rPr>
                <w:rFonts w:eastAsia="Times New Roman" w:cs="Times New Roman"/>
                <w:color w:val="000000"/>
                <w:sz w:val="18"/>
                <w:szCs w:val="18"/>
                <w:lang w:eastAsia="ar-SA" w:bidi="ar-SA"/>
              </w:rPr>
              <w:t>4 Podatki i Opłaty Lokalne</w:t>
            </w:r>
          </w:p>
        </w:tc>
        <w:tc>
          <w:tcPr>
            <w:tcW w:w="996" w:type="dxa"/>
            <w:tcBorders>
              <w:top w:val="single" w:sz="4" w:space="0" w:color="00FFFF"/>
              <w:bottom w:val="single" w:sz="4" w:space="0" w:color="00FFFF"/>
            </w:tcBorders>
            <w:shd w:val="clear" w:color="auto" w:fill="auto"/>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1</w:t>
            </w:r>
          </w:p>
        </w:tc>
        <w:tc>
          <w:tcPr>
            <w:tcW w:w="1560" w:type="dxa"/>
            <w:tcBorders>
              <w:top w:val="single" w:sz="4" w:space="0" w:color="00FFFF"/>
              <w:bottom w:val="single" w:sz="4" w:space="0" w:color="00FFFF"/>
            </w:tcBorders>
            <w:shd w:val="clear" w:color="auto" w:fill="auto"/>
            <w:tcMar>
              <w:left w:w="70" w:type="dxa"/>
            </w:tcMar>
            <w:vAlign w:val="bottom"/>
          </w:tcPr>
          <w:p w:rsidR="002C54E6" w:rsidRDefault="002C54E6">
            <w:pPr>
              <w:suppressAutoHyphens w:val="0"/>
              <w:snapToGrid w:val="0"/>
              <w:spacing w:line="240" w:lineRule="auto"/>
              <w:jc w:val="right"/>
              <w:rPr>
                <w:rFonts w:eastAsia="Times New Roman" w:cs="Times New Roman"/>
                <w:color w:val="000000"/>
                <w:sz w:val="18"/>
                <w:szCs w:val="18"/>
                <w:lang w:eastAsia="ar-SA" w:bidi="ar-SA"/>
              </w:rPr>
            </w:pPr>
          </w:p>
        </w:tc>
        <w:tc>
          <w:tcPr>
            <w:tcW w:w="992" w:type="dxa"/>
            <w:tcBorders>
              <w:top w:val="single" w:sz="4" w:space="0" w:color="00FFFF"/>
              <w:bottom w:val="single" w:sz="4" w:space="0" w:color="00FFFF"/>
            </w:tcBorders>
            <w:shd w:val="clear" w:color="auto" w:fill="auto"/>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2</w:t>
            </w:r>
          </w:p>
        </w:tc>
        <w:tc>
          <w:tcPr>
            <w:tcW w:w="155" w:type="dxa"/>
            <w:tcBorders>
              <w:top w:val="single" w:sz="4" w:space="0" w:color="00FFFF"/>
              <w:bottom w:val="single" w:sz="4" w:space="0" w:color="00FFFF"/>
            </w:tcBorders>
            <w:shd w:val="clear" w:color="auto" w:fill="auto"/>
            <w:tcMar>
              <w:left w:w="70" w:type="dxa"/>
            </w:tcMar>
          </w:tcPr>
          <w:p w:rsidR="002C54E6" w:rsidRDefault="002C54E6">
            <w:pPr>
              <w:suppressAutoHyphens w:val="0"/>
              <w:spacing w:line="240" w:lineRule="auto"/>
              <w:jc w:val="right"/>
              <w:rPr>
                <w:rFonts w:eastAsia="Times New Roman" w:cs="Times New Roman"/>
                <w:color w:val="000000"/>
                <w:sz w:val="18"/>
                <w:szCs w:val="18"/>
                <w:lang w:eastAsia="ar-SA" w:bidi="ar-SA"/>
              </w:rPr>
            </w:pPr>
          </w:p>
        </w:tc>
        <w:tc>
          <w:tcPr>
            <w:tcW w:w="1262" w:type="dxa"/>
            <w:tcBorders>
              <w:top w:val="single" w:sz="4" w:space="0" w:color="00FFFF"/>
              <w:bottom w:val="single" w:sz="4" w:space="0" w:color="00FFFF"/>
            </w:tcBorders>
            <w:shd w:val="clear" w:color="auto" w:fill="auto"/>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1</w:t>
            </w:r>
          </w:p>
        </w:tc>
        <w:tc>
          <w:tcPr>
            <w:tcW w:w="704" w:type="dxa"/>
            <w:tcBorders>
              <w:top w:val="single" w:sz="4" w:space="0" w:color="00FFFF"/>
              <w:left w:val="single" w:sz="4" w:space="0" w:color="00FFFF"/>
              <w:bottom w:val="single" w:sz="4" w:space="0" w:color="00FFFF"/>
              <w:right w:val="single" w:sz="4" w:space="0" w:color="00FFFF"/>
            </w:tcBorders>
            <w:shd w:val="clear" w:color="auto" w:fill="D9D9D9"/>
            <w:tcMar>
              <w:left w:w="45"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4</w:t>
            </w:r>
          </w:p>
        </w:tc>
      </w:tr>
      <w:tr w:rsidR="002C54E6">
        <w:trPr>
          <w:trHeight w:val="290"/>
        </w:trPr>
        <w:tc>
          <w:tcPr>
            <w:tcW w:w="3327" w:type="dxa"/>
            <w:tcBorders>
              <w:top w:val="single" w:sz="4" w:space="0" w:color="00FFFF"/>
              <w:left w:val="single" w:sz="4" w:space="0" w:color="00FFFF"/>
              <w:bottom w:val="single" w:sz="4" w:space="0" w:color="00FFFF"/>
            </w:tcBorders>
            <w:shd w:val="clear" w:color="auto" w:fill="DDEBF7"/>
            <w:tcMar>
              <w:left w:w="35" w:type="dxa"/>
            </w:tcMar>
            <w:vAlign w:val="bottom"/>
          </w:tcPr>
          <w:p w:rsidR="002C54E6" w:rsidRDefault="00D752E7">
            <w:pPr>
              <w:suppressAutoHyphens w:val="0"/>
              <w:spacing w:line="240" w:lineRule="auto"/>
              <w:rPr>
                <w:rFonts w:cs="Times New Roman"/>
                <w:sz w:val="18"/>
                <w:szCs w:val="18"/>
              </w:rPr>
            </w:pPr>
            <w:r>
              <w:rPr>
                <w:rFonts w:eastAsia="Times New Roman" w:cs="Times New Roman"/>
                <w:color w:val="000000"/>
                <w:sz w:val="18"/>
                <w:szCs w:val="18"/>
                <w:lang w:eastAsia="ar-SA" w:bidi="ar-SA"/>
              </w:rPr>
              <w:t>5 Drogownictwo i Transport</w:t>
            </w:r>
          </w:p>
        </w:tc>
        <w:tc>
          <w:tcPr>
            <w:tcW w:w="996" w:type="dxa"/>
            <w:tcBorders>
              <w:top w:val="single" w:sz="4" w:space="0" w:color="00FFFF"/>
              <w:bottom w:val="single" w:sz="4" w:space="0" w:color="00FFFF"/>
            </w:tcBorders>
            <w:shd w:val="clear" w:color="auto" w:fill="DDEBF7"/>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2</w:t>
            </w:r>
          </w:p>
        </w:tc>
        <w:tc>
          <w:tcPr>
            <w:tcW w:w="1560" w:type="dxa"/>
            <w:tcBorders>
              <w:top w:val="single" w:sz="4" w:space="0" w:color="00FFFF"/>
              <w:bottom w:val="single" w:sz="4" w:space="0" w:color="00FFFF"/>
            </w:tcBorders>
            <w:shd w:val="clear" w:color="auto" w:fill="DDEBF7"/>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7</w:t>
            </w:r>
          </w:p>
        </w:tc>
        <w:tc>
          <w:tcPr>
            <w:tcW w:w="992" w:type="dxa"/>
            <w:tcBorders>
              <w:top w:val="single" w:sz="4" w:space="0" w:color="00FFFF"/>
              <w:bottom w:val="single" w:sz="4" w:space="0" w:color="00FFFF"/>
            </w:tcBorders>
            <w:shd w:val="clear" w:color="auto" w:fill="DDEBF7"/>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1</w:t>
            </w:r>
          </w:p>
        </w:tc>
        <w:tc>
          <w:tcPr>
            <w:tcW w:w="155" w:type="dxa"/>
            <w:tcBorders>
              <w:top w:val="single" w:sz="4" w:space="0" w:color="00FFFF"/>
              <w:bottom w:val="single" w:sz="4" w:space="0" w:color="00FFFF"/>
            </w:tcBorders>
            <w:shd w:val="clear" w:color="auto" w:fill="DDEBF7"/>
            <w:tcMar>
              <w:left w:w="70" w:type="dxa"/>
            </w:tcMar>
          </w:tcPr>
          <w:p w:rsidR="002C54E6" w:rsidRDefault="002C54E6">
            <w:pPr>
              <w:suppressAutoHyphens w:val="0"/>
              <w:spacing w:line="240" w:lineRule="auto"/>
              <w:jc w:val="right"/>
              <w:rPr>
                <w:rFonts w:eastAsia="Times New Roman" w:cs="Times New Roman"/>
                <w:color w:val="000000"/>
                <w:sz w:val="18"/>
                <w:szCs w:val="18"/>
                <w:lang w:eastAsia="ar-SA" w:bidi="ar-SA"/>
              </w:rPr>
            </w:pPr>
          </w:p>
        </w:tc>
        <w:tc>
          <w:tcPr>
            <w:tcW w:w="1262" w:type="dxa"/>
            <w:tcBorders>
              <w:top w:val="single" w:sz="4" w:space="0" w:color="00FFFF"/>
              <w:bottom w:val="single" w:sz="4" w:space="0" w:color="00FFFF"/>
            </w:tcBorders>
            <w:shd w:val="clear" w:color="auto" w:fill="DDEBF7"/>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6</w:t>
            </w:r>
          </w:p>
        </w:tc>
        <w:tc>
          <w:tcPr>
            <w:tcW w:w="704" w:type="dxa"/>
            <w:tcBorders>
              <w:top w:val="single" w:sz="4" w:space="0" w:color="00FFFF"/>
              <w:left w:val="single" w:sz="4" w:space="0" w:color="00FFFF"/>
              <w:bottom w:val="single" w:sz="4" w:space="0" w:color="00FFFF"/>
              <w:right w:val="single" w:sz="4" w:space="0" w:color="00FFFF"/>
            </w:tcBorders>
            <w:shd w:val="clear" w:color="auto" w:fill="D9D9D9"/>
            <w:tcMar>
              <w:left w:w="45"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16</w:t>
            </w:r>
          </w:p>
        </w:tc>
      </w:tr>
      <w:tr w:rsidR="002C54E6">
        <w:trPr>
          <w:trHeight w:val="290"/>
        </w:trPr>
        <w:tc>
          <w:tcPr>
            <w:tcW w:w="3327" w:type="dxa"/>
            <w:tcBorders>
              <w:top w:val="single" w:sz="4" w:space="0" w:color="00FFFF"/>
              <w:left w:val="single" w:sz="4" w:space="0" w:color="00FFFF"/>
              <w:bottom w:val="single" w:sz="4" w:space="0" w:color="00FFFF"/>
            </w:tcBorders>
            <w:shd w:val="clear" w:color="auto" w:fill="auto"/>
            <w:tcMar>
              <w:left w:w="35" w:type="dxa"/>
            </w:tcMar>
            <w:vAlign w:val="bottom"/>
          </w:tcPr>
          <w:p w:rsidR="002C54E6" w:rsidRDefault="00D752E7">
            <w:pPr>
              <w:suppressAutoHyphens w:val="0"/>
              <w:spacing w:line="240" w:lineRule="auto"/>
              <w:rPr>
                <w:rFonts w:cs="Times New Roman"/>
                <w:sz w:val="18"/>
                <w:szCs w:val="18"/>
              </w:rPr>
            </w:pPr>
            <w:r>
              <w:rPr>
                <w:rFonts w:eastAsia="Times New Roman" w:cs="Times New Roman"/>
                <w:color w:val="000000"/>
                <w:sz w:val="18"/>
                <w:szCs w:val="18"/>
                <w:lang w:eastAsia="ar-SA" w:bidi="ar-SA"/>
              </w:rPr>
              <w:t>6 Gospodarowanie Nieruchomościami</w:t>
            </w:r>
          </w:p>
        </w:tc>
        <w:tc>
          <w:tcPr>
            <w:tcW w:w="996" w:type="dxa"/>
            <w:tcBorders>
              <w:top w:val="single" w:sz="4" w:space="0" w:color="00FFFF"/>
              <w:bottom w:val="single" w:sz="4" w:space="0" w:color="00FFFF"/>
            </w:tcBorders>
            <w:shd w:val="clear" w:color="auto" w:fill="auto"/>
            <w:tcMar>
              <w:left w:w="70" w:type="dxa"/>
            </w:tcMar>
            <w:vAlign w:val="bottom"/>
          </w:tcPr>
          <w:p w:rsidR="002C54E6" w:rsidRDefault="002C54E6">
            <w:pPr>
              <w:suppressAutoHyphens w:val="0"/>
              <w:snapToGrid w:val="0"/>
              <w:spacing w:line="240" w:lineRule="auto"/>
              <w:jc w:val="right"/>
              <w:rPr>
                <w:rFonts w:eastAsia="Times New Roman" w:cs="Times New Roman"/>
                <w:color w:val="000000"/>
                <w:sz w:val="18"/>
                <w:szCs w:val="18"/>
                <w:lang w:eastAsia="ar-SA" w:bidi="ar-SA"/>
              </w:rPr>
            </w:pPr>
          </w:p>
        </w:tc>
        <w:tc>
          <w:tcPr>
            <w:tcW w:w="1560" w:type="dxa"/>
            <w:tcBorders>
              <w:top w:val="single" w:sz="4" w:space="0" w:color="00FFFF"/>
              <w:bottom w:val="single" w:sz="4" w:space="0" w:color="00FFFF"/>
            </w:tcBorders>
            <w:shd w:val="clear" w:color="auto" w:fill="auto"/>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4</w:t>
            </w:r>
          </w:p>
        </w:tc>
        <w:tc>
          <w:tcPr>
            <w:tcW w:w="992" w:type="dxa"/>
            <w:tcBorders>
              <w:top w:val="single" w:sz="4" w:space="0" w:color="00FFFF"/>
              <w:bottom w:val="single" w:sz="4" w:space="0" w:color="00FFFF"/>
            </w:tcBorders>
            <w:shd w:val="clear" w:color="auto" w:fill="auto"/>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2</w:t>
            </w:r>
          </w:p>
        </w:tc>
        <w:tc>
          <w:tcPr>
            <w:tcW w:w="155" w:type="dxa"/>
            <w:tcBorders>
              <w:top w:val="single" w:sz="4" w:space="0" w:color="00FFFF"/>
              <w:bottom w:val="single" w:sz="4" w:space="0" w:color="00FFFF"/>
            </w:tcBorders>
            <w:shd w:val="clear" w:color="auto" w:fill="auto"/>
            <w:tcMar>
              <w:left w:w="70" w:type="dxa"/>
            </w:tcMar>
          </w:tcPr>
          <w:p w:rsidR="002C54E6" w:rsidRDefault="002C54E6">
            <w:pPr>
              <w:suppressAutoHyphens w:val="0"/>
              <w:spacing w:line="240" w:lineRule="auto"/>
              <w:jc w:val="right"/>
              <w:rPr>
                <w:rFonts w:eastAsia="Times New Roman" w:cs="Times New Roman"/>
                <w:color w:val="000000"/>
                <w:sz w:val="18"/>
                <w:szCs w:val="18"/>
                <w:lang w:eastAsia="ar-SA" w:bidi="ar-SA"/>
              </w:rPr>
            </w:pPr>
          </w:p>
        </w:tc>
        <w:tc>
          <w:tcPr>
            <w:tcW w:w="1262" w:type="dxa"/>
            <w:tcBorders>
              <w:top w:val="single" w:sz="4" w:space="0" w:color="00FFFF"/>
              <w:bottom w:val="single" w:sz="4" w:space="0" w:color="00FFFF"/>
            </w:tcBorders>
            <w:shd w:val="clear" w:color="auto" w:fill="auto"/>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1</w:t>
            </w:r>
          </w:p>
        </w:tc>
        <w:tc>
          <w:tcPr>
            <w:tcW w:w="704" w:type="dxa"/>
            <w:tcBorders>
              <w:top w:val="single" w:sz="4" w:space="0" w:color="00FFFF"/>
              <w:left w:val="single" w:sz="4" w:space="0" w:color="00FFFF"/>
              <w:bottom w:val="single" w:sz="4" w:space="0" w:color="00FFFF"/>
              <w:right w:val="single" w:sz="4" w:space="0" w:color="00FFFF"/>
            </w:tcBorders>
            <w:shd w:val="clear" w:color="auto" w:fill="D9D9D9"/>
            <w:tcMar>
              <w:left w:w="45"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7</w:t>
            </w:r>
          </w:p>
        </w:tc>
      </w:tr>
      <w:tr w:rsidR="002C54E6">
        <w:trPr>
          <w:trHeight w:val="290"/>
        </w:trPr>
        <w:tc>
          <w:tcPr>
            <w:tcW w:w="3327" w:type="dxa"/>
            <w:tcBorders>
              <w:top w:val="single" w:sz="4" w:space="0" w:color="00FFFF"/>
              <w:left w:val="single" w:sz="4" w:space="0" w:color="00FFFF"/>
              <w:bottom w:val="single" w:sz="4" w:space="0" w:color="00FFFF"/>
            </w:tcBorders>
            <w:shd w:val="clear" w:color="auto" w:fill="DDEBF7"/>
            <w:tcMar>
              <w:left w:w="35" w:type="dxa"/>
            </w:tcMar>
            <w:vAlign w:val="bottom"/>
          </w:tcPr>
          <w:p w:rsidR="002C54E6" w:rsidRDefault="00D752E7">
            <w:pPr>
              <w:suppressAutoHyphens w:val="0"/>
              <w:spacing w:line="240" w:lineRule="auto"/>
              <w:rPr>
                <w:rFonts w:cs="Times New Roman"/>
                <w:sz w:val="18"/>
                <w:szCs w:val="18"/>
              </w:rPr>
            </w:pPr>
            <w:r>
              <w:rPr>
                <w:rFonts w:eastAsia="Times New Roman" w:cs="Times New Roman"/>
                <w:color w:val="000000"/>
                <w:sz w:val="18"/>
                <w:szCs w:val="18"/>
                <w:lang w:eastAsia="ar-SA" w:bidi="ar-SA"/>
              </w:rPr>
              <w:t>7 Inwestycje i Budownictwo</w:t>
            </w:r>
          </w:p>
        </w:tc>
        <w:tc>
          <w:tcPr>
            <w:tcW w:w="996" w:type="dxa"/>
            <w:tcBorders>
              <w:top w:val="single" w:sz="4" w:space="0" w:color="00FFFF"/>
              <w:bottom w:val="single" w:sz="4" w:space="0" w:color="00FFFF"/>
            </w:tcBorders>
            <w:shd w:val="clear" w:color="auto" w:fill="DDEBF7"/>
            <w:tcMar>
              <w:left w:w="70" w:type="dxa"/>
            </w:tcMar>
            <w:vAlign w:val="bottom"/>
          </w:tcPr>
          <w:p w:rsidR="002C54E6" w:rsidRDefault="002C54E6">
            <w:pPr>
              <w:suppressAutoHyphens w:val="0"/>
              <w:snapToGrid w:val="0"/>
              <w:spacing w:line="240" w:lineRule="auto"/>
              <w:jc w:val="right"/>
              <w:rPr>
                <w:rFonts w:eastAsia="Times New Roman" w:cs="Times New Roman"/>
                <w:color w:val="000000"/>
                <w:sz w:val="18"/>
                <w:szCs w:val="18"/>
                <w:lang w:eastAsia="ar-SA" w:bidi="ar-SA"/>
              </w:rPr>
            </w:pPr>
          </w:p>
        </w:tc>
        <w:tc>
          <w:tcPr>
            <w:tcW w:w="1560" w:type="dxa"/>
            <w:tcBorders>
              <w:top w:val="single" w:sz="4" w:space="0" w:color="00FFFF"/>
              <w:bottom w:val="single" w:sz="4" w:space="0" w:color="00FFFF"/>
            </w:tcBorders>
            <w:shd w:val="clear" w:color="auto" w:fill="DDEBF7"/>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1</w:t>
            </w:r>
          </w:p>
        </w:tc>
        <w:tc>
          <w:tcPr>
            <w:tcW w:w="992" w:type="dxa"/>
            <w:tcBorders>
              <w:top w:val="single" w:sz="4" w:space="0" w:color="00FFFF"/>
              <w:bottom w:val="single" w:sz="4" w:space="0" w:color="00FFFF"/>
            </w:tcBorders>
            <w:shd w:val="clear" w:color="auto" w:fill="DDEBF7"/>
            <w:tcMar>
              <w:left w:w="70" w:type="dxa"/>
            </w:tcMar>
            <w:vAlign w:val="bottom"/>
          </w:tcPr>
          <w:p w:rsidR="002C54E6" w:rsidRDefault="002C54E6">
            <w:pPr>
              <w:suppressAutoHyphens w:val="0"/>
              <w:snapToGrid w:val="0"/>
              <w:spacing w:line="240" w:lineRule="auto"/>
              <w:jc w:val="right"/>
              <w:rPr>
                <w:rFonts w:eastAsia="Times New Roman" w:cs="Times New Roman"/>
                <w:color w:val="000000"/>
                <w:sz w:val="18"/>
                <w:szCs w:val="18"/>
                <w:lang w:eastAsia="ar-SA" w:bidi="ar-SA"/>
              </w:rPr>
            </w:pPr>
          </w:p>
        </w:tc>
        <w:tc>
          <w:tcPr>
            <w:tcW w:w="155" w:type="dxa"/>
            <w:tcBorders>
              <w:top w:val="single" w:sz="4" w:space="0" w:color="00FFFF"/>
              <w:bottom w:val="single" w:sz="4" w:space="0" w:color="00FFFF"/>
            </w:tcBorders>
            <w:shd w:val="clear" w:color="auto" w:fill="DDEBF7"/>
            <w:tcMar>
              <w:left w:w="70" w:type="dxa"/>
            </w:tcMar>
          </w:tcPr>
          <w:p w:rsidR="002C54E6" w:rsidRDefault="002C54E6">
            <w:pPr>
              <w:suppressAutoHyphens w:val="0"/>
              <w:snapToGrid w:val="0"/>
              <w:spacing w:line="240" w:lineRule="auto"/>
              <w:jc w:val="right"/>
              <w:rPr>
                <w:rFonts w:eastAsia="Times New Roman" w:cs="Times New Roman"/>
                <w:color w:val="000000"/>
                <w:sz w:val="18"/>
                <w:szCs w:val="18"/>
                <w:lang w:eastAsia="ar-SA" w:bidi="ar-SA"/>
              </w:rPr>
            </w:pPr>
          </w:p>
        </w:tc>
        <w:tc>
          <w:tcPr>
            <w:tcW w:w="1262" w:type="dxa"/>
            <w:tcBorders>
              <w:top w:val="single" w:sz="4" w:space="0" w:color="00FFFF"/>
              <w:bottom w:val="single" w:sz="4" w:space="0" w:color="00FFFF"/>
            </w:tcBorders>
            <w:shd w:val="clear" w:color="auto" w:fill="DDEBF7"/>
            <w:tcMar>
              <w:left w:w="70" w:type="dxa"/>
            </w:tcMar>
            <w:vAlign w:val="bottom"/>
          </w:tcPr>
          <w:p w:rsidR="002C54E6" w:rsidRDefault="002C54E6">
            <w:pPr>
              <w:suppressAutoHyphens w:val="0"/>
              <w:snapToGrid w:val="0"/>
              <w:spacing w:line="240" w:lineRule="auto"/>
              <w:jc w:val="right"/>
              <w:rPr>
                <w:rFonts w:eastAsia="Times New Roman" w:cs="Times New Roman"/>
                <w:color w:val="000000"/>
                <w:sz w:val="18"/>
                <w:szCs w:val="18"/>
                <w:lang w:eastAsia="ar-SA" w:bidi="ar-SA"/>
              </w:rPr>
            </w:pPr>
          </w:p>
        </w:tc>
        <w:tc>
          <w:tcPr>
            <w:tcW w:w="704" w:type="dxa"/>
            <w:tcBorders>
              <w:top w:val="single" w:sz="4" w:space="0" w:color="00FFFF"/>
              <w:left w:val="single" w:sz="4" w:space="0" w:color="00FFFF"/>
              <w:bottom w:val="single" w:sz="4" w:space="0" w:color="00FFFF"/>
              <w:right w:val="single" w:sz="4" w:space="0" w:color="00FFFF"/>
            </w:tcBorders>
            <w:shd w:val="clear" w:color="auto" w:fill="D9D9D9"/>
            <w:tcMar>
              <w:left w:w="45"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1</w:t>
            </w:r>
          </w:p>
        </w:tc>
      </w:tr>
      <w:tr w:rsidR="002C54E6">
        <w:trPr>
          <w:trHeight w:val="290"/>
        </w:trPr>
        <w:tc>
          <w:tcPr>
            <w:tcW w:w="3327" w:type="dxa"/>
            <w:tcBorders>
              <w:top w:val="single" w:sz="4" w:space="0" w:color="00FFFF"/>
              <w:left w:val="single" w:sz="4" w:space="0" w:color="00FFFF"/>
              <w:bottom w:val="single" w:sz="4" w:space="0" w:color="00FFFF"/>
            </w:tcBorders>
            <w:shd w:val="clear" w:color="auto" w:fill="auto"/>
            <w:tcMar>
              <w:left w:w="35" w:type="dxa"/>
            </w:tcMar>
            <w:vAlign w:val="bottom"/>
          </w:tcPr>
          <w:p w:rsidR="002C54E6" w:rsidRDefault="00D752E7">
            <w:pPr>
              <w:suppressAutoHyphens w:val="0"/>
              <w:spacing w:line="240" w:lineRule="auto"/>
              <w:rPr>
                <w:rFonts w:cs="Times New Roman"/>
                <w:sz w:val="18"/>
                <w:szCs w:val="18"/>
              </w:rPr>
            </w:pPr>
            <w:r>
              <w:rPr>
                <w:rFonts w:eastAsia="Times New Roman" w:cs="Times New Roman"/>
                <w:color w:val="000000"/>
                <w:sz w:val="18"/>
                <w:szCs w:val="18"/>
                <w:lang w:eastAsia="ar-SA" w:bidi="ar-SA"/>
              </w:rPr>
              <w:t>8 Lokalna Polityka Społeczna</w:t>
            </w:r>
          </w:p>
        </w:tc>
        <w:tc>
          <w:tcPr>
            <w:tcW w:w="996" w:type="dxa"/>
            <w:tcBorders>
              <w:top w:val="single" w:sz="4" w:space="0" w:color="00FFFF"/>
              <w:bottom w:val="single" w:sz="4" w:space="0" w:color="00FFFF"/>
            </w:tcBorders>
            <w:shd w:val="clear" w:color="auto" w:fill="auto"/>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2</w:t>
            </w:r>
          </w:p>
        </w:tc>
        <w:tc>
          <w:tcPr>
            <w:tcW w:w="1560" w:type="dxa"/>
            <w:tcBorders>
              <w:top w:val="single" w:sz="4" w:space="0" w:color="00FFFF"/>
              <w:bottom w:val="single" w:sz="4" w:space="0" w:color="00FFFF"/>
            </w:tcBorders>
            <w:shd w:val="clear" w:color="auto" w:fill="auto"/>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7</w:t>
            </w:r>
          </w:p>
        </w:tc>
        <w:tc>
          <w:tcPr>
            <w:tcW w:w="992" w:type="dxa"/>
            <w:tcBorders>
              <w:top w:val="single" w:sz="4" w:space="0" w:color="00FFFF"/>
              <w:bottom w:val="single" w:sz="4" w:space="0" w:color="00FFFF"/>
            </w:tcBorders>
            <w:shd w:val="clear" w:color="auto" w:fill="auto"/>
            <w:tcMar>
              <w:left w:w="70" w:type="dxa"/>
            </w:tcMar>
            <w:vAlign w:val="bottom"/>
          </w:tcPr>
          <w:p w:rsidR="002C54E6" w:rsidRDefault="002C54E6">
            <w:pPr>
              <w:suppressAutoHyphens w:val="0"/>
              <w:snapToGrid w:val="0"/>
              <w:spacing w:line="240" w:lineRule="auto"/>
              <w:jc w:val="right"/>
              <w:rPr>
                <w:rFonts w:eastAsia="Times New Roman" w:cs="Times New Roman"/>
                <w:color w:val="000000"/>
                <w:sz w:val="18"/>
                <w:szCs w:val="18"/>
                <w:lang w:eastAsia="ar-SA" w:bidi="ar-SA"/>
              </w:rPr>
            </w:pPr>
          </w:p>
        </w:tc>
        <w:tc>
          <w:tcPr>
            <w:tcW w:w="155" w:type="dxa"/>
            <w:tcBorders>
              <w:top w:val="single" w:sz="4" w:space="0" w:color="00FFFF"/>
              <w:bottom w:val="single" w:sz="4" w:space="0" w:color="00FFFF"/>
            </w:tcBorders>
            <w:shd w:val="clear" w:color="auto" w:fill="auto"/>
            <w:tcMar>
              <w:left w:w="70" w:type="dxa"/>
            </w:tcMar>
          </w:tcPr>
          <w:p w:rsidR="002C54E6" w:rsidRDefault="002C54E6">
            <w:pPr>
              <w:suppressAutoHyphens w:val="0"/>
              <w:spacing w:line="240" w:lineRule="auto"/>
              <w:jc w:val="right"/>
              <w:rPr>
                <w:rFonts w:eastAsia="Times New Roman" w:cs="Times New Roman"/>
                <w:color w:val="000000"/>
                <w:sz w:val="18"/>
                <w:szCs w:val="18"/>
                <w:lang w:eastAsia="ar-SA" w:bidi="ar-SA"/>
              </w:rPr>
            </w:pPr>
          </w:p>
        </w:tc>
        <w:tc>
          <w:tcPr>
            <w:tcW w:w="1262" w:type="dxa"/>
            <w:tcBorders>
              <w:top w:val="single" w:sz="4" w:space="0" w:color="00FFFF"/>
              <w:bottom w:val="single" w:sz="4" w:space="0" w:color="00FFFF"/>
            </w:tcBorders>
            <w:shd w:val="clear" w:color="auto" w:fill="auto"/>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6</w:t>
            </w:r>
          </w:p>
        </w:tc>
        <w:tc>
          <w:tcPr>
            <w:tcW w:w="704" w:type="dxa"/>
            <w:tcBorders>
              <w:top w:val="single" w:sz="4" w:space="0" w:color="00FFFF"/>
              <w:left w:val="single" w:sz="4" w:space="0" w:color="00FFFF"/>
              <w:bottom w:val="single" w:sz="4" w:space="0" w:color="00FFFF"/>
              <w:right w:val="single" w:sz="4" w:space="0" w:color="00FFFF"/>
            </w:tcBorders>
            <w:shd w:val="clear" w:color="auto" w:fill="D9D9D9"/>
            <w:tcMar>
              <w:left w:w="45"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15</w:t>
            </w:r>
          </w:p>
        </w:tc>
      </w:tr>
      <w:tr w:rsidR="002C54E6">
        <w:trPr>
          <w:trHeight w:val="290"/>
        </w:trPr>
        <w:tc>
          <w:tcPr>
            <w:tcW w:w="3327" w:type="dxa"/>
            <w:tcBorders>
              <w:top w:val="single" w:sz="4" w:space="0" w:color="00FFFF"/>
              <w:left w:val="single" w:sz="4" w:space="0" w:color="00FFFF"/>
              <w:bottom w:val="single" w:sz="4" w:space="0" w:color="00FFFF"/>
            </w:tcBorders>
            <w:shd w:val="clear" w:color="auto" w:fill="DDEBF7"/>
            <w:tcMar>
              <w:left w:w="35" w:type="dxa"/>
            </w:tcMar>
            <w:vAlign w:val="bottom"/>
          </w:tcPr>
          <w:p w:rsidR="002C54E6" w:rsidRDefault="00D752E7">
            <w:pPr>
              <w:suppressAutoHyphens w:val="0"/>
              <w:spacing w:line="240" w:lineRule="auto"/>
              <w:rPr>
                <w:rFonts w:cs="Times New Roman"/>
                <w:sz w:val="18"/>
                <w:szCs w:val="18"/>
              </w:rPr>
            </w:pPr>
            <w:r>
              <w:rPr>
                <w:rFonts w:eastAsia="Times New Roman" w:cs="Times New Roman"/>
                <w:color w:val="000000"/>
                <w:sz w:val="18"/>
                <w:szCs w:val="18"/>
                <w:lang w:eastAsia="ar-SA" w:bidi="ar-SA"/>
              </w:rPr>
              <w:t>9 Kultura i Rekreacja</w:t>
            </w:r>
          </w:p>
        </w:tc>
        <w:tc>
          <w:tcPr>
            <w:tcW w:w="996" w:type="dxa"/>
            <w:tcBorders>
              <w:top w:val="single" w:sz="4" w:space="0" w:color="00FFFF"/>
              <w:bottom w:val="single" w:sz="4" w:space="0" w:color="00FFFF"/>
            </w:tcBorders>
            <w:shd w:val="clear" w:color="auto" w:fill="DDEBF7"/>
            <w:tcMar>
              <w:left w:w="70" w:type="dxa"/>
            </w:tcMar>
            <w:vAlign w:val="bottom"/>
          </w:tcPr>
          <w:p w:rsidR="002C54E6" w:rsidRDefault="002C54E6">
            <w:pPr>
              <w:suppressAutoHyphens w:val="0"/>
              <w:snapToGrid w:val="0"/>
              <w:spacing w:line="240" w:lineRule="auto"/>
              <w:jc w:val="right"/>
              <w:rPr>
                <w:rFonts w:eastAsia="Times New Roman" w:cs="Times New Roman"/>
                <w:color w:val="000000"/>
                <w:sz w:val="18"/>
                <w:szCs w:val="18"/>
                <w:lang w:eastAsia="ar-SA" w:bidi="ar-SA"/>
              </w:rPr>
            </w:pPr>
          </w:p>
        </w:tc>
        <w:tc>
          <w:tcPr>
            <w:tcW w:w="1560" w:type="dxa"/>
            <w:tcBorders>
              <w:top w:val="single" w:sz="4" w:space="0" w:color="00FFFF"/>
              <w:bottom w:val="single" w:sz="4" w:space="0" w:color="00FFFF"/>
            </w:tcBorders>
            <w:shd w:val="clear" w:color="auto" w:fill="DDEBF7"/>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1</w:t>
            </w:r>
          </w:p>
        </w:tc>
        <w:tc>
          <w:tcPr>
            <w:tcW w:w="992" w:type="dxa"/>
            <w:tcBorders>
              <w:top w:val="single" w:sz="4" w:space="0" w:color="00FFFF"/>
              <w:bottom w:val="single" w:sz="4" w:space="0" w:color="00FFFF"/>
            </w:tcBorders>
            <w:shd w:val="clear" w:color="auto" w:fill="DDEBF7"/>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3</w:t>
            </w:r>
          </w:p>
        </w:tc>
        <w:tc>
          <w:tcPr>
            <w:tcW w:w="155" w:type="dxa"/>
            <w:tcBorders>
              <w:top w:val="single" w:sz="4" w:space="0" w:color="00FFFF"/>
              <w:bottom w:val="single" w:sz="4" w:space="0" w:color="00FFFF"/>
            </w:tcBorders>
            <w:shd w:val="clear" w:color="auto" w:fill="DDEBF7"/>
            <w:tcMar>
              <w:left w:w="70" w:type="dxa"/>
            </w:tcMar>
          </w:tcPr>
          <w:p w:rsidR="002C54E6" w:rsidRDefault="002C54E6">
            <w:pPr>
              <w:suppressAutoHyphens w:val="0"/>
              <w:spacing w:line="240" w:lineRule="auto"/>
              <w:jc w:val="right"/>
              <w:rPr>
                <w:rFonts w:eastAsia="Times New Roman" w:cs="Times New Roman"/>
                <w:color w:val="000000"/>
                <w:sz w:val="18"/>
                <w:szCs w:val="18"/>
                <w:lang w:eastAsia="ar-SA" w:bidi="ar-SA"/>
              </w:rPr>
            </w:pPr>
          </w:p>
        </w:tc>
        <w:tc>
          <w:tcPr>
            <w:tcW w:w="1262" w:type="dxa"/>
            <w:tcBorders>
              <w:top w:val="single" w:sz="4" w:space="0" w:color="00FFFF"/>
              <w:bottom w:val="single" w:sz="4" w:space="0" w:color="00FFFF"/>
            </w:tcBorders>
            <w:shd w:val="clear" w:color="auto" w:fill="DDEBF7"/>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2</w:t>
            </w:r>
          </w:p>
        </w:tc>
        <w:tc>
          <w:tcPr>
            <w:tcW w:w="704" w:type="dxa"/>
            <w:tcBorders>
              <w:top w:val="single" w:sz="4" w:space="0" w:color="00FFFF"/>
              <w:left w:val="single" w:sz="4" w:space="0" w:color="00FFFF"/>
              <w:bottom w:val="single" w:sz="4" w:space="0" w:color="00FFFF"/>
              <w:right w:val="single" w:sz="4" w:space="0" w:color="00FFFF"/>
            </w:tcBorders>
            <w:shd w:val="clear" w:color="auto" w:fill="D9D9D9"/>
            <w:tcMar>
              <w:left w:w="45"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6</w:t>
            </w:r>
          </w:p>
        </w:tc>
      </w:tr>
      <w:tr w:rsidR="002C54E6">
        <w:trPr>
          <w:trHeight w:val="290"/>
        </w:trPr>
        <w:tc>
          <w:tcPr>
            <w:tcW w:w="3327" w:type="dxa"/>
            <w:tcBorders>
              <w:top w:val="single" w:sz="4" w:space="0" w:color="00FFFF"/>
              <w:left w:val="single" w:sz="4" w:space="0" w:color="00FFFF"/>
              <w:bottom w:val="single" w:sz="4" w:space="0" w:color="00FFFF"/>
            </w:tcBorders>
            <w:shd w:val="clear" w:color="auto" w:fill="D9D9D9"/>
            <w:tcMar>
              <w:left w:w="35" w:type="dxa"/>
            </w:tcMar>
            <w:vAlign w:val="bottom"/>
          </w:tcPr>
          <w:p w:rsidR="002C54E6" w:rsidRDefault="00D752E7">
            <w:pPr>
              <w:suppressAutoHyphens w:val="0"/>
              <w:spacing w:line="240" w:lineRule="auto"/>
              <w:rPr>
                <w:rFonts w:cs="Times New Roman"/>
                <w:sz w:val="18"/>
                <w:szCs w:val="18"/>
              </w:rPr>
            </w:pPr>
            <w:r>
              <w:rPr>
                <w:rFonts w:eastAsia="Times New Roman" w:cs="Times New Roman"/>
                <w:color w:val="000000"/>
                <w:sz w:val="18"/>
                <w:szCs w:val="18"/>
                <w:lang w:eastAsia="ar-SA" w:bidi="ar-SA"/>
              </w:rPr>
              <w:t>Suma</w:t>
            </w:r>
          </w:p>
        </w:tc>
        <w:tc>
          <w:tcPr>
            <w:tcW w:w="996" w:type="dxa"/>
            <w:tcBorders>
              <w:top w:val="single" w:sz="4" w:space="0" w:color="00FFFF"/>
              <w:bottom w:val="single" w:sz="4" w:space="0" w:color="00FFFF"/>
            </w:tcBorders>
            <w:shd w:val="clear" w:color="auto" w:fill="D9D9D9"/>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12</w:t>
            </w:r>
          </w:p>
        </w:tc>
        <w:tc>
          <w:tcPr>
            <w:tcW w:w="1560" w:type="dxa"/>
            <w:tcBorders>
              <w:top w:val="single" w:sz="4" w:space="0" w:color="00FFFF"/>
              <w:bottom w:val="single" w:sz="4" w:space="0" w:color="00FFFF"/>
            </w:tcBorders>
            <w:shd w:val="clear" w:color="auto" w:fill="D9D9D9"/>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27</w:t>
            </w:r>
          </w:p>
        </w:tc>
        <w:tc>
          <w:tcPr>
            <w:tcW w:w="992" w:type="dxa"/>
            <w:tcBorders>
              <w:top w:val="single" w:sz="4" w:space="0" w:color="00FFFF"/>
              <w:bottom w:val="single" w:sz="4" w:space="0" w:color="00FFFF"/>
            </w:tcBorders>
            <w:shd w:val="clear" w:color="auto" w:fill="D9D9D9"/>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13</w:t>
            </w:r>
          </w:p>
        </w:tc>
        <w:tc>
          <w:tcPr>
            <w:tcW w:w="155" w:type="dxa"/>
            <w:tcBorders>
              <w:top w:val="single" w:sz="4" w:space="0" w:color="00FFFF"/>
              <w:bottom w:val="single" w:sz="4" w:space="0" w:color="00FFFF"/>
            </w:tcBorders>
            <w:shd w:val="clear" w:color="auto" w:fill="D9D9D9"/>
            <w:tcMar>
              <w:left w:w="70" w:type="dxa"/>
            </w:tcMar>
          </w:tcPr>
          <w:p w:rsidR="002C54E6" w:rsidRDefault="002C54E6">
            <w:pPr>
              <w:suppressAutoHyphens w:val="0"/>
              <w:spacing w:line="240" w:lineRule="auto"/>
              <w:jc w:val="right"/>
              <w:rPr>
                <w:rFonts w:eastAsia="Times New Roman" w:cs="Times New Roman"/>
                <w:color w:val="000000"/>
                <w:sz w:val="18"/>
                <w:szCs w:val="18"/>
                <w:lang w:eastAsia="ar-SA" w:bidi="ar-SA"/>
              </w:rPr>
            </w:pPr>
          </w:p>
        </w:tc>
        <w:tc>
          <w:tcPr>
            <w:tcW w:w="1262" w:type="dxa"/>
            <w:tcBorders>
              <w:top w:val="single" w:sz="4" w:space="0" w:color="00FFFF"/>
              <w:bottom w:val="single" w:sz="4" w:space="0" w:color="00FFFF"/>
            </w:tcBorders>
            <w:shd w:val="clear" w:color="auto" w:fill="D9D9D9"/>
            <w:tcMar>
              <w:left w:w="70"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19</w:t>
            </w:r>
          </w:p>
        </w:tc>
        <w:tc>
          <w:tcPr>
            <w:tcW w:w="704" w:type="dxa"/>
            <w:tcBorders>
              <w:top w:val="single" w:sz="4" w:space="0" w:color="00FFFF"/>
              <w:left w:val="single" w:sz="4" w:space="0" w:color="00FFFF"/>
              <w:bottom w:val="single" w:sz="4" w:space="0" w:color="00FFFF"/>
              <w:right w:val="single" w:sz="4" w:space="0" w:color="00FFFF"/>
            </w:tcBorders>
            <w:shd w:val="clear" w:color="auto" w:fill="D9D9D9"/>
            <w:tcMar>
              <w:left w:w="45" w:type="dxa"/>
            </w:tcMar>
            <w:vAlign w:val="bottom"/>
          </w:tcPr>
          <w:p w:rsidR="002C54E6" w:rsidRDefault="00D752E7">
            <w:pPr>
              <w:suppressAutoHyphens w:val="0"/>
              <w:spacing w:line="240" w:lineRule="auto"/>
              <w:jc w:val="right"/>
              <w:rPr>
                <w:rFonts w:cs="Times New Roman"/>
                <w:sz w:val="18"/>
                <w:szCs w:val="18"/>
              </w:rPr>
            </w:pPr>
            <w:r>
              <w:rPr>
                <w:rFonts w:eastAsia="Times New Roman" w:cs="Times New Roman"/>
                <w:color w:val="000000"/>
                <w:sz w:val="18"/>
                <w:szCs w:val="18"/>
                <w:lang w:eastAsia="ar-SA" w:bidi="ar-SA"/>
              </w:rPr>
              <w:t>71</w:t>
            </w:r>
          </w:p>
        </w:tc>
      </w:tr>
    </w:tbl>
    <w:p w:rsidR="002C54E6" w:rsidRDefault="00D752E7">
      <w:pPr>
        <w:jc w:val="both"/>
        <w:rPr>
          <w:rFonts w:cs="Times New Roman"/>
          <w:sz w:val="20"/>
          <w:szCs w:val="20"/>
        </w:rPr>
      </w:pPr>
      <w:r>
        <w:rPr>
          <w:rFonts w:cs="Times New Roman"/>
          <w:sz w:val="20"/>
          <w:szCs w:val="20"/>
        </w:rPr>
        <w:t>Tabela 2: Poddział formularzy „Pozostałe” na obszary tematyczne</w:t>
      </w:r>
      <w:r w:rsidR="0037185A">
        <w:rPr>
          <w:rFonts w:cs="Times New Roman"/>
          <w:sz w:val="20"/>
          <w:szCs w:val="20"/>
        </w:rPr>
        <w:t>.</w:t>
      </w:r>
    </w:p>
    <w:p w:rsidR="002C54E6" w:rsidRDefault="002C54E6">
      <w:pPr>
        <w:jc w:val="both"/>
        <w:rPr>
          <w:rFonts w:ascii="Fira Sans" w:eastAsia="Times New Roman" w:hAnsi="Fira Sans" w:cs="Fira Sans"/>
          <w:bCs/>
          <w:sz w:val="20"/>
          <w:szCs w:val="20"/>
          <w:lang w:eastAsia="ar-SA" w:bidi="ar-SA"/>
        </w:rPr>
      </w:pPr>
    </w:p>
    <w:p w:rsidR="002C54E6" w:rsidRDefault="0037185A">
      <w:pPr>
        <w:jc w:val="both"/>
      </w:pPr>
      <w:r>
        <w:rPr>
          <w:rFonts w:cs="Times New Roman"/>
          <w:sz w:val="22"/>
          <w:szCs w:val="22"/>
        </w:rPr>
        <w:t>Podsumowując, na poziomie</w:t>
      </w:r>
      <w:r w:rsidR="00D752E7">
        <w:rPr>
          <w:rFonts w:cs="Times New Roman"/>
          <w:sz w:val="22"/>
          <w:szCs w:val="22"/>
        </w:rPr>
        <w:t xml:space="preserve"> powiatów i gmin istnieje szacunkowo do 100 sprawozdań, które wyodrębnione zostały w grupie „pozostałe” i które nie objęte są systemami informatycznymi.</w:t>
      </w:r>
    </w:p>
    <w:p w:rsidR="002C54E6" w:rsidRDefault="00D752E7">
      <w:pPr>
        <w:jc w:val="both"/>
        <w:rPr>
          <w:rFonts w:cs="Times New Roman"/>
          <w:b/>
          <w:color w:val="FF0000"/>
          <w:sz w:val="22"/>
          <w:szCs w:val="22"/>
        </w:rPr>
      </w:pPr>
      <w:r>
        <w:rPr>
          <w:rFonts w:cs="Times New Roman"/>
          <w:sz w:val="22"/>
          <w:szCs w:val="22"/>
        </w:rPr>
        <w:t>Większa część (ponad 50%) sprawozdawczości prowadzona jest poprzez dedykowane systemy dziedzinowe, np. SIO, CAS, Bestia, czy Syriusz. Ustandaryzowane systemy informatyczne, z którymi potencjalnie należałoby integrować system HUB szacujemy na około 20.</w:t>
      </w:r>
    </w:p>
    <w:p w:rsidR="002C54E6" w:rsidRDefault="00D752E7">
      <w:pPr>
        <w:jc w:val="both"/>
        <w:rPr>
          <w:rFonts w:cs="Times New Roman"/>
          <w:sz w:val="22"/>
          <w:szCs w:val="22"/>
        </w:rPr>
      </w:pPr>
      <w:r>
        <w:rPr>
          <w:rFonts w:cs="Times New Roman"/>
          <w:sz w:val="22"/>
          <w:szCs w:val="22"/>
        </w:rPr>
        <w:t xml:space="preserve">Ze względu na ustandaryzowany charakter tego typu sprawozdawczości, dane nie zostały poddane dalszej analizie prac.  Ewidencji oraz dalszej analizie nie podlegały również sprawozdania wynikające z: rozliczeń dotacyjnych i krótkookresowych projektów unijnych oraz sprawozdania do Urzędu Zamówień Publicznych, ZUS Urzędów Skarbowych. Do szczegółowej analizy wybrane zostały sprawozdania wyszczególnione w grupie „pozostałe”. Na dalszym etapie weryfikacji okazało się, że prawie wszystkie zestawienia wykazane zostały przez wszystkie cztery zespoły sprawozdawcze. W celu uniknięcia redundancji prac w poszczególnych zespołach podzielono 71 wybranych sprawozdań do dalszego rozpisywania przez poszczególne zespoły z US-ów. </w:t>
      </w:r>
    </w:p>
    <w:p w:rsidR="002C54E6" w:rsidRDefault="00D752E7">
      <w:pPr>
        <w:jc w:val="both"/>
        <w:rPr>
          <w:rFonts w:cs="Times New Roman"/>
          <w:sz w:val="22"/>
          <w:szCs w:val="22"/>
        </w:rPr>
      </w:pPr>
      <w:r>
        <w:rPr>
          <w:rFonts w:cs="Times New Roman"/>
          <w:sz w:val="22"/>
          <w:szCs w:val="22"/>
        </w:rPr>
        <w:t>Zdarzały się sprawozdania, które zawierały mniejszą liczbę w</w:t>
      </w:r>
      <w:r w:rsidR="00D57386">
        <w:rPr>
          <w:rFonts w:cs="Times New Roman"/>
          <w:sz w:val="22"/>
          <w:szCs w:val="22"/>
        </w:rPr>
        <w:t>skaźników około 10, ale były też</w:t>
      </w:r>
      <w:r>
        <w:rPr>
          <w:rFonts w:cs="Times New Roman"/>
          <w:sz w:val="22"/>
          <w:szCs w:val="22"/>
        </w:rPr>
        <w:t xml:space="preserve"> znacznie obszerniejsze, o</w:t>
      </w:r>
      <w:r w:rsidR="00D57386">
        <w:rPr>
          <w:rFonts w:cs="Times New Roman"/>
          <w:sz w:val="22"/>
          <w:szCs w:val="22"/>
        </w:rPr>
        <w:t>bejmujące informacje zawierające</w:t>
      </w:r>
      <w:r>
        <w:rPr>
          <w:rFonts w:cs="Times New Roman"/>
          <w:sz w:val="22"/>
          <w:szCs w:val="22"/>
        </w:rPr>
        <w:t xml:space="preserve"> około 60 zmien</w:t>
      </w:r>
      <w:r w:rsidR="00D57386">
        <w:rPr>
          <w:rFonts w:cs="Times New Roman"/>
          <w:sz w:val="22"/>
          <w:szCs w:val="22"/>
        </w:rPr>
        <w:t>nych. Każda zmienna występująca</w:t>
      </w:r>
      <w:r>
        <w:rPr>
          <w:rFonts w:cs="Times New Roman"/>
          <w:sz w:val="22"/>
          <w:szCs w:val="22"/>
        </w:rPr>
        <w:t xml:space="preserve"> w formularzach została rozpisana, wraz z informacjami o polach wyliczalnych i nie standardowych.</w:t>
      </w:r>
    </w:p>
    <w:p w:rsidR="002C54E6" w:rsidRDefault="00D752E7">
      <w:pPr>
        <w:jc w:val="both"/>
      </w:pPr>
      <w:r>
        <w:rPr>
          <w:rFonts w:cs="Times New Roman"/>
          <w:sz w:val="22"/>
          <w:szCs w:val="22"/>
        </w:rPr>
        <w:t xml:space="preserve">Dominującą funkcją matematyczną pojawiającą się w sprawozdaniach był agregat sumy, rzadziej iloraz, różnica, a w jednostkowych przypadkach średnia arytmetyczna czy dynamika. W niektórych przypadkach występowały zmienne typu tekstowego, czyli pola w których odpowiedzią była możliwość </w:t>
      </w:r>
      <w:r w:rsidR="00D57386">
        <w:rPr>
          <w:rFonts w:cs="Times New Roman"/>
          <w:sz w:val="22"/>
          <w:szCs w:val="22"/>
        </w:rPr>
        <w:t>wpisania</w:t>
      </w:r>
      <w:r>
        <w:rPr>
          <w:rFonts w:cs="Times New Roman"/>
          <w:sz w:val="22"/>
          <w:szCs w:val="22"/>
        </w:rPr>
        <w:t xml:space="preserve"> TAK/NIE lub dowolne pole opisowe. W kilku przypadkach wykazano opcję wyboru odpowiedzi z listy rozwijalnej. W 10 przypadkach wskazano formularze, w których zmienne pojawiają się  w innych formularzach, co jak na tak duży wolumen przeanalizowanych zmiennych jest liczbą bardzo małą. </w:t>
      </w:r>
    </w:p>
    <w:p w:rsidR="002C54E6" w:rsidRDefault="00D752E7">
      <w:pPr>
        <w:jc w:val="both"/>
      </w:pPr>
      <w:r>
        <w:rPr>
          <w:rFonts w:cs="Times New Roman"/>
          <w:sz w:val="22"/>
          <w:szCs w:val="22"/>
        </w:rPr>
        <w:t>Istotne problemy i zagrożenia w realizacji dalszego procesu zasilania HUB o sprawozdania nieustandaryzowane, które są wynikiem powyższego badania to:</w:t>
      </w:r>
    </w:p>
    <w:p w:rsidR="002C54E6" w:rsidRDefault="00D752E7">
      <w:pPr>
        <w:jc w:val="both"/>
        <w:rPr>
          <w:rFonts w:cs="Times New Roman"/>
          <w:sz w:val="22"/>
          <w:szCs w:val="22"/>
        </w:rPr>
      </w:pPr>
      <w:r>
        <w:rPr>
          <w:rFonts w:cs="Times New Roman"/>
          <w:sz w:val="22"/>
          <w:szCs w:val="22"/>
        </w:rPr>
        <w:t>- brak nazewnictwa, symboli sprawozdań,</w:t>
      </w:r>
    </w:p>
    <w:p w:rsidR="002C54E6" w:rsidRDefault="00D752E7">
      <w:pPr>
        <w:jc w:val="both"/>
        <w:rPr>
          <w:rFonts w:cs="Times New Roman"/>
          <w:sz w:val="22"/>
          <w:szCs w:val="22"/>
        </w:rPr>
      </w:pPr>
      <w:r>
        <w:rPr>
          <w:rFonts w:cs="Times New Roman"/>
          <w:sz w:val="22"/>
          <w:szCs w:val="22"/>
        </w:rPr>
        <w:t xml:space="preserve">- brak ustandaryzowanej formy przekazywania danych (nie zawsze w formie tabeli), </w:t>
      </w:r>
    </w:p>
    <w:p w:rsidR="002C54E6" w:rsidRDefault="00D752E7">
      <w:pPr>
        <w:jc w:val="both"/>
        <w:rPr>
          <w:rFonts w:cs="Times New Roman"/>
          <w:sz w:val="22"/>
          <w:szCs w:val="22"/>
        </w:rPr>
      </w:pPr>
      <w:r>
        <w:rPr>
          <w:rFonts w:cs="Times New Roman"/>
          <w:sz w:val="22"/>
          <w:szCs w:val="22"/>
        </w:rPr>
        <w:t>-  różne formaty przesyłania danych (m.in. Word, Excell, PDF),</w:t>
      </w:r>
    </w:p>
    <w:p w:rsidR="002C54E6" w:rsidRDefault="00D752E7">
      <w:pPr>
        <w:jc w:val="both"/>
        <w:rPr>
          <w:rFonts w:cs="Times New Roman"/>
          <w:sz w:val="22"/>
          <w:szCs w:val="22"/>
        </w:rPr>
      </w:pPr>
      <w:r>
        <w:rPr>
          <w:rFonts w:cs="Times New Roman"/>
          <w:sz w:val="22"/>
          <w:szCs w:val="22"/>
        </w:rPr>
        <w:t>- różne formaty pól wpisywania zmiennych (wartości liczbowe, pola tekstowe, pola opisowe, sumowania pól),</w:t>
      </w:r>
    </w:p>
    <w:p w:rsidR="002C54E6" w:rsidRDefault="00D752E7">
      <w:pPr>
        <w:jc w:val="both"/>
        <w:rPr>
          <w:rFonts w:cs="Times New Roman"/>
          <w:sz w:val="22"/>
          <w:szCs w:val="22"/>
        </w:rPr>
      </w:pPr>
      <w:r>
        <w:rPr>
          <w:rFonts w:cs="Times New Roman"/>
          <w:sz w:val="22"/>
          <w:szCs w:val="22"/>
        </w:rPr>
        <w:t xml:space="preserve">- konieczność przenoszenia zmiennych ze struktury tabelarycznej na liniową  (każda zmienna przypisana do jednego rekordu), co w procesie implementacji zmiennych do bazy danych jest procesem bardzo pracochłonnym. </w:t>
      </w:r>
    </w:p>
    <w:p w:rsidR="002C54E6" w:rsidRDefault="002C54E6">
      <w:pPr>
        <w:jc w:val="both"/>
        <w:rPr>
          <w:rFonts w:cs="Times New Roman"/>
          <w:sz w:val="22"/>
          <w:szCs w:val="22"/>
        </w:rPr>
      </w:pPr>
    </w:p>
    <w:p w:rsidR="002C54E6" w:rsidRDefault="00D752E7">
      <w:pPr>
        <w:pStyle w:val="Nagwek1"/>
        <w:numPr>
          <w:ilvl w:val="0"/>
          <w:numId w:val="2"/>
        </w:numPr>
        <w:rPr>
          <w:rFonts w:ascii="Times New Roman" w:hAnsi="Times New Roman" w:cs="Times New Roman"/>
          <w:sz w:val="28"/>
          <w:szCs w:val="28"/>
        </w:rPr>
      </w:pPr>
      <w:bookmarkStart w:id="17" w:name="_Toc89935353"/>
      <w:bookmarkEnd w:id="17"/>
      <w:r>
        <w:rPr>
          <w:rFonts w:ascii="Times New Roman" w:hAnsi="Times New Roman" w:cs="Times New Roman"/>
          <w:sz w:val="28"/>
          <w:szCs w:val="28"/>
        </w:rPr>
        <w:t>6. Badania sprawozdawczości na poziomie wojewódzkim</w:t>
      </w:r>
    </w:p>
    <w:p w:rsidR="002C54E6" w:rsidRDefault="00D752E7">
      <w:pPr>
        <w:jc w:val="both"/>
        <w:rPr>
          <w:rFonts w:cs="Times New Roman"/>
          <w:sz w:val="22"/>
          <w:szCs w:val="22"/>
        </w:rPr>
      </w:pPr>
      <w:bookmarkStart w:id="18" w:name="__RefHeading__1371_1631848161"/>
      <w:bookmarkEnd w:id="18"/>
      <w:r>
        <w:rPr>
          <w:rFonts w:cs="Times New Roman"/>
          <w:color w:val="000000"/>
          <w:sz w:val="22"/>
          <w:szCs w:val="22"/>
        </w:rPr>
        <w:t xml:space="preserve">Administracja na poziomie wojewódzkim obejmuje zarówno administrację państwową (urzędy wojewódzkie wraz z administracją zespoloną) jak i samorządową (urzędy marszałkowskie wraz z jednostkami organizacyjnymi i innymi jednostkami posiadającymi osobowość prawną – samorządowe jednostki kultury, zdrowia itp.). Poziom wojewódzki w obszarze sprawozdawczości jest pośrednim poziomem administracji pomiędzy jednostkami podstawowymi samorządu (gminami i powiatami) a </w:t>
      </w:r>
      <w:r>
        <w:rPr>
          <w:rFonts w:cs="Times New Roman"/>
          <w:color w:val="000000"/>
          <w:sz w:val="22"/>
          <w:szCs w:val="22"/>
        </w:rPr>
        <w:lastRenderedPageBreak/>
        <w:t>organami centralnymi. Warto jednak zaznaczyć, że samorząd województwa jest zobowiązany także do składania sprawozdań ze swojej działalności.</w:t>
      </w:r>
    </w:p>
    <w:p w:rsidR="002C54E6" w:rsidRDefault="002C54E6">
      <w:pPr>
        <w:jc w:val="both"/>
        <w:rPr>
          <w:rFonts w:cs="Times New Roman"/>
          <w:color w:val="000000"/>
          <w:sz w:val="22"/>
          <w:szCs w:val="22"/>
        </w:rPr>
      </w:pPr>
    </w:p>
    <w:p w:rsidR="002C54E6" w:rsidRDefault="00D752E7">
      <w:pPr>
        <w:jc w:val="both"/>
        <w:rPr>
          <w:rFonts w:cs="Times New Roman"/>
          <w:b/>
          <w:bCs/>
          <w:color w:val="000000"/>
          <w:sz w:val="22"/>
          <w:szCs w:val="22"/>
        </w:rPr>
      </w:pPr>
      <w:r>
        <w:rPr>
          <w:rFonts w:cs="Times New Roman"/>
          <w:b/>
          <w:bCs/>
          <w:color w:val="000000"/>
          <w:sz w:val="22"/>
          <w:szCs w:val="22"/>
        </w:rPr>
        <w:t>Sprawozdawczość urzędu wojewódzkiego</w:t>
      </w:r>
    </w:p>
    <w:p w:rsidR="002C54E6" w:rsidRDefault="00D752E7">
      <w:pPr>
        <w:jc w:val="both"/>
        <w:rPr>
          <w:rFonts w:cs="Times New Roman"/>
          <w:color w:val="000000"/>
          <w:sz w:val="22"/>
          <w:szCs w:val="22"/>
        </w:rPr>
      </w:pPr>
      <w:bookmarkStart w:id="19" w:name="Bookmark19"/>
      <w:bookmarkEnd w:id="19"/>
      <w:r>
        <w:rPr>
          <w:rFonts w:cs="Times New Roman"/>
          <w:color w:val="000000"/>
          <w:sz w:val="22"/>
          <w:szCs w:val="22"/>
        </w:rPr>
        <w:t xml:space="preserve">Na prośbę MSWiA Mazowiecki Urząd Wojewódzki (MUW) wstępnie przeanalizował sprawozdawczość przychodzącą i wychodzącą i przesłał zestawienie sprawozdań. </w:t>
      </w:r>
    </w:p>
    <w:p w:rsidR="002C54E6" w:rsidRDefault="00D752E7">
      <w:pPr>
        <w:jc w:val="both"/>
        <w:rPr>
          <w:rFonts w:cs="Times New Roman"/>
          <w:color w:val="000000"/>
          <w:sz w:val="22"/>
          <w:szCs w:val="22"/>
        </w:rPr>
      </w:pPr>
      <w:r>
        <w:rPr>
          <w:rFonts w:cs="Times New Roman"/>
          <w:color w:val="000000"/>
          <w:sz w:val="22"/>
          <w:szCs w:val="22"/>
        </w:rPr>
        <w:t>W zestawieniu zidentyfikowano 81 sprawozdań przekazywanych z JST do MUW. 49 sprawozdań z JST przekazano do MUW za pomocą systemów informatycznych. Zidentyfikowano tu następujące systemy:</w:t>
      </w:r>
    </w:p>
    <w:p w:rsidR="002C54E6" w:rsidRDefault="00D752E7">
      <w:pPr>
        <w:pStyle w:val="Akapitzlist"/>
        <w:numPr>
          <w:ilvl w:val="0"/>
          <w:numId w:val="17"/>
        </w:numPr>
        <w:jc w:val="both"/>
        <w:rPr>
          <w:rFonts w:ascii="Times New Roman" w:hAnsi="Times New Roman" w:cs="Times New Roman"/>
          <w:color w:val="000000" w:themeColor="text1"/>
        </w:rPr>
      </w:pPr>
      <w:r>
        <w:rPr>
          <w:rFonts w:ascii="Times New Roman" w:hAnsi="Times New Roman" w:cs="Times New Roman"/>
          <w:color w:val="000000" w:themeColor="text1"/>
        </w:rPr>
        <w:t>NPP-NPO (nieodpłatna pomoc prawna);</w:t>
      </w:r>
    </w:p>
    <w:p w:rsidR="002C54E6" w:rsidRDefault="00D752E7">
      <w:pPr>
        <w:pStyle w:val="Akapitzlist"/>
        <w:numPr>
          <w:ilvl w:val="0"/>
          <w:numId w:val="17"/>
        </w:numPr>
        <w:jc w:val="both"/>
        <w:rPr>
          <w:rFonts w:ascii="Times New Roman" w:hAnsi="Times New Roman" w:cs="Times New Roman"/>
          <w:color w:val="000000" w:themeColor="text1"/>
        </w:rPr>
      </w:pPr>
      <w:r>
        <w:rPr>
          <w:rFonts w:ascii="Times New Roman" w:hAnsi="Times New Roman" w:cs="Times New Roman"/>
          <w:color w:val="000000" w:themeColor="text1"/>
        </w:rPr>
        <w:t>CAS (sprawy społeczne);</w:t>
      </w:r>
    </w:p>
    <w:p w:rsidR="002C54E6" w:rsidRDefault="00D752E7">
      <w:pPr>
        <w:pStyle w:val="Akapitzlist"/>
        <w:numPr>
          <w:ilvl w:val="0"/>
          <w:numId w:val="17"/>
        </w:numPr>
        <w:jc w:val="both"/>
        <w:rPr>
          <w:rFonts w:ascii="Times New Roman" w:hAnsi="Times New Roman" w:cs="Times New Roman"/>
          <w:color w:val="000000" w:themeColor="text1"/>
        </w:rPr>
      </w:pPr>
      <w:r>
        <w:rPr>
          <w:rFonts w:ascii="Times New Roman" w:hAnsi="Times New Roman" w:cs="Times New Roman"/>
          <w:color w:val="000000" w:themeColor="text1"/>
        </w:rPr>
        <w:t>Elektroniczny system sprawozdawczy MZ (sprawy społeczne – zdrowie);</w:t>
      </w:r>
    </w:p>
    <w:p w:rsidR="002C54E6" w:rsidRDefault="00D752E7">
      <w:pPr>
        <w:pStyle w:val="Akapitzlist"/>
        <w:numPr>
          <w:ilvl w:val="0"/>
          <w:numId w:val="17"/>
        </w:numPr>
        <w:jc w:val="both"/>
        <w:rPr>
          <w:rFonts w:ascii="Times New Roman" w:hAnsi="Times New Roman" w:cs="Times New Roman"/>
          <w:color w:val="000000" w:themeColor="text1"/>
        </w:rPr>
      </w:pPr>
      <w:r>
        <w:rPr>
          <w:rFonts w:ascii="Times New Roman" w:hAnsi="Times New Roman" w:cs="Times New Roman"/>
          <w:color w:val="000000" w:themeColor="text1"/>
        </w:rPr>
        <w:t>RWDZ-GUNB (budownictwo);</w:t>
      </w:r>
    </w:p>
    <w:p w:rsidR="002C54E6" w:rsidRDefault="00D752E7">
      <w:pPr>
        <w:pStyle w:val="Akapitzlist"/>
        <w:numPr>
          <w:ilvl w:val="0"/>
          <w:numId w:val="17"/>
        </w:numPr>
        <w:jc w:val="both"/>
        <w:rPr>
          <w:rFonts w:ascii="Times New Roman" w:hAnsi="Times New Roman" w:cs="Times New Roman"/>
          <w:color w:val="000000" w:themeColor="text1"/>
        </w:rPr>
      </w:pPr>
      <w:r>
        <w:rPr>
          <w:rFonts w:ascii="Times New Roman" w:hAnsi="Times New Roman" w:cs="Times New Roman"/>
          <w:color w:val="000000" w:themeColor="text1"/>
        </w:rPr>
        <w:t>SI-KDR (sprawy społeczne – karta dużej rodziny);</w:t>
      </w:r>
    </w:p>
    <w:p w:rsidR="002C54E6" w:rsidRDefault="00D752E7">
      <w:pPr>
        <w:pStyle w:val="Akapitzlist"/>
        <w:numPr>
          <w:ilvl w:val="0"/>
          <w:numId w:val="17"/>
        </w:numPr>
        <w:jc w:val="both"/>
        <w:rPr>
          <w:rFonts w:ascii="Times New Roman" w:hAnsi="Times New Roman" w:cs="Times New Roman"/>
          <w:color w:val="000000" w:themeColor="text1"/>
        </w:rPr>
      </w:pPr>
      <w:r>
        <w:rPr>
          <w:rFonts w:ascii="Times New Roman" w:hAnsi="Times New Roman" w:cs="Times New Roman"/>
          <w:color w:val="000000" w:themeColor="text1"/>
        </w:rPr>
        <w:t>SI EKSMOoN (sprawy społeczne – niepełnosprawność).</w:t>
      </w:r>
    </w:p>
    <w:p w:rsidR="002C54E6" w:rsidRDefault="00D752E7">
      <w:pPr>
        <w:jc w:val="both"/>
        <w:rPr>
          <w:rFonts w:cs="Times New Roman"/>
          <w:color w:val="FF0000"/>
          <w:sz w:val="22"/>
          <w:szCs w:val="22"/>
        </w:rPr>
      </w:pPr>
      <w:r>
        <w:rPr>
          <w:rFonts w:cs="Times New Roman"/>
          <w:color w:val="000000"/>
          <w:sz w:val="22"/>
          <w:szCs w:val="22"/>
        </w:rPr>
        <w:t xml:space="preserve">Poza systemami przekazano 32 sprawozdania. </w:t>
      </w:r>
    </w:p>
    <w:p w:rsidR="002C54E6" w:rsidRDefault="00D752E7">
      <w:pPr>
        <w:jc w:val="both"/>
        <w:rPr>
          <w:rFonts w:cs="Times New Roman"/>
          <w:color w:val="FF0000"/>
          <w:sz w:val="22"/>
          <w:szCs w:val="22"/>
        </w:rPr>
      </w:pPr>
      <w:r>
        <w:rPr>
          <w:rFonts w:cs="Times New Roman"/>
          <w:color w:val="000000"/>
          <w:sz w:val="22"/>
          <w:szCs w:val="22"/>
        </w:rPr>
        <w:t>Poniżej przedstawiono tabelę przedstawiającą zestawienie wszystkich sprawozdań przesyłanych z JST (81 sprawozdań) w poszczególnych obszarach tematycznych SMUP podzielone ze względu na sposób przesłania:</w:t>
      </w:r>
    </w:p>
    <w:p w:rsidR="002C54E6" w:rsidRDefault="00D752E7">
      <w:pPr>
        <w:jc w:val="both"/>
        <w:rPr>
          <w:rFonts w:cs="Times New Roman"/>
          <w:color w:val="FF0000"/>
          <w:sz w:val="22"/>
          <w:szCs w:val="22"/>
        </w:rPr>
      </w:pPr>
      <w:r>
        <w:rPr>
          <w:rFonts w:cs="Times New Roman"/>
          <w:color w:val="000000"/>
          <w:sz w:val="22"/>
          <w:szCs w:val="22"/>
        </w:rPr>
        <w:t>- za pomocą systemów informatycznych,</w:t>
      </w:r>
    </w:p>
    <w:p w:rsidR="002C54E6" w:rsidRDefault="00D752E7">
      <w:pPr>
        <w:jc w:val="both"/>
        <w:rPr>
          <w:rFonts w:cs="Times New Roman"/>
          <w:color w:val="FF0000"/>
          <w:sz w:val="22"/>
          <w:szCs w:val="22"/>
        </w:rPr>
      </w:pPr>
      <w:r>
        <w:rPr>
          <w:rFonts w:cs="Times New Roman"/>
          <w:color w:val="000000"/>
          <w:sz w:val="22"/>
          <w:szCs w:val="22"/>
        </w:rPr>
        <w:t>- poza systemami.</w:t>
      </w:r>
    </w:p>
    <w:p w:rsidR="002C54E6" w:rsidRDefault="00D752E7">
      <w:pPr>
        <w:jc w:val="both"/>
        <w:rPr>
          <w:rFonts w:cs="Times New Roman"/>
          <w:color w:val="FF0000"/>
          <w:sz w:val="22"/>
          <w:szCs w:val="22"/>
        </w:rPr>
      </w:pPr>
      <w:r>
        <w:rPr>
          <w:rFonts w:cs="Times New Roman"/>
          <w:color w:val="000000"/>
          <w:sz w:val="22"/>
          <w:szCs w:val="22"/>
        </w:rPr>
        <w:t>Ze względu na sposób ich przetwarzania w MUW:</w:t>
      </w:r>
    </w:p>
    <w:p w:rsidR="002C54E6" w:rsidRDefault="00D752E7">
      <w:pPr>
        <w:jc w:val="both"/>
        <w:rPr>
          <w:rFonts w:cs="Times New Roman"/>
          <w:color w:val="FF0000"/>
          <w:sz w:val="22"/>
          <w:szCs w:val="22"/>
        </w:rPr>
      </w:pPr>
      <w:r>
        <w:rPr>
          <w:rFonts w:cs="Times New Roman"/>
          <w:color w:val="000000"/>
          <w:sz w:val="22"/>
          <w:szCs w:val="22"/>
        </w:rPr>
        <w:t>- sprawozdania agregowane w MUW i przesyłane dalej,</w:t>
      </w:r>
    </w:p>
    <w:p w:rsidR="002C54E6" w:rsidRDefault="00D752E7">
      <w:pPr>
        <w:jc w:val="both"/>
        <w:rPr>
          <w:rFonts w:cs="Times New Roman"/>
          <w:color w:val="FF0000"/>
          <w:sz w:val="22"/>
          <w:szCs w:val="22"/>
        </w:rPr>
      </w:pPr>
      <w:r>
        <w:rPr>
          <w:rFonts w:cs="Times New Roman"/>
          <w:color w:val="000000"/>
          <w:sz w:val="22"/>
          <w:szCs w:val="22"/>
        </w:rPr>
        <w:t xml:space="preserve">- sprawozdania analizowane na poziomie wojewódzkim i nie przesyłane dalej.  </w:t>
      </w:r>
    </w:p>
    <w:p w:rsidR="002C54E6" w:rsidRDefault="002C54E6">
      <w:pPr>
        <w:jc w:val="both"/>
        <w:rPr>
          <w:rFonts w:cs="Times New Roman"/>
          <w:color w:val="000000"/>
          <w:sz w:val="22"/>
          <w:szCs w:val="22"/>
        </w:rPr>
      </w:pPr>
    </w:p>
    <w:tbl>
      <w:tblPr>
        <w:tblW w:w="9391" w:type="dxa"/>
        <w:tblInd w:w="-70" w:type="dxa"/>
        <w:tblBorders>
          <w:top w:val="single" w:sz="4" w:space="0" w:color="000001"/>
          <w:left w:val="single" w:sz="4" w:space="0" w:color="000001"/>
          <w:bottom w:val="single" w:sz="4" w:space="0" w:color="000001"/>
          <w:insideH w:val="single" w:sz="4" w:space="0" w:color="000001"/>
        </w:tblBorders>
        <w:tblCellMar>
          <w:left w:w="68" w:type="dxa"/>
        </w:tblCellMar>
        <w:tblLook w:val="0000" w:firstRow="0" w:lastRow="0" w:firstColumn="0" w:lastColumn="0" w:noHBand="0" w:noVBand="0"/>
      </w:tblPr>
      <w:tblGrid>
        <w:gridCol w:w="1403"/>
        <w:gridCol w:w="1511"/>
        <w:gridCol w:w="1261"/>
        <w:gridCol w:w="1002"/>
        <w:gridCol w:w="1162"/>
        <w:gridCol w:w="972"/>
        <w:gridCol w:w="893"/>
        <w:gridCol w:w="505"/>
        <w:gridCol w:w="682"/>
      </w:tblGrid>
      <w:tr w:rsidR="002C54E6">
        <w:trPr>
          <w:trHeight w:val="853"/>
        </w:trPr>
        <w:tc>
          <w:tcPr>
            <w:tcW w:w="1402" w:type="dxa"/>
            <w:tcBorders>
              <w:top w:val="single" w:sz="4" w:space="0" w:color="000001"/>
              <w:left w:val="single" w:sz="4" w:space="0" w:color="000001"/>
              <w:bottom w:val="single" w:sz="4" w:space="0" w:color="000001"/>
            </w:tcBorders>
            <w:shd w:val="clear" w:color="auto" w:fill="BDD6EE"/>
            <w:tcMar>
              <w:left w:w="68" w:type="dxa"/>
            </w:tcMar>
          </w:tcPr>
          <w:p w:rsidR="002C54E6" w:rsidRDefault="002C54E6">
            <w:pPr>
              <w:snapToGrid w:val="0"/>
              <w:jc w:val="both"/>
              <w:rPr>
                <w:rFonts w:cs="Times New Roman"/>
                <w:color w:val="000000"/>
                <w:sz w:val="18"/>
                <w:szCs w:val="18"/>
              </w:rPr>
            </w:pPr>
          </w:p>
        </w:tc>
        <w:tc>
          <w:tcPr>
            <w:tcW w:w="1511" w:type="dxa"/>
            <w:tcBorders>
              <w:top w:val="single" w:sz="4" w:space="0" w:color="000001"/>
              <w:left w:val="single" w:sz="4" w:space="0" w:color="000001"/>
              <w:bottom w:val="single" w:sz="4" w:space="0" w:color="000001"/>
            </w:tcBorders>
            <w:shd w:val="clear" w:color="auto" w:fill="BDD6EE"/>
            <w:tcMar>
              <w:left w:w="68" w:type="dxa"/>
            </w:tcMar>
          </w:tcPr>
          <w:p w:rsidR="002C54E6" w:rsidRDefault="00D752E7">
            <w:pPr>
              <w:rPr>
                <w:rFonts w:cs="Times New Roman"/>
                <w:color w:val="FF0000"/>
                <w:sz w:val="18"/>
                <w:szCs w:val="18"/>
              </w:rPr>
            </w:pPr>
            <w:r>
              <w:rPr>
                <w:rFonts w:cs="Times New Roman"/>
                <w:color w:val="000000"/>
                <w:sz w:val="18"/>
                <w:szCs w:val="18"/>
              </w:rPr>
              <w:t>2. Gospodarka nieruchomościami</w:t>
            </w:r>
          </w:p>
        </w:tc>
        <w:tc>
          <w:tcPr>
            <w:tcW w:w="1261" w:type="dxa"/>
            <w:tcBorders>
              <w:top w:val="single" w:sz="4" w:space="0" w:color="000001"/>
              <w:left w:val="single" w:sz="4" w:space="0" w:color="000001"/>
              <w:bottom w:val="single" w:sz="4" w:space="0" w:color="000001"/>
            </w:tcBorders>
            <w:shd w:val="clear" w:color="auto" w:fill="BDD6EE"/>
            <w:tcMar>
              <w:left w:w="68" w:type="dxa"/>
            </w:tcMar>
          </w:tcPr>
          <w:p w:rsidR="002C54E6" w:rsidRDefault="00D752E7">
            <w:pPr>
              <w:rPr>
                <w:rFonts w:cs="Times New Roman"/>
                <w:color w:val="FF0000"/>
                <w:sz w:val="18"/>
                <w:szCs w:val="18"/>
              </w:rPr>
            </w:pPr>
            <w:r>
              <w:rPr>
                <w:rFonts w:cs="Times New Roman"/>
                <w:color w:val="000000"/>
                <w:sz w:val="18"/>
                <w:szCs w:val="18"/>
              </w:rPr>
              <w:t>3. Drogownictwo i transport</w:t>
            </w:r>
          </w:p>
        </w:tc>
        <w:tc>
          <w:tcPr>
            <w:tcW w:w="1002" w:type="dxa"/>
            <w:tcBorders>
              <w:top w:val="single" w:sz="4" w:space="0" w:color="000001"/>
              <w:left w:val="single" w:sz="4" w:space="0" w:color="000001"/>
              <w:bottom w:val="single" w:sz="4" w:space="0" w:color="000001"/>
            </w:tcBorders>
            <w:shd w:val="clear" w:color="auto" w:fill="BDD6EE"/>
            <w:tcMar>
              <w:left w:w="68" w:type="dxa"/>
            </w:tcMar>
          </w:tcPr>
          <w:p w:rsidR="002C54E6" w:rsidRDefault="00D752E7">
            <w:pPr>
              <w:rPr>
                <w:rFonts w:cs="Times New Roman"/>
                <w:color w:val="FF0000"/>
                <w:sz w:val="18"/>
                <w:szCs w:val="18"/>
              </w:rPr>
            </w:pPr>
            <w:r>
              <w:rPr>
                <w:rFonts w:cs="Times New Roman"/>
                <w:color w:val="000000"/>
                <w:sz w:val="18"/>
                <w:szCs w:val="18"/>
              </w:rPr>
              <w:t>4. Ochrona środowiska</w:t>
            </w:r>
          </w:p>
        </w:tc>
        <w:tc>
          <w:tcPr>
            <w:tcW w:w="1162" w:type="dxa"/>
            <w:tcBorders>
              <w:top w:val="single" w:sz="4" w:space="0" w:color="000001"/>
              <w:left w:val="single" w:sz="4" w:space="0" w:color="000001"/>
              <w:bottom w:val="single" w:sz="4" w:space="0" w:color="000001"/>
            </w:tcBorders>
            <w:shd w:val="clear" w:color="auto" w:fill="BDD6EE"/>
            <w:tcMar>
              <w:left w:w="68" w:type="dxa"/>
            </w:tcMar>
          </w:tcPr>
          <w:p w:rsidR="002C54E6" w:rsidRDefault="00D752E7">
            <w:pPr>
              <w:rPr>
                <w:rFonts w:cs="Times New Roman"/>
                <w:color w:val="FF0000"/>
                <w:sz w:val="18"/>
                <w:szCs w:val="18"/>
              </w:rPr>
            </w:pPr>
            <w:r>
              <w:rPr>
                <w:rFonts w:cs="Times New Roman"/>
                <w:color w:val="000000"/>
                <w:sz w:val="18"/>
                <w:szCs w:val="18"/>
              </w:rPr>
              <w:t>5. Inwestycje i budownictwo</w:t>
            </w:r>
          </w:p>
        </w:tc>
        <w:tc>
          <w:tcPr>
            <w:tcW w:w="972" w:type="dxa"/>
            <w:tcBorders>
              <w:top w:val="single" w:sz="4" w:space="0" w:color="000001"/>
              <w:left w:val="single" w:sz="4" w:space="0" w:color="000001"/>
              <w:bottom w:val="single" w:sz="4" w:space="0" w:color="000001"/>
            </w:tcBorders>
            <w:shd w:val="clear" w:color="auto" w:fill="BDD6EE"/>
            <w:tcMar>
              <w:left w:w="68" w:type="dxa"/>
            </w:tcMar>
          </w:tcPr>
          <w:p w:rsidR="002C54E6" w:rsidRDefault="00D752E7">
            <w:pPr>
              <w:rPr>
                <w:rFonts w:cs="Times New Roman"/>
                <w:color w:val="FF0000"/>
                <w:sz w:val="18"/>
                <w:szCs w:val="18"/>
              </w:rPr>
            </w:pPr>
            <w:r>
              <w:rPr>
                <w:rFonts w:cs="Times New Roman"/>
                <w:color w:val="000000"/>
                <w:sz w:val="18"/>
                <w:szCs w:val="18"/>
              </w:rPr>
              <w:t xml:space="preserve">6. Geodezja i kartografia </w:t>
            </w:r>
          </w:p>
        </w:tc>
        <w:tc>
          <w:tcPr>
            <w:tcW w:w="893" w:type="dxa"/>
            <w:tcBorders>
              <w:top w:val="single" w:sz="4" w:space="0" w:color="000001"/>
              <w:left w:val="single" w:sz="4" w:space="0" w:color="000001"/>
              <w:bottom w:val="single" w:sz="4" w:space="0" w:color="000001"/>
            </w:tcBorders>
            <w:shd w:val="clear" w:color="auto" w:fill="BDD6EE"/>
            <w:tcMar>
              <w:left w:w="68" w:type="dxa"/>
            </w:tcMar>
          </w:tcPr>
          <w:p w:rsidR="002C54E6" w:rsidRDefault="00D752E7">
            <w:pPr>
              <w:rPr>
                <w:rFonts w:cs="Times New Roman"/>
                <w:color w:val="FF0000"/>
                <w:sz w:val="18"/>
                <w:szCs w:val="18"/>
              </w:rPr>
            </w:pPr>
            <w:r>
              <w:rPr>
                <w:rFonts w:cs="Times New Roman"/>
                <w:color w:val="000000"/>
                <w:sz w:val="18"/>
                <w:szCs w:val="18"/>
              </w:rPr>
              <w:t>8. Lokalna polityka społeczna</w:t>
            </w:r>
          </w:p>
        </w:tc>
        <w:tc>
          <w:tcPr>
            <w:tcW w:w="505" w:type="dxa"/>
            <w:tcBorders>
              <w:top w:val="single" w:sz="4" w:space="0" w:color="000001"/>
              <w:left w:val="single" w:sz="4" w:space="0" w:color="000001"/>
              <w:bottom w:val="single" w:sz="4" w:space="0" w:color="000001"/>
            </w:tcBorders>
            <w:shd w:val="clear" w:color="auto" w:fill="BDD6EE"/>
            <w:tcMar>
              <w:left w:w="68" w:type="dxa"/>
            </w:tcMar>
          </w:tcPr>
          <w:p w:rsidR="002C54E6" w:rsidRDefault="00D752E7">
            <w:pPr>
              <w:rPr>
                <w:rFonts w:cs="Times New Roman"/>
                <w:color w:val="FF0000"/>
                <w:sz w:val="18"/>
                <w:szCs w:val="18"/>
              </w:rPr>
            </w:pPr>
            <w:r>
              <w:rPr>
                <w:rFonts w:cs="Times New Roman"/>
                <w:color w:val="000000"/>
                <w:sz w:val="18"/>
                <w:szCs w:val="18"/>
              </w:rPr>
              <w:t>11. Inne</w:t>
            </w:r>
          </w:p>
        </w:tc>
        <w:tc>
          <w:tcPr>
            <w:tcW w:w="682" w:type="dxa"/>
            <w:tcBorders>
              <w:top w:val="single" w:sz="4" w:space="0" w:color="000001"/>
              <w:left w:val="single" w:sz="4" w:space="0" w:color="000001"/>
              <w:bottom w:val="single" w:sz="4" w:space="0" w:color="000001"/>
              <w:right w:val="single" w:sz="4" w:space="0" w:color="000001"/>
            </w:tcBorders>
            <w:shd w:val="clear" w:color="auto" w:fill="BDD6EE"/>
            <w:tcMar>
              <w:left w:w="68" w:type="dxa"/>
            </w:tcMar>
          </w:tcPr>
          <w:p w:rsidR="002C54E6" w:rsidRDefault="00D752E7">
            <w:pPr>
              <w:rPr>
                <w:rFonts w:cs="Times New Roman"/>
                <w:color w:val="FF0000"/>
                <w:sz w:val="18"/>
                <w:szCs w:val="18"/>
              </w:rPr>
            </w:pPr>
            <w:r>
              <w:rPr>
                <w:rFonts w:cs="Times New Roman"/>
                <w:color w:val="000000"/>
                <w:sz w:val="18"/>
                <w:szCs w:val="18"/>
              </w:rPr>
              <w:t>Razem</w:t>
            </w:r>
          </w:p>
        </w:tc>
      </w:tr>
      <w:tr w:rsidR="002C54E6">
        <w:tc>
          <w:tcPr>
            <w:tcW w:w="1402" w:type="dxa"/>
            <w:tcBorders>
              <w:top w:val="single" w:sz="4" w:space="0" w:color="000001"/>
              <w:left w:val="single" w:sz="4" w:space="0" w:color="000001"/>
              <w:bottom w:val="single" w:sz="4" w:space="0" w:color="000001"/>
            </w:tcBorders>
            <w:shd w:val="clear" w:color="auto" w:fill="auto"/>
            <w:tcMar>
              <w:left w:w="68" w:type="dxa"/>
            </w:tcMar>
          </w:tcPr>
          <w:p w:rsidR="002C54E6" w:rsidRDefault="00D752E7">
            <w:pPr>
              <w:jc w:val="both"/>
              <w:rPr>
                <w:rFonts w:cs="Times New Roman"/>
                <w:color w:val="FF0000"/>
                <w:sz w:val="18"/>
                <w:szCs w:val="18"/>
              </w:rPr>
            </w:pPr>
            <w:r>
              <w:rPr>
                <w:rFonts w:cs="Times New Roman"/>
                <w:color w:val="000000"/>
                <w:sz w:val="18"/>
                <w:szCs w:val="18"/>
              </w:rPr>
              <w:t>Sprawozdania składane z JST za pomocą systemu informatycznego i następnie zestawiane z UW i przesyłane dalej</w:t>
            </w:r>
          </w:p>
        </w:tc>
        <w:tc>
          <w:tcPr>
            <w:tcW w:w="1511"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0</w:t>
            </w:r>
          </w:p>
        </w:tc>
        <w:tc>
          <w:tcPr>
            <w:tcW w:w="1261"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0</w:t>
            </w:r>
          </w:p>
        </w:tc>
        <w:tc>
          <w:tcPr>
            <w:tcW w:w="1002"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1</w:t>
            </w:r>
          </w:p>
        </w:tc>
        <w:tc>
          <w:tcPr>
            <w:tcW w:w="1162"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1</w:t>
            </w:r>
          </w:p>
        </w:tc>
        <w:tc>
          <w:tcPr>
            <w:tcW w:w="972"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rsidP="00D57386">
            <w:pPr>
              <w:snapToGrid w:val="0"/>
              <w:jc w:val="center"/>
              <w:rPr>
                <w:rFonts w:cs="Times New Roman"/>
                <w:color w:val="000000"/>
                <w:sz w:val="18"/>
                <w:szCs w:val="18"/>
              </w:rPr>
            </w:pPr>
            <w:r>
              <w:rPr>
                <w:rFonts w:cs="Times New Roman"/>
                <w:color w:val="000000"/>
                <w:sz w:val="18"/>
                <w:szCs w:val="18"/>
              </w:rPr>
              <w:t>0</w:t>
            </w:r>
          </w:p>
        </w:tc>
        <w:tc>
          <w:tcPr>
            <w:tcW w:w="893"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33</w:t>
            </w:r>
          </w:p>
        </w:tc>
        <w:tc>
          <w:tcPr>
            <w:tcW w:w="505"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1</w:t>
            </w:r>
          </w:p>
        </w:tc>
        <w:tc>
          <w:tcPr>
            <w:tcW w:w="682" w:type="dxa"/>
            <w:tcBorders>
              <w:top w:val="single" w:sz="4" w:space="0" w:color="000001"/>
              <w:left w:val="single" w:sz="4" w:space="0" w:color="000001"/>
              <w:bottom w:val="single" w:sz="4" w:space="0" w:color="000001"/>
              <w:right w:val="single" w:sz="4" w:space="0" w:color="000001"/>
            </w:tcBorders>
            <w:shd w:val="clear" w:color="auto" w:fill="F2F2F2"/>
            <w:tcMar>
              <w:left w:w="68" w:type="dxa"/>
            </w:tcMa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36</w:t>
            </w:r>
          </w:p>
        </w:tc>
      </w:tr>
      <w:tr w:rsidR="002C54E6">
        <w:tc>
          <w:tcPr>
            <w:tcW w:w="1402" w:type="dxa"/>
            <w:tcBorders>
              <w:top w:val="single" w:sz="4" w:space="0" w:color="000001"/>
              <w:left w:val="single" w:sz="4" w:space="0" w:color="000001"/>
              <w:bottom w:val="single" w:sz="4" w:space="0" w:color="000001"/>
            </w:tcBorders>
            <w:shd w:val="clear" w:color="auto" w:fill="auto"/>
            <w:tcMar>
              <w:left w:w="68" w:type="dxa"/>
            </w:tcMar>
          </w:tcPr>
          <w:p w:rsidR="002C54E6" w:rsidRDefault="00D752E7">
            <w:pPr>
              <w:jc w:val="both"/>
              <w:rPr>
                <w:rFonts w:cs="Times New Roman"/>
                <w:color w:val="FF0000"/>
                <w:sz w:val="18"/>
                <w:szCs w:val="18"/>
              </w:rPr>
            </w:pPr>
            <w:r>
              <w:rPr>
                <w:rFonts w:cs="Times New Roman"/>
                <w:color w:val="000000"/>
                <w:sz w:val="18"/>
                <w:szCs w:val="18"/>
              </w:rPr>
              <w:t>Sprawozdania składane z JST za pomocą systemu informatycznego i nie przesyłane dalej</w:t>
            </w:r>
          </w:p>
        </w:tc>
        <w:tc>
          <w:tcPr>
            <w:tcW w:w="1511"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0</w:t>
            </w:r>
          </w:p>
        </w:tc>
        <w:tc>
          <w:tcPr>
            <w:tcW w:w="1261"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0</w:t>
            </w:r>
          </w:p>
        </w:tc>
        <w:tc>
          <w:tcPr>
            <w:tcW w:w="1002"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0</w:t>
            </w:r>
          </w:p>
        </w:tc>
        <w:tc>
          <w:tcPr>
            <w:tcW w:w="1162"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0</w:t>
            </w:r>
          </w:p>
        </w:tc>
        <w:tc>
          <w:tcPr>
            <w:tcW w:w="972"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57386" w:rsidP="00D57386">
            <w:pPr>
              <w:jc w:val="center"/>
              <w:rPr>
                <w:rFonts w:cs="Times New Roman"/>
                <w:color w:val="FF0000"/>
                <w:sz w:val="18"/>
                <w:szCs w:val="18"/>
              </w:rPr>
            </w:pPr>
            <w:r>
              <w:rPr>
                <w:rFonts w:cs="Times New Roman"/>
                <w:color w:val="000000"/>
                <w:sz w:val="18"/>
                <w:szCs w:val="18"/>
              </w:rPr>
              <w:t>0</w:t>
            </w:r>
          </w:p>
        </w:tc>
        <w:tc>
          <w:tcPr>
            <w:tcW w:w="893"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13</w:t>
            </w:r>
          </w:p>
        </w:tc>
        <w:tc>
          <w:tcPr>
            <w:tcW w:w="505"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0</w:t>
            </w:r>
          </w:p>
        </w:tc>
        <w:tc>
          <w:tcPr>
            <w:tcW w:w="682" w:type="dxa"/>
            <w:tcBorders>
              <w:top w:val="single" w:sz="4" w:space="0" w:color="000001"/>
              <w:left w:val="single" w:sz="4" w:space="0" w:color="000001"/>
              <w:bottom w:val="single" w:sz="4" w:space="0" w:color="000001"/>
              <w:right w:val="single" w:sz="4" w:space="0" w:color="000001"/>
            </w:tcBorders>
            <w:shd w:val="clear" w:color="auto" w:fill="F2F2F2"/>
            <w:tcMar>
              <w:left w:w="68" w:type="dxa"/>
            </w:tcMa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13</w:t>
            </w:r>
          </w:p>
        </w:tc>
      </w:tr>
      <w:tr w:rsidR="002C54E6">
        <w:tc>
          <w:tcPr>
            <w:tcW w:w="1402" w:type="dxa"/>
            <w:tcBorders>
              <w:top w:val="single" w:sz="4" w:space="0" w:color="000001"/>
              <w:left w:val="single" w:sz="4" w:space="0" w:color="000001"/>
              <w:bottom w:val="single" w:sz="4" w:space="0" w:color="000001"/>
            </w:tcBorders>
            <w:shd w:val="clear" w:color="auto" w:fill="auto"/>
            <w:tcMar>
              <w:left w:w="68" w:type="dxa"/>
            </w:tcMar>
          </w:tcPr>
          <w:p w:rsidR="002C54E6" w:rsidRDefault="00D752E7">
            <w:pPr>
              <w:jc w:val="both"/>
              <w:rPr>
                <w:rFonts w:cs="Times New Roman"/>
                <w:color w:val="FF0000"/>
                <w:sz w:val="18"/>
                <w:szCs w:val="18"/>
              </w:rPr>
            </w:pPr>
            <w:r>
              <w:rPr>
                <w:rFonts w:cs="Times New Roman"/>
                <w:color w:val="000000"/>
                <w:sz w:val="18"/>
                <w:szCs w:val="18"/>
              </w:rPr>
              <w:t>Sprawozdania składane z JST poza systemami i następnie zestawiane w UW i przesyłane dalej</w:t>
            </w:r>
          </w:p>
        </w:tc>
        <w:tc>
          <w:tcPr>
            <w:tcW w:w="1511"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0</w:t>
            </w:r>
          </w:p>
        </w:tc>
        <w:tc>
          <w:tcPr>
            <w:tcW w:w="1261"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1</w:t>
            </w:r>
          </w:p>
        </w:tc>
        <w:tc>
          <w:tcPr>
            <w:tcW w:w="1002"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4</w:t>
            </w:r>
          </w:p>
        </w:tc>
        <w:tc>
          <w:tcPr>
            <w:tcW w:w="1162"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0</w:t>
            </w:r>
          </w:p>
        </w:tc>
        <w:tc>
          <w:tcPr>
            <w:tcW w:w="972"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8</w:t>
            </w:r>
          </w:p>
        </w:tc>
        <w:tc>
          <w:tcPr>
            <w:tcW w:w="893"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4</w:t>
            </w:r>
          </w:p>
        </w:tc>
        <w:tc>
          <w:tcPr>
            <w:tcW w:w="505"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5</w:t>
            </w:r>
          </w:p>
        </w:tc>
        <w:tc>
          <w:tcPr>
            <w:tcW w:w="682" w:type="dxa"/>
            <w:tcBorders>
              <w:top w:val="single" w:sz="4" w:space="0" w:color="000001"/>
              <w:left w:val="single" w:sz="4" w:space="0" w:color="000001"/>
              <w:bottom w:val="single" w:sz="4" w:space="0" w:color="000001"/>
              <w:right w:val="single" w:sz="4" w:space="0" w:color="000001"/>
            </w:tcBorders>
            <w:shd w:val="clear" w:color="auto" w:fill="F2F2F2"/>
            <w:tcMar>
              <w:left w:w="68" w:type="dxa"/>
            </w:tcMar>
          </w:tcPr>
          <w:p w:rsidR="002C54E6" w:rsidRDefault="002C54E6" w:rsidP="00D57386">
            <w:pPr>
              <w:snapToGrid w:val="0"/>
              <w:jc w:val="center"/>
              <w:rPr>
                <w:rFonts w:cs="Times New Roman"/>
                <w:color w:val="000000"/>
                <w:sz w:val="18"/>
                <w:szCs w:val="18"/>
              </w:rPr>
            </w:pPr>
          </w:p>
          <w:p w:rsidR="002C54E6" w:rsidRDefault="002C54E6" w:rsidP="00D57386">
            <w:pPr>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22</w:t>
            </w:r>
          </w:p>
        </w:tc>
      </w:tr>
      <w:tr w:rsidR="002C54E6">
        <w:tc>
          <w:tcPr>
            <w:tcW w:w="1402" w:type="dxa"/>
            <w:tcBorders>
              <w:top w:val="single" w:sz="4" w:space="0" w:color="000001"/>
              <w:left w:val="single" w:sz="4" w:space="0" w:color="000001"/>
              <w:bottom w:val="single" w:sz="4" w:space="0" w:color="000001"/>
            </w:tcBorders>
            <w:shd w:val="clear" w:color="auto" w:fill="auto"/>
            <w:tcMar>
              <w:left w:w="68" w:type="dxa"/>
            </w:tcMar>
          </w:tcPr>
          <w:p w:rsidR="002C54E6" w:rsidRDefault="00D752E7">
            <w:pPr>
              <w:jc w:val="both"/>
              <w:rPr>
                <w:rFonts w:cs="Times New Roman"/>
                <w:color w:val="FF0000"/>
                <w:sz w:val="18"/>
                <w:szCs w:val="18"/>
              </w:rPr>
            </w:pPr>
            <w:r>
              <w:rPr>
                <w:rFonts w:cs="Times New Roman"/>
                <w:color w:val="000000"/>
                <w:sz w:val="18"/>
                <w:szCs w:val="18"/>
              </w:rPr>
              <w:t>Sprawozdania składane z JST poza systemami nie przesyłane dalej</w:t>
            </w:r>
          </w:p>
        </w:tc>
        <w:tc>
          <w:tcPr>
            <w:tcW w:w="1511"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1</w:t>
            </w:r>
          </w:p>
        </w:tc>
        <w:tc>
          <w:tcPr>
            <w:tcW w:w="1261"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1</w:t>
            </w:r>
          </w:p>
        </w:tc>
        <w:tc>
          <w:tcPr>
            <w:tcW w:w="1002"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0</w:t>
            </w:r>
          </w:p>
        </w:tc>
        <w:tc>
          <w:tcPr>
            <w:tcW w:w="1162"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0</w:t>
            </w:r>
          </w:p>
        </w:tc>
        <w:tc>
          <w:tcPr>
            <w:tcW w:w="972"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rsidP="00D57386">
            <w:pPr>
              <w:jc w:val="center"/>
              <w:rPr>
                <w:rFonts w:cs="Times New Roman"/>
                <w:color w:val="FF0000"/>
                <w:sz w:val="18"/>
                <w:szCs w:val="18"/>
              </w:rPr>
            </w:pPr>
            <w:r>
              <w:rPr>
                <w:rFonts w:cs="Times New Roman"/>
                <w:color w:val="000000"/>
                <w:sz w:val="18"/>
                <w:szCs w:val="18"/>
              </w:rPr>
              <w:t>0</w:t>
            </w:r>
          </w:p>
        </w:tc>
        <w:tc>
          <w:tcPr>
            <w:tcW w:w="893"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0</w:t>
            </w:r>
          </w:p>
        </w:tc>
        <w:tc>
          <w:tcPr>
            <w:tcW w:w="505" w:type="dxa"/>
            <w:tcBorders>
              <w:top w:val="single" w:sz="4" w:space="0" w:color="000001"/>
              <w:left w:val="single" w:sz="4" w:space="0" w:color="000001"/>
              <w:bottom w:val="single" w:sz="4" w:space="0" w:color="000001"/>
            </w:tcBorders>
            <w:shd w:val="clear" w:color="auto" w:fill="auto"/>
            <w:tcMar>
              <w:left w:w="68" w:type="dxa"/>
            </w:tcMar>
          </w:tcPr>
          <w:p w:rsidR="002C54E6" w:rsidRDefault="002C54E6" w:rsidP="00D57386">
            <w:pPr>
              <w:snapToGrid w:val="0"/>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8</w:t>
            </w:r>
          </w:p>
        </w:tc>
        <w:tc>
          <w:tcPr>
            <w:tcW w:w="682" w:type="dxa"/>
            <w:tcBorders>
              <w:top w:val="single" w:sz="4" w:space="0" w:color="000001"/>
              <w:left w:val="single" w:sz="4" w:space="0" w:color="000001"/>
              <w:bottom w:val="single" w:sz="4" w:space="0" w:color="000001"/>
              <w:right w:val="single" w:sz="4" w:space="0" w:color="000001"/>
            </w:tcBorders>
            <w:shd w:val="clear" w:color="auto" w:fill="F2F2F2"/>
            <w:tcMar>
              <w:left w:w="68" w:type="dxa"/>
            </w:tcMar>
          </w:tcPr>
          <w:p w:rsidR="002C54E6" w:rsidRDefault="002C54E6" w:rsidP="00D57386">
            <w:pPr>
              <w:snapToGrid w:val="0"/>
              <w:jc w:val="center"/>
              <w:rPr>
                <w:rFonts w:cs="Times New Roman"/>
                <w:color w:val="000000"/>
                <w:sz w:val="18"/>
                <w:szCs w:val="18"/>
              </w:rPr>
            </w:pPr>
          </w:p>
          <w:p w:rsidR="002C54E6" w:rsidRDefault="00D752E7" w:rsidP="00D57386">
            <w:pPr>
              <w:jc w:val="center"/>
              <w:rPr>
                <w:rFonts w:cs="Times New Roman"/>
                <w:color w:val="FF0000"/>
                <w:sz w:val="18"/>
                <w:szCs w:val="18"/>
              </w:rPr>
            </w:pPr>
            <w:r>
              <w:rPr>
                <w:rFonts w:cs="Times New Roman"/>
                <w:color w:val="000000"/>
                <w:sz w:val="18"/>
                <w:szCs w:val="18"/>
              </w:rPr>
              <w:t>10</w:t>
            </w:r>
          </w:p>
        </w:tc>
      </w:tr>
      <w:tr w:rsidR="002C54E6">
        <w:tc>
          <w:tcPr>
            <w:tcW w:w="1402" w:type="dxa"/>
            <w:tcBorders>
              <w:top w:val="single" w:sz="4" w:space="0" w:color="000001"/>
              <w:left w:val="single" w:sz="4" w:space="0" w:color="000001"/>
              <w:bottom w:val="single" w:sz="4" w:space="0" w:color="000001"/>
            </w:tcBorders>
            <w:shd w:val="clear" w:color="auto" w:fill="F2F2F2"/>
            <w:tcMar>
              <w:left w:w="68" w:type="dxa"/>
            </w:tcMar>
          </w:tcPr>
          <w:p w:rsidR="002C54E6" w:rsidRDefault="00D752E7">
            <w:pPr>
              <w:jc w:val="both"/>
              <w:rPr>
                <w:rFonts w:cs="Times New Roman"/>
                <w:color w:val="FF0000"/>
                <w:sz w:val="18"/>
                <w:szCs w:val="18"/>
              </w:rPr>
            </w:pPr>
            <w:r>
              <w:rPr>
                <w:rFonts w:cs="Times New Roman"/>
                <w:color w:val="000000"/>
                <w:sz w:val="18"/>
                <w:szCs w:val="18"/>
              </w:rPr>
              <w:t>Suma</w:t>
            </w:r>
          </w:p>
        </w:tc>
        <w:tc>
          <w:tcPr>
            <w:tcW w:w="1511" w:type="dxa"/>
            <w:tcBorders>
              <w:top w:val="single" w:sz="4" w:space="0" w:color="000001"/>
              <w:left w:val="single" w:sz="4" w:space="0" w:color="000001"/>
              <w:bottom w:val="single" w:sz="4" w:space="0" w:color="000001"/>
            </w:tcBorders>
            <w:shd w:val="clear" w:color="auto" w:fill="F2F2F2"/>
            <w:tcMar>
              <w:left w:w="68" w:type="dxa"/>
            </w:tcMar>
          </w:tcPr>
          <w:p w:rsidR="002C54E6" w:rsidRDefault="00D752E7" w:rsidP="00D57386">
            <w:pPr>
              <w:jc w:val="center"/>
              <w:rPr>
                <w:rFonts w:cs="Times New Roman"/>
                <w:color w:val="FF0000"/>
                <w:sz w:val="18"/>
                <w:szCs w:val="18"/>
              </w:rPr>
            </w:pPr>
            <w:r>
              <w:rPr>
                <w:rFonts w:cs="Times New Roman"/>
                <w:color w:val="000000"/>
                <w:sz w:val="18"/>
                <w:szCs w:val="18"/>
              </w:rPr>
              <w:t>1</w:t>
            </w:r>
          </w:p>
        </w:tc>
        <w:tc>
          <w:tcPr>
            <w:tcW w:w="1261" w:type="dxa"/>
            <w:tcBorders>
              <w:top w:val="single" w:sz="4" w:space="0" w:color="000001"/>
              <w:left w:val="single" w:sz="4" w:space="0" w:color="000001"/>
              <w:bottom w:val="single" w:sz="4" w:space="0" w:color="000001"/>
            </w:tcBorders>
            <w:shd w:val="clear" w:color="auto" w:fill="F2F2F2"/>
            <w:tcMar>
              <w:left w:w="68" w:type="dxa"/>
            </w:tcMar>
          </w:tcPr>
          <w:p w:rsidR="002C54E6" w:rsidRDefault="00D752E7" w:rsidP="00D57386">
            <w:pPr>
              <w:jc w:val="center"/>
              <w:rPr>
                <w:rFonts w:cs="Times New Roman"/>
                <w:color w:val="FF0000"/>
                <w:sz w:val="18"/>
                <w:szCs w:val="18"/>
              </w:rPr>
            </w:pPr>
            <w:r>
              <w:rPr>
                <w:rFonts w:cs="Times New Roman"/>
                <w:color w:val="000000"/>
                <w:sz w:val="18"/>
                <w:szCs w:val="18"/>
              </w:rPr>
              <w:t>2</w:t>
            </w:r>
          </w:p>
        </w:tc>
        <w:tc>
          <w:tcPr>
            <w:tcW w:w="1002" w:type="dxa"/>
            <w:tcBorders>
              <w:top w:val="single" w:sz="4" w:space="0" w:color="000001"/>
              <w:left w:val="single" w:sz="4" w:space="0" w:color="000001"/>
              <w:bottom w:val="single" w:sz="4" w:space="0" w:color="000001"/>
            </w:tcBorders>
            <w:shd w:val="clear" w:color="auto" w:fill="F2F2F2"/>
            <w:tcMar>
              <w:left w:w="68" w:type="dxa"/>
            </w:tcMar>
          </w:tcPr>
          <w:p w:rsidR="002C54E6" w:rsidRDefault="00D752E7" w:rsidP="00D57386">
            <w:pPr>
              <w:jc w:val="center"/>
              <w:rPr>
                <w:rFonts w:cs="Times New Roman"/>
                <w:color w:val="FF0000"/>
                <w:sz w:val="18"/>
                <w:szCs w:val="18"/>
              </w:rPr>
            </w:pPr>
            <w:r>
              <w:rPr>
                <w:rFonts w:cs="Times New Roman"/>
                <w:color w:val="000000"/>
                <w:sz w:val="18"/>
                <w:szCs w:val="18"/>
              </w:rPr>
              <w:t>5</w:t>
            </w:r>
          </w:p>
        </w:tc>
        <w:tc>
          <w:tcPr>
            <w:tcW w:w="1162" w:type="dxa"/>
            <w:tcBorders>
              <w:top w:val="single" w:sz="4" w:space="0" w:color="000001"/>
              <w:left w:val="single" w:sz="4" w:space="0" w:color="000001"/>
              <w:bottom w:val="single" w:sz="4" w:space="0" w:color="000001"/>
            </w:tcBorders>
            <w:shd w:val="clear" w:color="auto" w:fill="F2F2F2"/>
            <w:tcMar>
              <w:left w:w="68" w:type="dxa"/>
            </w:tcMar>
          </w:tcPr>
          <w:p w:rsidR="002C54E6" w:rsidRDefault="00D752E7" w:rsidP="00D57386">
            <w:pPr>
              <w:jc w:val="center"/>
              <w:rPr>
                <w:rFonts w:cs="Times New Roman"/>
                <w:color w:val="FF0000"/>
                <w:sz w:val="18"/>
                <w:szCs w:val="18"/>
              </w:rPr>
            </w:pPr>
            <w:r>
              <w:rPr>
                <w:rFonts w:cs="Times New Roman"/>
                <w:color w:val="000000"/>
                <w:sz w:val="18"/>
                <w:szCs w:val="18"/>
              </w:rPr>
              <w:t>1</w:t>
            </w:r>
          </w:p>
        </w:tc>
        <w:tc>
          <w:tcPr>
            <w:tcW w:w="972" w:type="dxa"/>
            <w:tcBorders>
              <w:top w:val="single" w:sz="4" w:space="0" w:color="000001"/>
              <w:left w:val="single" w:sz="4" w:space="0" w:color="000001"/>
              <w:bottom w:val="single" w:sz="4" w:space="0" w:color="000001"/>
            </w:tcBorders>
            <w:shd w:val="clear" w:color="auto" w:fill="F2F2F2"/>
            <w:tcMar>
              <w:left w:w="68" w:type="dxa"/>
            </w:tcMar>
          </w:tcPr>
          <w:p w:rsidR="002C54E6" w:rsidRDefault="00D752E7" w:rsidP="00D57386">
            <w:pPr>
              <w:jc w:val="center"/>
              <w:rPr>
                <w:rFonts w:cs="Times New Roman"/>
                <w:color w:val="FF0000"/>
                <w:sz w:val="18"/>
                <w:szCs w:val="18"/>
              </w:rPr>
            </w:pPr>
            <w:r>
              <w:rPr>
                <w:rFonts w:cs="Times New Roman"/>
                <w:color w:val="000000"/>
                <w:sz w:val="18"/>
                <w:szCs w:val="18"/>
              </w:rPr>
              <w:t>8</w:t>
            </w:r>
          </w:p>
        </w:tc>
        <w:tc>
          <w:tcPr>
            <w:tcW w:w="893" w:type="dxa"/>
            <w:tcBorders>
              <w:top w:val="single" w:sz="4" w:space="0" w:color="000001"/>
              <w:left w:val="single" w:sz="4" w:space="0" w:color="000001"/>
              <w:bottom w:val="single" w:sz="4" w:space="0" w:color="000001"/>
            </w:tcBorders>
            <w:shd w:val="clear" w:color="auto" w:fill="F2F2F2"/>
            <w:tcMar>
              <w:left w:w="68" w:type="dxa"/>
            </w:tcMar>
          </w:tcPr>
          <w:p w:rsidR="002C54E6" w:rsidRDefault="00D752E7" w:rsidP="00D57386">
            <w:pPr>
              <w:jc w:val="center"/>
              <w:rPr>
                <w:rFonts w:cs="Times New Roman"/>
                <w:color w:val="FF0000"/>
                <w:sz w:val="18"/>
                <w:szCs w:val="18"/>
              </w:rPr>
            </w:pPr>
            <w:r>
              <w:rPr>
                <w:rFonts w:cs="Times New Roman"/>
                <w:color w:val="000000"/>
                <w:sz w:val="18"/>
                <w:szCs w:val="18"/>
              </w:rPr>
              <w:t>50</w:t>
            </w:r>
          </w:p>
        </w:tc>
        <w:tc>
          <w:tcPr>
            <w:tcW w:w="505" w:type="dxa"/>
            <w:tcBorders>
              <w:top w:val="single" w:sz="4" w:space="0" w:color="000001"/>
              <w:left w:val="single" w:sz="4" w:space="0" w:color="000001"/>
              <w:bottom w:val="single" w:sz="4" w:space="0" w:color="000001"/>
            </w:tcBorders>
            <w:shd w:val="clear" w:color="auto" w:fill="F2F2F2"/>
            <w:tcMar>
              <w:left w:w="68" w:type="dxa"/>
            </w:tcMar>
          </w:tcPr>
          <w:p w:rsidR="002C54E6" w:rsidRDefault="00D752E7" w:rsidP="00D57386">
            <w:pPr>
              <w:jc w:val="center"/>
              <w:rPr>
                <w:rFonts w:cs="Times New Roman"/>
                <w:color w:val="FF0000"/>
                <w:sz w:val="18"/>
                <w:szCs w:val="18"/>
              </w:rPr>
            </w:pPr>
            <w:r>
              <w:rPr>
                <w:rFonts w:cs="Times New Roman"/>
                <w:color w:val="000000"/>
                <w:sz w:val="18"/>
                <w:szCs w:val="18"/>
              </w:rPr>
              <w:t>14</w:t>
            </w:r>
          </w:p>
        </w:tc>
        <w:tc>
          <w:tcPr>
            <w:tcW w:w="682" w:type="dxa"/>
            <w:tcBorders>
              <w:top w:val="single" w:sz="4" w:space="0" w:color="000001"/>
              <w:left w:val="single" w:sz="4" w:space="0" w:color="000001"/>
              <w:bottom w:val="single" w:sz="4" w:space="0" w:color="000001"/>
              <w:right w:val="single" w:sz="4" w:space="0" w:color="000001"/>
            </w:tcBorders>
            <w:shd w:val="clear" w:color="auto" w:fill="F2F2F2"/>
            <w:tcMar>
              <w:left w:w="68" w:type="dxa"/>
            </w:tcMar>
          </w:tcPr>
          <w:p w:rsidR="002C54E6" w:rsidRDefault="00D752E7" w:rsidP="00D57386">
            <w:pPr>
              <w:jc w:val="center"/>
              <w:rPr>
                <w:rFonts w:cs="Times New Roman"/>
                <w:color w:val="FF0000"/>
                <w:sz w:val="18"/>
                <w:szCs w:val="18"/>
              </w:rPr>
            </w:pPr>
            <w:r>
              <w:rPr>
                <w:rFonts w:cs="Times New Roman"/>
                <w:color w:val="000000"/>
                <w:sz w:val="18"/>
                <w:szCs w:val="18"/>
              </w:rPr>
              <w:t>81</w:t>
            </w:r>
          </w:p>
        </w:tc>
      </w:tr>
    </w:tbl>
    <w:p w:rsidR="002C54E6" w:rsidRDefault="00D57386">
      <w:pPr>
        <w:jc w:val="both"/>
        <w:rPr>
          <w:rFonts w:cs="Times New Roman"/>
          <w:color w:val="FF0000"/>
          <w:sz w:val="18"/>
          <w:szCs w:val="18"/>
        </w:rPr>
      </w:pPr>
      <w:r>
        <w:rPr>
          <w:rFonts w:cs="Times New Roman"/>
          <w:color w:val="000000"/>
          <w:sz w:val="18"/>
          <w:szCs w:val="18"/>
        </w:rPr>
        <w:t>Tabela nr 3</w:t>
      </w:r>
      <w:r w:rsidR="00D752E7">
        <w:rPr>
          <w:rFonts w:cs="Times New Roman"/>
          <w:color w:val="000000"/>
          <w:sz w:val="18"/>
          <w:szCs w:val="18"/>
        </w:rPr>
        <w:t>: Zestawienie sprawozdań w Mazowieckim Urzędzie Wojewódzkim</w:t>
      </w:r>
    </w:p>
    <w:p w:rsidR="002C54E6" w:rsidRDefault="00D57386">
      <w:pPr>
        <w:pStyle w:val="Nagwek2"/>
        <w:keepLines w:val="0"/>
        <w:suppressAutoHyphens w:val="0"/>
        <w:spacing w:before="200" w:after="120" w:line="240" w:lineRule="auto"/>
        <w:rPr>
          <w:rFonts w:ascii="Times New Roman" w:hAnsi="Times New Roman" w:cs="Times New Roman"/>
          <w:color w:val="000000"/>
          <w:sz w:val="22"/>
          <w:szCs w:val="22"/>
        </w:rPr>
      </w:pPr>
      <w:bookmarkStart w:id="20" w:name="_Toc89935122"/>
      <w:bookmarkStart w:id="21" w:name="_Toc89935354"/>
      <w:bookmarkStart w:id="22" w:name="__RefHeading___Toc65183401"/>
      <w:bookmarkEnd w:id="20"/>
      <w:bookmarkEnd w:id="21"/>
      <w:bookmarkEnd w:id="22"/>
      <w:r>
        <w:rPr>
          <w:rFonts w:ascii="Times New Roman" w:hAnsi="Times New Roman" w:cs="Times New Roman"/>
          <w:b/>
          <w:color w:val="000000"/>
          <w:sz w:val="22"/>
          <w:szCs w:val="22"/>
        </w:rPr>
        <w:lastRenderedPageBreak/>
        <w:t>Sprawozdawczość Urzędu M</w:t>
      </w:r>
      <w:r w:rsidR="00D752E7">
        <w:rPr>
          <w:rFonts w:ascii="Times New Roman" w:hAnsi="Times New Roman" w:cs="Times New Roman"/>
          <w:b/>
          <w:color w:val="000000"/>
          <w:sz w:val="22"/>
          <w:szCs w:val="22"/>
        </w:rPr>
        <w:t>arszałkowskiego</w:t>
      </w:r>
    </w:p>
    <w:p w:rsidR="002C54E6" w:rsidRDefault="00D752E7">
      <w:pPr>
        <w:jc w:val="both"/>
        <w:rPr>
          <w:rFonts w:cs="Times New Roman"/>
          <w:color w:val="FF0000"/>
          <w:sz w:val="22"/>
          <w:szCs w:val="22"/>
        </w:rPr>
      </w:pPr>
      <w:r>
        <w:rPr>
          <w:rFonts w:cs="Times New Roman"/>
          <w:color w:val="000000"/>
          <w:sz w:val="22"/>
          <w:szCs w:val="22"/>
        </w:rPr>
        <w:t>Dzięki współpracy pomiędzy Związkiem Miast Polskich a Związkiem Województw pozyskano wstępne dane o sprawozdawczości odbieranej i wysyłanej przez Urząd Marszałkowski Województwa Mazowieckiego (UMWM). Zestawienie nie obejmowało jednostek organizacyjnych województwa.</w:t>
      </w:r>
    </w:p>
    <w:p w:rsidR="002C54E6" w:rsidRDefault="00D752E7">
      <w:pPr>
        <w:jc w:val="both"/>
        <w:rPr>
          <w:rFonts w:cs="Times New Roman"/>
          <w:color w:val="000000"/>
          <w:sz w:val="22"/>
          <w:szCs w:val="22"/>
        </w:rPr>
      </w:pPr>
      <w:r>
        <w:rPr>
          <w:rFonts w:cs="Times New Roman"/>
          <w:color w:val="000000"/>
          <w:sz w:val="22"/>
          <w:szCs w:val="22"/>
        </w:rPr>
        <w:t>Zespół ds. HUB częściowo zweryfikował dane pozyskane z UMWM w Urzędzie Marszałkowskim Województwa Podlaskiego (UMWP).</w:t>
      </w:r>
    </w:p>
    <w:p w:rsidR="002C54E6" w:rsidRDefault="002C54E6">
      <w:pPr>
        <w:jc w:val="both"/>
        <w:rPr>
          <w:rFonts w:cs="Times New Roman"/>
          <w:color w:val="000000"/>
          <w:sz w:val="22"/>
          <w:szCs w:val="22"/>
        </w:rPr>
      </w:pPr>
    </w:p>
    <w:p w:rsidR="002C54E6" w:rsidRDefault="00D752E7">
      <w:pPr>
        <w:jc w:val="both"/>
        <w:rPr>
          <w:rFonts w:cs="Times New Roman"/>
          <w:color w:val="000000"/>
          <w:sz w:val="22"/>
          <w:szCs w:val="22"/>
        </w:rPr>
      </w:pPr>
      <w:r>
        <w:rPr>
          <w:rFonts w:cs="Times New Roman"/>
          <w:color w:val="000000"/>
          <w:sz w:val="22"/>
          <w:szCs w:val="22"/>
        </w:rPr>
        <w:t xml:space="preserve"> W obszarze sprawozdawczości urząd marszałkowski występuje zarówno jako odbiorca sprawozdań z gmin i powiatów, jak też tworzy sprawozdania z realizacji zadań województwa. Większość sprawozdań otrzymywanych z gmin i powiatów jest analizowana, agregowana i przesyłana dalej do organów właściwych (najczęściej ministerstw). Analiza przeważnie jest prowadzona za pomocą prostych narzędzi, takich jak kalkulator lub arkusz kalkulacyjny. Część sprawozdań trafiających do urzędu marszałkowskiego nie jest przekazywana dalej. W pojedynczych przypadkach sprawozdania znajdują się w systemach informatycznych i w tych systemach są analizowane.</w:t>
      </w:r>
    </w:p>
    <w:p w:rsidR="002C54E6" w:rsidRDefault="002C54E6">
      <w:pPr>
        <w:jc w:val="both"/>
        <w:rPr>
          <w:rFonts w:cs="Times New Roman"/>
          <w:color w:val="000000"/>
          <w:sz w:val="22"/>
          <w:szCs w:val="22"/>
        </w:rPr>
      </w:pPr>
    </w:p>
    <w:tbl>
      <w:tblPr>
        <w:tblW w:w="9812" w:type="dxa"/>
        <w:tblInd w:w="-70" w:type="dxa"/>
        <w:tblBorders>
          <w:top w:val="single" w:sz="4" w:space="0" w:color="000001"/>
          <w:left w:val="single" w:sz="4" w:space="0" w:color="000001"/>
          <w:bottom w:val="single" w:sz="4" w:space="0" w:color="000001"/>
          <w:insideH w:val="single" w:sz="4" w:space="0" w:color="000001"/>
        </w:tblBorders>
        <w:tblCellMar>
          <w:left w:w="68" w:type="dxa"/>
        </w:tblCellMar>
        <w:tblLook w:val="0000" w:firstRow="0" w:lastRow="0" w:firstColumn="0" w:lastColumn="0" w:noHBand="0" w:noVBand="0"/>
      </w:tblPr>
      <w:tblGrid>
        <w:gridCol w:w="1510"/>
        <w:gridCol w:w="1522"/>
        <w:gridCol w:w="1335"/>
        <w:gridCol w:w="1061"/>
        <w:gridCol w:w="1218"/>
        <w:gridCol w:w="999"/>
        <w:gridCol w:w="913"/>
        <w:gridCol w:w="540"/>
        <w:gridCol w:w="714"/>
      </w:tblGrid>
      <w:tr w:rsidR="002C54E6">
        <w:trPr>
          <w:trHeight w:val="853"/>
        </w:trPr>
        <w:tc>
          <w:tcPr>
            <w:tcW w:w="1509" w:type="dxa"/>
            <w:tcBorders>
              <w:top w:val="single" w:sz="4" w:space="0" w:color="000001"/>
              <w:left w:val="single" w:sz="4" w:space="0" w:color="000001"/>
              <w:bottom w:val="single" w:sz="4" w:space="0" w:color="000001"/>
            </w:tcBorders>
            <w:shd w:val="clear" w:color="auto" w:fill="BDD6EE"/>
            <w:tcMar>
              <w:left w:w="68" w:type="dxa"/>
            </w:tcMar>
          </w:tcPr>
          <w:p w:rsidR="002C54E6" w:rsidRDefault="002C54E6">
            <w:pPr>
              <w:snapToGrid w:val="0"/>
              <w:jc w:val="both"/>
              <w:rPr>
                <w:rFonts w:cs="Times New Roman"/>
                <w:color w:val="000000"/>
                <w:sz w:val="18"/>
                <w:szCs w:val="18"/>
              </w:rPr>
            </w:pPr>
          </w:p>
        </w:tc>
        <w:tc>
          <w:tcPr>
            <w:tcW w:w="1522" w:type="dxa"/>
            <w:tcBorders>
              <w:top w:val="single" w:sz="4" w:space="0" w:color="000001"/>
              <w:left w:val="single" w:sz="4" w:space="0" w:color="000001"/>
              <w:bottom w:val="single" w:sz="4" w:space="0" w:color="000001"/>
            </w:tcBorders>
            <w:shd w:val="clear" w:color="auto" w:fill="BDD6EE"/>
            <w:tcMar>
              <w:left w:w="68" w:type="dxa"/>
            </w:tcMar>
          </w:tcPr>
          <w:p w:rsidR="002C54E6" w:rsidRDefault="00D752E7">
            <w:pPr>
              <w:rPr>
                <w:rFonts w:cs="Times New Roman"/>
                <w:color w:val="000000"/>
                <w:sz w:val="18"/>
                <w:szCs w:val="18"/>
              </w:rPr>
            </w:pPr>
            <w:r>
              <w:rPr>
                <w:rFonts w:cs="Times New Roman"/>
                <w:color w:val="000000"/>
                <w:sz w:val="18"/>
                <w:szCs w:val="18"/>
              </w:rPr>
              <w:t>2. Gospodarka nieruchomościami</w:t>
            </w:r>
          </w:p>
        </w:tc>
        <w:tc>
          <w:tcPr>
            <w:tcW w:w="1335" w:type="dxa"/>
            <w:tcBorders>
              <w:top w:val="single" w:sz="4" w:space="0" w:color="000001"/>
              <w:left w:val="single" w:sz="4" w:space="0" w:color="000001"/>
              <w:bottom w:val="single" w:sz="4" w:space="0" w:color="000001"/>
            </w:tcBorders>
            <w:shd w:val="clear" w:color="auto" w:fill="BDD6EE"/>
            <w:tcMar>
              <w:left w:w="68" w:type="dxa"/>
            </w:tcMar>
          </w:tcPr>
          <w:p w:rsidR="002C54E6" w:rsidRDefault="00D752E7">
            <w:pPr>
              <w:rPr>
                <w:rFonts w:cs="Times New Roman"/>
                <w:color w:val="000000"/>
                <w:sz w:val="18"/>
                <w:szCs w:val="18"/>
              </w:rPr>
            </w:pPr>
            <w:r>
              <w:rPr>
                <w:rFonts w:cs="Times New Roman"/>
                <w:color w:val="000000"/>
                <w:sz w:val="18"/>
                <w:szCs w:val="18"/>
              </w:rPr>
              <w:t>3. Drogownictwo i transport</w:t>
            </w:r>
          </w:p>
        </w:tc>
        <w:tc>
          <w:tcPr>
            <w:tcW w:w="1061" w:type="dxa"/>
            <w:tcBorders>
              <w:top w:val="single" w:sz="4" w:space="0" w:color="000001"/>
              <w:left w:val="single" w:sz="4" w:space="0" w:color="000001"/>
              <w:bottom w:val="single" w:sz="4" w:space="0" w:color="000001"/>
            </w:tcBorders>
            <w:shd w:val="clear" w:color="auto" w:fill="BDD6EE"/>
            <w:tcMar>
              <w:left w:w="68" w:type="dxa"/>
            </w:tcMar>
          </w:tcPr>
          <w:p w:rsidR="002C54E6" w:rsidRDefault="00D752E7">
            <w:pPr>
              <w:rPr>
                <w:rFonts w:cs="Times New Roman"/>
                <w:color w:val="000000"/>
                <w:sz w:val="18"/>
                <w:szCs w:val="18"/>
              </w:rPr>
            </w:pPr>
            <w:r>
              <w:rPr>
                <w:rFonts w:cs="Times New Roman"/>
                <w:color w:val="000000"/>
                <w:sz w:val="18"/>
                <w:szCs w:val="18"/>
              </w:rPr>
              <w:t>4. Ochrona środowiska</w:t>
            </w:r>
          </w:p>
        </w:tc>
        <w:tc>
          <w:tcPr>
            <w:tcW w:w="1218" w:type="dxa"/>
            <w:tcBorders>
              <w:top w:val="single" w:sz="4" w:space="0" w:color="000001"/>
              <w:left w:val="single" w:sz="4" w:space="0" w:color="000001"/>
              <w:bottom w:val="single" w:sz="4" w:space="0" w:color="000001"/>
            </w:tcBorders>
            <w:shd w:val="clear" w:color="auto" w:fill="BDD6EE"/>
            <w:tcMar>
              <w:left w:w="68" w:type="dxa"/>
            </w:tcMar>
          </w:tcPr>
          <w:p w:rsidR="002C54E6" w:rsidRDefault="00D752E7">
            <w:pPr>
              <w:rPr>
                <w:rFonts w:cs="Times New Roman"/>
                <w:color w:val="000000"/>
                <w:sz w:val="18"/>
                <w:szCs w:val="18"/>
              </w:rPr>
            </w:pPr>
            <w:r>
              <w:rPr>
                <w:rFonts w:cs="Times New Roman"/>
                <w:color w:val="000000"/>
                <w:sz w:val="18"/>
                <w:szCs w:val="18"/>
              </w:rPr>
              <w:t>5. Inwestycje i budownictwo</w:t>
            </w:r>
          </w:p>
        </w:tc>
        <w:tc>
          <w:tcPr>
            <w:tcW w:w="999" w:type="dxa"/>
            <w:tcBorders>
              <w:top w:val="single" w:sz="4" w:space="0" w:color="000001"/>
              <w:left w:val="single" w:sz="4" w:space="0" w:color="000001"/>
              <w:bottom w:val="single" w:sz="4" w:space="0" w:color="000001"/>
            </w:tcBorders>
            <w:shd w:val="clear" w:color="auto" w:fill="BDD6EE"/>
            <w:tcMar>
              <w:left w:w="68" w:type="dxa"/>
            </w:tcMar>
          </w:tcPr>
          <w:p w:rsidR="002C54E6" w:rsidRDefault="00D752E7">
            <w:pPr>
              <w:rPr>
                <w:rFonts w:cs="Times New Roman"/>
                <w:color w:val="000000"/>
                <w:sz w:val="18"/>
                <w:szCs w:val="18"/>
              </w:rPr>
            </w:pPr>
            <w:r>
              <w:rPr>
                <w:rFonts w:cs="Times New Roman"/>
                <w:color w:val="000000"/>
                <w:sz w:val="18"/>
                <w:szCs w:val="18"/>
              </w:rPr>
              <w:t xml:space="preserve">6. Geodezja i kartografia </w:t>
            </w:r>
          </w:p>
        </w:tc>
        <w:tc>
          <w:tcPr>
            <w:tcW w:w="913" w:type="dxa"/>
            <w:tcBorders>
              <w:top w:val="single" w:sz="4" w:space="0" w:color="000001"/>
              <w:left w:val="single" w:sz="4" w:space="0" w:color="000001"/>
              <w:bottom w:val="single" w:sz="4" w:space="0" w:color="000001"/>
            </w:tcBorders>
            <w:shd w:val="clear" w:color="auto" w:fill="BDD6EE"/>
            <w:tcMar>
              <w:left w:w="68" w:type="dxa"/>
            </w:tcMar>
          </w:tcPr>
          <w:p w:rsidR="002C54E6" w:rsidRDefault="00D752E7">
            <w:pPr>
              <w:rPr>
                <w:rFonts w:cs="Times New Roman"/>
                <w:color w:val="000000"/>
                <w:sz w:val="18"/>
                <w:szCs w:val="18"/>
              </w:rPr>
            </w:pPr>
            <w:r>
              <w:rPr>
                <w:rFonts w:cs="Times New Roman"/>
                <w:color w:val="000000"/>
                <w:sz w:val="18"/>
                <w:szCs w:val="18"/>
              </w:rPr>
              <w:t>8. Lokalna polityka społeczna</w:t>
            </w:r>
          </w:p>
        </w:tc>
        <w:tc>
          <w:tcPr>
            <w:tcW w:w="540" w:type="dxa"/>
            <w:tcBorders>
              <w:top w:val="single" w:sz="4" w:space="0" w:color="000001"/>
              <w:left w:val="single" w:sz="4" w:space="0" w:color="000001"/>
              <w:bottom w:val="single" w:sz="4" w:space="0" w:color="000001"/>
            </w:tcBorders>
            <w:shd w:val="clear" w:color="auto" w:fill="BDD6EE"/>
            <w:tcMar>
              <w:left w:w="68" w:type="dxa"/>
            </w:tcMar>
          </w:tcPr>
          <w:p w:rsidR="002C54E6" w:rsidRDefault="00D752E7">
            <w:pPr>
              <w:rPr>
                <w:rFonts w:cs="Times New Roman"/>
                <w:color w:val="000000"/>
                <w:sz w:val="18"/>
                <w:szCs w:val="18"/>
              </w:rPr>
            </w:pPr>
            <w:r>
              <w:rPr>
                <w:rFonts w:cs="Times New Roman"/>
                <w:color w:val="000000"/>
                <w:sz w:val="18"/>
                <w:szCs w:val="18"/>
              </w:rPr>
              <w:t>11. Inne</w:t>
            </w:r>
          </w:p>
        </w:tc>
        <w:tc>
          <w:tcPr>
            <w:tcW w:w="714" w:type="dxa"/>
            <w:tcBorders>
              <w:top w:val="single" w:sz="4" w:space="0" w:color="000001"/>
              <w:left w:val="single" w:sz="4" w:space="0" w:color="000001"/>
              <w:bottom w:val="single" w:sz="4" w:space="0" w:color="000001"/>
              <w:right w:val="single" w:sz="4" w:space="0" w:color="000001"/>
            </w:tcBorders>
            <w:shd w:val="clear" w:color="auto" w:fill="BDD6EE"/>
            <w:tcMar>
              <w:left w:w="68" w:type="dxa"/>
            </w:tcMar>
          </w:tcPr>
          <w:p w:rsidR="002C54E6" w:rsidRDefault="00D752E7">
            <w:pPr>
              <w:rPr>
                <w:rFonts w:cs="Times New Roman"/>
                <w:color w:val="000000"/>
                <w:sz w:val="18"/>
                <w:szCs w:val="18"/>
              </w:rPr>
            </w:pPr>
            <w:r>
              <w:rPr>
                <w:rFonts w:cs="Times New Roman"/>
                <w:color w:val="000000"/>
                <w:sz w:val="18"/>
                <w:szCs w:val="18"/>
              </w:rPr>
              <w:t>Razem</w:t>
            </w:r>
          </w:p>
        </w:tc>
      </w:tr>
      <w:tr w:rsidR="002C54E6">
        <w:tc>
          <w:tcPr>
            <w:tcW w:w="1509" w:type="dxa"/>
            <w:tcBorders>
              <w:top w:val="single" w:sz="4" w:space="0" w:color="000001"/>
              <w:left w:val="single" w:sz="4" w:space="0" w:color="000001"/>
              <w:bottom w:val="single" w:sz="4" w:space="0" w:color="000001"/>
            </w:tcBorders>
            <w:shd w:val="clear" w:color="auto" w:fill="auto"/>
            <w:tcMar>
              <w:left w:w="68" w:type="dxa"/>
            </w:tcMar>
          </w:tcPr>
          <w:p w:rsidR="002C54E6" w:rsidRDefault="00D752E7">
            <w:pPr>
              <w:rPr>
                <w:rFonts w:cs="Times New Roman"/>
                <w:color w:val="000000"/>
                <w:sz w:val="18"/>
                <w:szCs w:val="18"/>
              </w:rPr>
            </w:pPr>
            <w:r>
              <w:rPr>
                <w:rFonts w:cs="Times New Roman"/>
                <w:color w:val="000000"/>
                <w:sz w:val="18"/>
                <w:szCs w:val="18"/>
              </w:rPr>
              <w:t>Sprawozdania składane z JST poza systemami informatycznymi, następnie zestawiane w UM i przesyłane dalej</w:t>
            </w:r>
          </w:p>
        </w:tc>
        <w:tc>
          <w:tcPr>
            <w:tcW w:w="1522"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0</w:t>
            </w:r>
          </w:p>
        </w:tc>
        <w:tc>
          <w:tcPr>
            <w:tcW w:w="1335"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1</w:t>
            </w:r>
          </w:p>
        </w:tc>
        <w:tc>
          <w:tcPr>
            <w:tcW w:w="1061"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8</w:t>
            </w:r>
          </w:p>
        </w:tc>
        <w:tc>
          <w:tcPr>
            <w:tcW w:w="1218"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1</w:t>
            </w:r>
          </w:p>
        </w:tc>
        <w:tc>
          <w:tcPr>
            <w:tcW w:w="999"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0</w:t>
            </w:r>
          </w:p>
        </w:tc>
        <w:tc>
          <w:tcPr>
            <w:tcW w:w="913"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0</w:t>
            </w:r>
          </w:p>
        </w:tc>
        <w:tc>
          <w:tcPr>
            <w:tcW w:w="540"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0</w:t>
            </w:r>
          </w:p>
        </w:tc>
        <w:tc>
          <w:tcPr>
            <w:tcW w:w="714" w:type="dxa"/>
            <w:tcBorders>
              <w:top w:val="single" w:sz="4" w:space="0" w:color="000001"/>
              <w:left w:val="single" w:sz="4" w:space="0" w:color="000001"/>
              <w:bottom w:val="single" w:sz="4" w:space="0" w:color="000001"/>
              <w:right w:val="single" w:sz="4" w:space="0" w:color="000001"/>
            </w:tcBorders>
            <w:shd w:val="clear" w:color="auto" w:fill="F2F2F2"/>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10</w:t>
            </w:r>
          </w:p>
        </w:tc>
      </w:tr>
      <w:tr w:rsidR="002C54E6">
        <w:tc>
          <w:tcPr>
            <w:tcW w:w="1509" w:type="dxa"/>
            <w:tcBorders>
              <w:top w:val="single" w:sz="4" w:space="0" w:color="000001"/>
              <w:left w:val="single" w:sz="4" w:space="0" w:color="000001"/>
              <w:bottom w:val="single" w:sz="4" w:space="0" w:color="000001"/>
            </w:tcBorders>
            <w:shd w:val="clear" w:color="auto" w:fill="auto"/>
            <w:tcMar>
              <w:left w:w="68" w:type="dxa"/>
            </w:tcMar>
          </w:tcPr>
          <w:p w:rsidR="002C54E6" w:rsidRDefault="00D752E7">
            <w:pPr>
              <w:snapToGrid w:val="0"/>
              <w:rPr>
                <w:rFonts w:cs="Times New Roman"/>
                <w:color w:val="000000"/>
                <w:sz w:val="18"/>
                <w:szCs w:val="18"/>
              </w:rPr>
            </w:pPr>
            <w:r>
              <w:rPr>
                <w:rFonts w:cs="Times New Roman"/>
                <w:color w:val="000000"/>
                <w:sz w:val="18"/>
                <w:szCs w:val="18"/>
              </w:rPr>
              <w:t>Sprawozdania składane z JST poza systemami informatycznymi, następnie zestawiane w UM i nie przesyłane dalej</w:t>
            </w:r>
          </w:p>
        </w:tc>
        <w:tc>
          <w:tcPr>
            <w:tcW w:w="1522"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jc w:val="center"/>
              <w:rPr>
                <w:rFonts w:cs="Times New Roman"/>
                <w:color w:val="000000"/>
                <w:sz w:val="18"/>
                <w:szCs w:val="18"/>
              </w:rPr>
            </w:pPr>
            <w:r>
              <w:rPr>
                <w:rFonts w:cs="Times New Roman"/>
                <w:color w:val="000000"/>
                <w:sz w:val="18"/>
                <w:szCs w:val="18"/>
              </w:rPr>
              <w:t>0</w:t>
            </w:r>
          </w:p>
        </w:tc>
        <w:tc>
          <w:tcPr>
            <w:tcW w:w="1335"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jc w:val="center"/>
              <w:rPr>
                <w:rFonts w:cs="Times New Roman"/>
                <w:color w:val="000000"/>
                <w:sz w:val="18"/>
                <w:szCs w:val="18"/>
              </w:rPr>
            </w:pPr>
            <w:r>
              <w:rPr>
                <w:rFonts w:cs="Times New Roman"/>
                <w:color w:val="000000"/>
                <w:sz w:val="18"/>
                <w:szCs w:val="18"/>
              </w:rPr>
              <w:t>0</w:t>
            </w:r>
          </w:p>
        </w:tc>
        <w:tc>
          <w:tcPr>
            <w:tcW w:w="1061"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jc w:val="center"/>
              <w:rPr>
                <w:rFonts w:cs="Times New Roman"/>
                <w:color w:val="000000"/>
                <w:sz w:val="18"/>
                <w:szCs w:val="18"/>
              </w:rPr>
            </w:pPr>
            <w:r>
              <w:rPr>
                <w:rFonts w:cs="Times New Roman"/>
                <w:color w:val="000000"/>
                <w:sz w:val="18"/>
                <w:szCs w:val="18"/>
              </w:rPr>
              <w:t>3</w:t>
            </w:r>
          </w:p>
        </w:tc>
        <w:tc>
          <w:tcPr>
            <w:tcW w:w="1218"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jc w:val="center"/>
              <w:rPr>
                <w:rFonts w:cs="Times New Roman"/>
                <w:color w:val="000000"/>
                <w:sz w:val="18"/>
                <w:szCs w:val="18"/>
              </w:rPr>
            </w:pPr>
            <w:r>
              <w:rPr>
                <w:rFonts w:cs="Times New Roman"/>
                <w:color w:val="000000"/>
                <w:sz w:val="18"/>
                <w:szCs w:val="18"/>
              </w:rPr>
              <w:t>0</w:t>
            </w:r>
          </w:p>
        </w:tc>
        <w:tc>
          <w:tcPr>
            <w:tcW w:w="999"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jc w:val="center"/>
              <w:rPr>
                <w:rFonts w:cs="Times New Roman"/>
                <w:color w:val="000000"/>
                <w:sz w:val="18"/>
                <w:szCs w:val="18"/>
              </w:rPr>
            </w:pPr>
            <w:r>
              <w:rPr>
                <w:rFonts w:cs="Times New Roman"/>
                <w:color w:val="000000"/>
                <w:sz w:val="18"/>
                <w:szCs w:val="18"/>
              </w:rPr>
              <w:t>0</w:t>
            </w:r>
          </w:p>
        </w:tc>
        <w:tc>
          <w:tcPr>
            <w:tcW w:w="913"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jc w:val="center"/>
              <w:rPr>
                <w:rFonts w:cs="Times New Roman"/>
                <w:color w:val="000000"/>
                <w:sz w:val="18"/>
                <w:szCs w:val="18"/>
              </w:rPr>
            </w:pPr>
            <w:r>
              <w:rPr>
                <w:rFonts w:cs="Times New Roman"/>
                <w:color w:val="000000"/>
                <w:sz w:val="18"/>
                <w:szCs w:val="18"/>
              </w:rPr>
              <w:t>0</w:t>
            </w:r>
          </w:p>
        </w:tc>
        <w:tc>
          <w:tcPr>
            <w:tcW w:w="540"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jc w:val="center"/>
              <w:rPr>
                <w:rFonts w:cs="Times New Roman"/>
                <w:color w:val="000000"/>
                <w:sz w:val="18"/>
                <w:szCs w:val="18"/>
              </w:rPr>
            </w:pPr>
            <w:r>
              <w:rPr>
                <w:rFonts w:cs="Times New Roman"/>
                <w:color w:val="000000"/>
                <w:sz w:val="18"/>
                <w:szCs w:val="18"/>
              </w:rPr>
              <w:t>0</w:t>
            </w:r>
          </w:p>
        </w:tc>
        <w:tc>
          <w:tcPr>
            <w:tcW w:w="714" w:type="dxa"/>
            <w:tcBorders>
              <w:top w:val="single" w:sz="4" w:space="0" w:color="000001"/>
              <w:left w:val="single" w:sz="4" w:space="0" w:color="000001"/>
              <w:bottom w:val="single" w:sz="4" w:space="0" w:color="000001"/>
              <w:right w:val="single" w:sz="4" w:space="0" w:color="000001"/>
            </w:tcBorders>
            <w:shd w:val="clear" w:color="auto" w:fill="F2F2F2"/>
            <w:tcMar>
              <w:left w:w="68" w:type="dxa"/>
            </w:tcMar>
            <w:vAlign w:val="center"/>
          </w:tcPr>
          <w:p w:rsidR="002C54E6" w:rsidRDefault="00D752E7">
            <w:pPr>
              <w:jc w:val="center"/>
              <w:rPr>
                <w:rFonts w:cs="Times New Roman"/>
                <w:color w:val="000000"/>
                <w:sz w:val="18"/>
                <w:szCs w:val="18"/>
              </w:rPr>
            </w:pPr>
            <w:r>
              <w:rPr>
                <w:rFonts w:cs="Times New Roman"/>
                <w:color w:val="000000"/>
                <w:sz w:val="18"/>
                <w:szCs w:val="18"/>
              </w:rPr>
              <w:t>3</w:t>
            </w:r>
          </w:p>
        </w:tc>
      </w:tr>
      <w:tr w:rsidR="002C54E6">
        <w:tc>
          <w:tcPr>
            <w:tcW w:w="1509" w:type="dxa"/>
            <w:tcBorders>
              <w:top w:val="single" w:sz="4" w:space="0" w:color="000001"/>
              <w:left w:val="single" w:sz="4" w:space="0" w:color="000001"/>
              <w:bottom w:val="single" w:sz="4" w:space="0" w:color="000001"/>
            </w:tcBorders>
            <w:shd w:val="clear" w:color="auto" w:fill="auto"/>
            <w:tcMar>
              <w:left w:w="68" w:type="dxa"/>
            </w:tcMar>
          </w:tcPr>
          <w:p w:rsidR="002C54E6" w:rsidRDefault="00D752E7">
            <w:pPr>
              <w:rPr>
                <w:rFonts w:cs="Times New Roman"/>
                <w:color w:val="000000"/>
                <w:sz w:val="18"/>
                <w:szCs w:val="18"/>
              </w:rPr>
            </w:pPr>
            <w:r>
              <w:rPr>
                <w:rFonts w:cs="Times New Roman"/>
                <w:color w:val="000000"/>
                <w:sz w:val="18"/>
                <w:szCs w:val="18"/>
              </w:rPr>
              <w:t>Sprawozdania składane z JST za pomocą systemu informatycznego, następnie analizowane w systemie</w:t>
            </w:r>
          </w:p>
        </w:tc>
        <w:tc>
          <w:tcPr>
            <w:tcW w:w="1522"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0</w:t>
            </w:r>
          </w:p>
        </w:tc>
        <w:tc>
          <w:tcPr>
            <w:tcW w:w="1335"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0</w:t>
            </w:r>
          </w:p>
        </w:tc>
        <w:tc>
          <w:tcPr>
            <w:tcW w:w="1061"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3</w:t>
            </w:r>
          </w:p>
        </w:tc>
        <w:tc>
          <w:tcPr>
            <w:tcW w:w="1218"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0</w:t>
            </w:r>
          </w:p>
        </w:tc>
        <w:tc>
          <w:tcPr>
            <w:tcW w:w="999"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0</w:t>
            </w:r>
          </w:p>
        </w:tc>
        <w:tc>
          <w:tcPr>
            <w:tcW w:w="913"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0</w:t>
            </w:r>
          </w:p>
        </w:tc>
        <w:tc>
          <w:tcPr>
            <w:tcW w:w="540"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0</w:t>
            </w:r>
          </w:p>
        </w:tc>
        <w:tc>
          <w:tcPr>
            <w:tcW w:w="714" w:type="dxa"/>
            <w:tcBorders>
              <w:top w:val="single" w:sz="4" w:space="0" w:color="000001"/>
              <w:left w:val="single" w:sz="4" w:space="0" w:color="000001"/>
              <w:bottom w:val="single" w:sz="4" w:space="0" w:color="000001"/>
              <w:right w:val="single" w:sz="4" w:space="0" w:color="000001"/>
            </w:tcBorders>
            <w:shd w:val="clear" w:color="auto" w:fill="F2F2F2"/>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3</w:t>
            </w:r>
          </w:p>
        </w:tc>
      </w:tr>
      <w:tr w:rsidR="002C54E6">
        <w:tc>
          <w:tcPr>
            <w:tcW w:w="1509" w:type="dxa"/>
            <w:tcBorders>
              <w:top w:val="single" w:sz="4" w:space="0" w:color="000001"/>
              <w:left w:val="single" w:sz="4" w:space="0" w:color="000001"/>
              <w:bottom w:val="single" w:sz="4" w:space="0" w:color="000001"/>
            </w:tcBorders>
            <w:shd w:val="clear" w:color="auto" w:fill="auto"/>
            <w:tcMar>
              <w:left w:w="68" w:type="dxa"/>
            </w:tcMar>
          </w:tcPr>
          <w:p w:rsidR="002C54E6" w:rsidRDefault="00D752E7">
            <w:pPr>
              <w:rPr>
                <w:rFonts w:cs="Times New Roman"/>
                <w:color w:val="000000"/>
                <w:sz w:val="18"/>
                <w:szCs w:val="18"/>
              </w:rPr>
            </w:pPr>
            <w:r>
              <w:rPr>
                <w:rFonts w:cs="Times New Roman"/>
                <w:color w:val="000000"/>
                <w:sz w:val="18"/>
                <w:szCs w:val="18"/>
              </w:rPr>
              <w:t>Sprawozdania tworzone w urzędzie marszałkowskim i przesyłane dalej</w:t>
            </w:r>
          </w:p>
        </w:tc>
        <w:tc>
          <w:tcPr>
            <w:tcW w:w="1522"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0</w:t>
            </w:r>
          </w:p>
        </w:tc>
        <w:tc>
          <w:tcPr>
            <w:tcW w:w="1335"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2</w:t>
            </w:r>
          </w:p>
        </w:tc>
        <w:tc>
          <w:tcPr>
            <w:tcW w:w="1061"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1</w:t>
            </w:r>
          </w:p>
        </w:tc>
        <w:tc>
          <w:tcPr>
            <w:tcW w:w="1218"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0</w:t>
            </w:r>
          </w:p>
        </w:tc>
        <w:tc>
          <w:tcPr>
            <w:tcW w:w="999"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1</w:t>
            </w:r>
          </w:p>
        </w:tc>
        <w:tc>
          <w:tcPr>
            <w:tcW w:w="913"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0</w:t>
            </w:r>
          </w:p>
        </w:tc>
        <w:tc>
          <w:tcPr>
            <w:tcW w:w="540" w:type="dxa"/>
            <w:tcBorders>
              <w:top w:val="single" w:sz="4" w:space="0" w:color="000001"/>
              <w:left w:val="single" w:sz="4" w:space="0" w:color="000001"/>
              <w:bottom w:val="single" w:sz="4" w:space="0" w:color="000001"/>
            </w:tcBorders>
            <w:shd w:val="clear" w:color="auto" w:fill="auto"/>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0</w:t>
            </w:r>
          </w:p>
        </w:tc>
        <w:tc>
          <w:tcPr>
            <w:tcW w:w="714" w:type="dxa"/>
            <w:tcBorders>
              <w:top w:val="single" w:sz="4" w:space="0" w:color="000001"/>
              <w:left w:val="single" w:sz="4" w:space="0" w:color="000001"/>
              <w:bottom w:val="single" w:sz="4" w:space="0" w:color="000001"/>
              <w:right w:val="single" w:sz="4" w:space="0" w:color="000001"/>
            </w:tcBorders>
            <w:shd w:val="clear" w:color="auto" w:fill="F2F2F2"/>
            <w:tcMar>
              <w:left w:w="68" w:type="dxa"/>
            </w:tcMar>
            <w:vAlign w:val="center"/>
          </w:tcPr>
          <w:p w:rsidR="002C54E6" w:rsidRDefault="00D752E7">
            <w:pPr>
              <w:snapToGrid w:val="0"/>
              <w:jc w:val="center"/>
              <w:rPr>
                <w:rFonts w:cs="Times New Roman"/>
                <w:color w:val="000000"/>
                <w:sz w:val="18"/>
                <w:szCs w:val="18"/>
              </w:rPr>
            </w:pPr>
            <w:r>
              <w:rPr>
                <w:rFonts w:cs="Times New Roman"/>
                <w:color w:val="000000"/>
                <w:sz w:val="18"/>
                <w:szCs w:val="18"/>
              </w:rPr>
              <w:t>4</w:t>
            </w:r>
          </w:p>
        </w:tc>
      </w:tr>
      <w:tr w:rsidR="002C54E6">
        <w:tc>
          <w:tcPr>
            <w:tcW w:w="1509" w:type="dxa"/>
            <w:tcBorders>
              <w:top w:val="single" w:sz="4" w:space="0" w:color="000001"/>
              <w:left w:val="single" w:sz="4" w:space="0" w:color="000001"/>
              <w:bottom w:val="single" w:sz="4" w:space="0" w:color="000001"/>
            </w:tcBorders>
            <w:shd w:val="clear" w:color="auto" w:fill="F2F2F2"/>
            <w:tcMar>
              <w:left w:w="68" w:type="dxa"/>
            </w:tcMar>
          </w:tcPr>
          <w:p w:rsidR="002C54E6" w:rsidRDefault="00D752E7">
            <w:pPr>
              <w:jc w:val="both"/>
              <w:rPr>
                <w:rFonts w:cs="Times New Roman"/>
                <w:color w:val="000000"/>
                <w:sz w:val="18"/>
                <w:szCs w:val="18"/>
              </w:rPr>
            </w:pPr>
            <w:r>
              <w:rPr>
                <w:rFonts w:cs="Times New Roman"/>
                <w:color w:val="000000"/>
                <w:sz w:val="18"/>
                <w:szCs w:val="18"/>
              </w:rPr>
              <w:t>Suma</w:t>
            </w:r>
          </w:p>
        </w:tc>
        <w:tc>
          <w:tcPr>
            <w:tcW w:w="1522" w:type="dxa"/>
            <w:tcBorders>
              <w:top w:val="single" w:sz="4" w:space="0" w:color="000001"/>
              <w:left w:val="single" w:sz="4" w:space="0" w:color="000001"/>
              <w:bottom w:val="single" w:sz="4" w:space="0" w:color="000001"/>
            </w:tcBorders>
            <w:shd w:val="clear" w:color="auto" w:fill="F2F2F2"/>
            <w:tcMar>
              <w:left w:w="68" w:type="dxa"/>
            </w:tcMar>
          </w:tcPr>
          <w:p w:rsidR="002C54E6" w:rsidRDefault="00D752E7">
            <w:pPr>
              <w:jc w:val="center"/>
              <w:rPr>
                <w:rFonts w:cs="Times New Roman"/>
                <w:color w:val="000000"/>
                <w:sz w:val="18"/>
                <w:szCs w:val="18"/>
              </w:rPr>
            </w:pPr>
            <w:r>
              <w:rPr>
                <w:rFonts w:cs="Times New Roman"/>
                <w:color w:val="000000"/>
                <w:sz w:val="18"/>
                <w:szCs w:val="18"/>
              </w:rPr>
              <w:t>0</w:t>
            </w:r>
          </w:p>
        </w:tc>
        <w:tc>
          <w:tcPr>
            <w:tcW w:w="1335" w:type="dxa"/>
            <w:tcBorders>
              <w:top w:val="single" w:sz="4" w:space="0" w:color="000001"/>
              <w:left w:val="single" w:sz="4" w:space="0" w:color="000001"/>
              <w:bottom w:val="single" w:sz="4" w:space="0" w:color="000001"/>
            </w:tcBorders>
            <w:shd w:val="clear" w:color="auto" w:fill="F2F2F2"/>
            <w:tcMar>
              <w:left w:w="68" w:type="dxa"/>
            </w:tcMar>
          </w:tcPr>
          <w:p w:rsidR="002C54E6" w:rsidRDefault="00D752E7">
            <w:pPr>
              <w:jc w:val="center"/>
              <w:rPr>
                <w:rFonts w:cs="Times New Roman"/>
                <w:color w:val="000000"/>
                <w:sz w:val="18"/>
                <w:szCs w:val="18"/>
              </w:rPr>
            </w:pPr>
            <w:r>
              <w:rPr>
                <w:rFonts w:cs="Times New Roman"/>
                <w:color w:val="000000"/>
                <w:sz w:val="18"/>
                <w:szCs w:val="18"/>
              </w:rPr>
              <w:t>3</w:t>
            </w:r>
          </w:p>
        </w:tc>
        <w:tc>
          <w:tcPr>
            <w:tcW w:w="1061" w:type="dxa"/>
            <w:tcBorders>
              <w:top w:val="single" w:sz="4" w:space="0" w:color="000001"/>
              <w:left w:val="single" w:sz="4" w:space="0" w:color="000001"/>
              <w:bottom w:val="single" w:sz="4" w:space="0" w:color="000001"/>
            </w:tcBorders>
            <w:shd w:val="clear" w:color="auto" w:fill="F2F2F2"/>
            <w:tcMar>
              <w:left w:w="68" w:type="dxa"/>
            </w:tcMar>
          </w:tcPr>
          <w:p w:rsidR="002C54E6" w:rsidRDefault="00D752E7">
            <w:pPr>
              <w:jc w:val="center"/>
              <w:rPr>
                <w:rFonts w:cs="Times New Roman"/>
                <w:color w:val="000000"/>
                <w:sz w:val="18"/>
                <w:szCs w:val="18"/>
              </w:rPr>
            </w:pPr>
            <w:r>
              <w:rPr>
                <w:rFonts w:cs="Times New Roman"/>
                <w:color w:val="000000"/>
                <w:sz w:val="18"/>
                <w:szCs w:val="18"/>
              </w:rPr>
              <w:t>15</w:t>
            </w:r>
          </w:p>
        </w:tc>
        <w:tc>
          <w:tcPr>
            <w:tcW w:w="1218" w:type="dxa"/>
            <w:tcBorders>
              <w:top w:val="single" w:sz="4" w:space="0" w:color="000001"/>
              <w:left w:val="single" w:sz="4" w:space="0" w:color="000001"/>
              <w:bottom w:val="single" w:sz="4" w:space="0" w:color="000001"/>
            </w:tcBorders>
            <w:shd w:val="clear" w:color="auto" w:fill="F2F2F2"/>
            <w:tcMar>
              <w:left w:w="68" w:type="dxa"/>
            </w:tcMar>
          </w:tcPr>
          <w:p w:rsidR="002C54E6" w:rsidRDefault="00D752E7">
            <w:pPr>
              <w:jc w:val="center"/>
              <w:rPr>
                <w:rFonts w:cs="Times New Roman"/>
                <w:color w:val="000000"/>
                <w:sz w:val="18"/>
                <w:szCs w:val="18"/>
              </w:rPr>
            </w:pPr>
            <w:r>
              <w:rPr>
                <w:rFonts w:cs="Times New Roman"/>
                <w:color w:val="000000"/>
                <w:sz w:val="18"/>
                <w:szCs w:val="18"/>
              </w:rPr>
              <w:t>1</w:t>
            </w:r>
          </w:p>
        </w:tc>
        <w:tc>
          <w:tcPr>
            <w:tcW w:w="999" w:type="dxa"/>
            <w:tcBorders>
              <w:top w:val="single" w:sz="4" w:space="0" w:color="000001"/>
              <w:left w:val="single" w:sz="4" w:space="0" w:color="000001"/>
              <w:bottom w:val="single" w:sz="4" w:space="0" w:color="000001"/>
            </w:tcBorders>
            <w:shd w:val="clear" w:color="auto" w:fill="F2F2F2"/>
            <w:tcMar>
              <w:left w:w="68" w:type="dxa"/>
            </w:tcMar>
          </w:tcPr>
          <w:p w:rsidR="002C54E6" w:rsidRDefault="00D752E7">
            <w:pPr>
              <w:jc w:val="center"/>
              <w:rPr>
                <w:rFonts w:cs="Times New Roman"/>
                <w:color w:val="000000"/>
                <w:sz w:val="18"/>
                <w:szCs w:val="18"/>
              </w:rPr>
            </w:pPr>
            <w:r>
              <w:rPr>
                <w:rFonts w:cs="Times New Roman"/>
                <w:color w:val="000000"/>
                <w:sz w:val="18"/>
                <w:szCs w:val="18"/>
              </w:rPr>
              <w:t>1</w:t>
            </w:r>
          </w:p>
        </w:tc>
        <w:tc>
          <w:tcPr>
            <w:tcW w:w="913" w:type="dxa"/>
            <w:tcBorders>
              <w:top w:val="single" w:sz="4" w:space="0" w:color="000001"/>
              <w:left w:val="single" w:sz="4" w:space="0" w:color="000001"/>
              <w:bottom w:val="single" w:sz="4" w:space="0" w:color="000001"/>
            </w:tcBorders>
            <w:shd w:val="clear" w:color="auto" w:fill="F2F2F2"/>
            <w:tcMar>
              <w:left w:w="68" w:type="dxa"/>
            </w:tcMar>
          </w:tcPr>
          <w:p w:rsidR="002C54E6" w:rsidRDefault="00D752E7">
            <w:pPr>
              <w:jc w:val="center"/>
              <w:rPr>
                <w:rFonts w:cs="Times New Roman"/>
                <w:color w:val="000000"/>
                <w:sz w:val="18"/>
                <w:szCs w:val="18"/>
              </w:rPr>
            </w:pPr>
            <w:r>
              <w:rPr>
                <w:rFonts w:cs="Times New Roman"/>
                <w:color w:val="000000"/>
                <w:sz w:val="18"/>
                <w:szCs w:val="18"/>
              </w:rPr>
              <w:t>0</w:t>
            </w:r>
          </w:p>
        </w:tc>
        <w:tc>
          <w:tcPr>
            <w:tcW w:w="540" w:type="dxa"/>
            <w:tcBorders>
              <w:top w:val="single" w:sz="4" w:space="0" w:color="000001"/>
              <w:left w:val="single" w:sz="4" w:space="0" w:color="000001"/>
              <w:bottom w:val="single" w:sz="4" w:space="0" w:color="000001"/>
            </w:tcBorders>
            <w:shd w:val="clear" w:color="auto" w:fill="F2F2F2"/>
            <w:tcMar>
              <w:left w:w="68" w:type="dxa"/>
            </w:tcMar>
          </w:tcPr>
          <w:p w:rsidR="002C54E6" w:rsidRDefault="00D752E7">
            <w:pPr>
              <w:jc w:val="center"/>
              <w:rPr>
                <w:rFonts w:cs="Times New Roman"/>
                <w:color w:val="000000"/>
                <w:sz w:val="18"/>
                <w:szCs w:val="18"/>
              </w:rPr>
            </w:pPr>
            <w:r>
              <w:rPr>
                <w:rFonts w:cs="Times New Roman"/>
                <w:color w:val="000000"/>
                <w:sz w:val="18"/>
                <w:szCs w:val="18"/>
              </w:rPr>
              <w:t>0</w:t>
            </w:r>
          </w:p>
        </w:tc>
        <w:tc>
          <w:tcPr>
            <w:tcW w:w="714" w:type="dxa"/>
            <w:tcBorders>
              <w:top w:val="single" w:sz="4" w:space="0" w:color="000001"/>
              <w:left w:val="single" w:sz="4" w:space="0" w:color="000001"/>
              <w:bottom w:val="single" w:sz="4" w:space="0" w:color="000001"/>
              <w:right w:val="single" w:sz="4" w:space="0" w:color="000001"/>
            </w:tcBorders>
            <w:shd w:val="clear" w:color="auto" w:fill="F2F2F2"/>
            <w:tcMar>
              <w:left w:w="68" w:type="dxa"/>
            </w:tcMar>
          </w:tcPr>
          <w:p w:rsidR="002C54E6" w:rsidRDefault="00D752E7">
            <w:pPr>
              <w:jc w:val="center"/>
              <w:rPr>
                <w:rFonts w:cs="Times New Roman"/>
                <w:color w:val="000000"/>
                <w:sz w:val="18"/>
                <w:szCs w:val="18"/>
              </w:rPr>
            </w:pPr>
            <w:r>
              <w:rPr>
                <w:rFonts w:cs="Times New Roman"/>
                <w:color w:val="000000"/>
                <w:sz w:val="18"/>
                <w:szCs w:val="18"/>
              </w:rPr>
              <w:t>20</w:t>
            </w:r>
          </w:p>
        </w:tc>
      </w:tr>
    </w:tbl>
    <w:p w:rsidR="002C54E6" w:rsidRDefault="00D57386">
      <w:pPr>
        <w:jc w:val="both"/>
        <w:rPr>
          <w:rFonts w:cs="Times New Roman"/>
          <w:color w:val="000000"/>
          <w:sz w:val="18"/>
          <w:szCs w:val="18"/>
        </w:rPr>
      </w:pPr>
      <w:r>
        <w:rPr>
          <w:rFonts w:cs="Times New Roman"/>
          <w:color w:val="000000"/>
          <w:sz w:val="18"/>
          <w:szCs w:val="18"/>
        </w:rPr>
        <w:t>Tabela nr 4</w:t>
      </w:r>
      <w:r w:rsidR="00D752E7">
        <w:rPr>
          <w:rFonts w:cs="Times New Roman"/>
          <w:color w:val="000000"/>
          <w:sz w:val="18"/>
          <w:szCs w:val="18"/>
        </w:rPr>
        <w:t>: Zestawienie sprawozdań w Urzędzie Marszałkowskim Województwa Podlaskiego</w:t>
      </w:r>
    </w:p>
    <w:p w:rsidR="002C54E6" w:rsidRDefault="002C54E6">
      <w:pPr>
        <w:jc w:val="both"/>
        <w:rPr>
          <w:rFonts w:cs="Times New Roman"/>
          <w:sz w:val="22"/>
          <w:szCs w:val="22"/>
        </w:rPr>
      </w:pPr>
    </w:p>
    <w:p w:rsidR="002C54E6" w:rsidRDefault="00D752E7">
      <w:pPr>
        <w:jc w:val="both"/>
        <w:rPr>
          <w:rFonts w:cs="Times New Roman"/>
          <w:color w:val="000000"/>
          <w:sz w:val="22"/>
          <w:szCs w:val="22"/>
        </w:rPr>
      </w:pPr>
      <w:r>
        <w:rPr>
          <w:rFonts w:cs="Times New Roman"/>
          <w:color w:val="000000"/>
          <w:sz w:val="22"/>
          <w:szCs w:val="22"/>
        </w:rPr>
        <w:t>Jak widać z powyższego zestawienia najwięcej sprawozdań występuje w obszarze ochrona środowiska. Zdecydowana większość zidentyfikowanych sprawozdań (za wyjątkiem 3) przekazywana jest do urzędu marszałkowskiego i dalej z urzędu marszałkowskiego poza systemami informatycznymi (za pomocą ePUAP, e-mail lub papierowo).</w:t>
      </w:r>
    </w:p>
    <w:p w:rsidR="002C54E6" w:rsidRDefault="00D752E7">
      <w:pPr>
        <w:jc w:val="both"/>
        <w:rPr>
          <w:rFonts w:cs="Times New Roman"/>
          <w:color w:val="000000"/>
          <w:sz w:val="22"/>
          <w:szCs w:val="22"/>
        </w:rPr>
      </w:pPr>
      <w:r>
        <w:rPr>
          <w:rFonts w:cs="Times New Roman"/>
          <w:color w:val="000000"/>
          <w:sz w:val="22"/>
          <w:szCs w:val="22"/>
        </w:rPr>
        <w:t>Niewątpliwie powyższa analiza nie obejmuje wszystkich sprawozdań, w szczególności sprawozdań do GUS, sprawozdawczości finansowej oraz sprawozdań przychodzących lub wychodzących z jednostek organizacyjnych województwa. Nie obejmuje ona także sprawozdawczości z obszaru polityka społeczna, gdzie samorząd ma swoje istotne zadania związane min. z ochroną zdrowia, które niewątpliwie skutkują obowiązkiem składania sprawozdań.</w:t>
      </w:r>
    </w:p>
    <w:p w:rsidR="002C54E6" w:rsidRDefault="002C54E6">
      <w:pPr>
        <w:jc w:val="both"/>
        <w:rPr>
          <w:rFonts w:cs="Times New Roman"/>
          <w:sz w:val="22"/>
          <w:szCs w:val="22"/>
        </w:rPr>
      </w:pPr>
    </w:p>
    <w:p w:rsidR="002C54E6" w:rsidRDefault="00D752E7">
      <w:pPr>
        <w:jc w:val="both"/>
        <w:rPr>
          <w:rFonts w:cs="Times New Roman"/>
          <w:color w:val="000000"/>
          <w:sz w:val="22"/>
          <w:szCs w:val="22"/>
        </w:rPr>
      </w:pPr>
      <w:r>
        <w:rPr>
          <w:rFonts w:cs="Times New Roman"/>
          <w:color w:val="000000"/>
          <w:sz w:val="22"/>
          <w:szCs w:val="22"/>
        </w:rPr>
        <w:t>Podsumowując warto zauważyć, że:</w:t>
      </w:r>
    </w:p>
    <w:p w:rsidR="002C54E6" w:rsidRDefault="00D752E7">
      <w:pPr>
        <w:jc w:val="both"/>
      </w:pPr>
      <w:r>
        <w:rPr>
          <w:rFonts w:cs="Times New Roman"/>
          <w:color w:val="000000"/>
          <w:sz w:val="22"/>
          <w:szCs w:val="22"/>
        </w:rPr>
        <w:lastRenderedPageBreak/>
        <w:t>1. Urząd wojewódzki przyjmuje i z drugiej strony wysyła sprawozdania. Część sprawozdań pozyskiwanych to sprawozdania z JST, w szczególności z gmin i powiatów. Większość z nich jest agregowana i przesyłana dalej, w szczególności do ministerstw. Sposób agregacji nie został zbadany i wymaga dalszej analizy. Najwięcej zidentyfikowanych sprawozdań dotyczy obszaru Lokalna polityka społeczna. Do tego obszaru zaliczono też sprawozdania dotyczące zdrowia publicznego. Pojawiły się także sprawozdania dotyczące obronności i obrony cywilnej oraz skarg i wniosków.</w:t>
      </w:r>
    </w:p>
    <w:p w:rsidR="002C54E6" w:rsidRDefault="00D752E7">
      <w:pPr>
        <w:jc w:val="both"/>
        <w:rPr>
          <w:rFonts w:cs="Times New Roman"/>
          <w:sz w:val="22"/>
          <w:szCs w:val="22"/>
        </w:rPr>
      </w:pPr>
      <w:r>
        <w:rPr>
          <w:rFonts w:cs="Times New Roman"/>
          <w:sz w:val="22"/>
          <w:szCs w:val="22"/>
        </w:rPr>
        <w:t xml:space="preserve">2. Urząd marszałkowski przyjmuje sprawozdania wysyłane przez JST szczebla podstawowego, które w zdecydowanej większości przekazywane są poza systemami informatycznymi. Sprawozdania te są na poziomie wojewódzkim agregowane i przeważnie przesyłane dalej do właściwych organów (najczęściej ministerstw). Urzędy marszałkowskie tworzą i przesyłają do właściwych organów sprawozdania z realizacji swoich zadań. Zarówno analiza jak i przesyłanie sprawozdań w urzędach marszałkowskich są słabo zinformatyzowane – analiza robiona jest ręcznie lub za pomocą arkusza kalkulacyjnego, a </w:t>
      </w:r>
      <w:r w:rsidR="00924BA6">
        <w:rPr>
          <w:rFonts w:cs="Times New Roman"/>
          <w:sz w:val="22"/>
          <w:szCs w:val="22"/>
        </w:rPr>
        <w:t>przesyłanie</w:t>
      </w:r>
      <w:r>
        <w:rPr>
          <w:rFonts w:cs="Times New Roman"/>
          <w:sz w:val="22"/>
          <w:szCs w:val="22"/>
        </w:rPr>
        <w:t xml:space="preserve"> sprawozdań jest </w:t>
      </w:r>
      <w:r w:rsidR="00924BA6">
        <w:rPr>
          <w:rFonts w:cs="Times New Roman"/>
          <w:sz w:val="22"/>
          <w:szCs w:val="22"/>
        </w:rPr>
        <w:t>w formie papierowej</w:t>
      </w:r>
      <w:r>
        <w:rPr>
          <w:rFonts w:cs="Times New Roman"/>
          <w:sz w:val="22"/>
          <w:szCs w:val="22"/>
        </w:rPr>
        <w:t xml:space="preserve"> lub za pomocą ePUAP lub e-mail. </w:t>
      </w:r>
    </w:p>
    <w:p w:rsidR="002C54E6" w:rsidRDefault="002C54E6">
      <w:pPr>
        <w:jc w:val="both"/>
        <w:rPr>
          <w:rFonts w:cs="Times New Roman"/>
          <w:b/>
          <w:color w:val="FF0000"/>
          <w:sz w:val="22"/>
          <w:szCs w:val="22"/>
          <w:highlight w:val="white"/>
        </w:rPr>
      </w:pPr>
    </w:p>
    <w:p w:rsidR="002C54E6" w:rsidRDefault="00D752E7">
      <w:pPr>
        <w:pStyle w:val="Nagwek1"/>
        <w:numPr>
          <w:ilvl w:val="0"/>
          <w:numId w:val="2"/>
        </w:numPr>
        <w:rPr>
          <w:rFonts w:ascii="Times New Roman" w:hAnsi="Times New Roman" w:cs="Times New Roman"/>
          <w:sz w:val="28"/>
          <w:szCs w:val="28"/>
        </w:rPr>
      </w:pPr>
      <w:bookmarkStart w:id="23" w:name="_Toc89935355"/>
      <w:r>
        <w:rPr>
          <w:rFonts w:ascii="Times New Roman" w:hAnsi="Times New Roman" w:cs="Times New Roman"/>
          <w:sz w:val="28"/>
          <w:szCs w:val="28"/>
        </w:rPr>
        <w:t>7. Demonstrator Aplikacji dla Gmin i Powiatów</w:t>
      </w:r>
      <w:bookmarkEnd w:id="23"/>
      <w:r>
        <w:rPr>
          <w:rFonts w:ascii="Times New Roman" w:hAnsi="Times New Roman" w:cs="Times New Roman"/>
          <w:sz w:val="28"/>
          <w:szCs w:val="28"/>
        </w:rPr>
        <w:t xml:space="preserve"> </w:t>
      </w:r>
    </w:p>
    <w:p w:rsidR="002C54E6" w:rsidRDefault="00D752E7">
      <w:pPr>
        <w:jc w:val="both"/>
        <w:rPr>
          <w:rFonts w:cs="Times New Roman"/>
          <w:sz w:val="22"/>
          <w:szCs w:val="22"/>
        </w:rPr>
      </w:pPr>
      <w:r>
        <w:rPr>
          <w:rFonts w:cs="Times New Roman"/>
          <w:sz w:val="22"/>
          <w:szCs w:val="22"/>
        </w:rPr>
        <w:t>Prace nad Demonstratorem realizowane były przez zespoły informatyczne GUS, CIS i US Poznań, miały charakter wieloetapowy, polegający na implementacji wybranych sprawozdań wysyłanych przez różne jednostki samorządu terytorialnego. Na bazie pracy realizowanej przez Wojewódzkie Ośrodki Badań Regionalnych, Zespół ds. HUB dokonał wyboru sprawozdań, które przesyłane są obecnie w sposób nieustandaryzowany, by w jak największym stopniu rozpoznać, przewidzieć i wskazać problemy przy budowie docelowego rozwiązania. Dodatkowo uwzględniono Sprawozdanie GUS, ze względu na powtarzające się zmienne, by wprowadzić funkcjonalność oznaczania zmiennych powtarzającyc</w:t>
      </w:r>
      <w:r w:rsidR="00924BA6">
        <w:rPr>
          <w:rFonts w:cs="Times New Roman"/>
          <w:sz w:val="22"/>
          <w:szCs w:val="22"/>
        </w:rPr>
        <w:t>h się w różnych sprawozdaniach.</w:t>
      </w:r>
      <w:r>
        <w:rPr>
          <w:rFonts w:cs="Times New Roman"/>
          <w:sz w:val="22"/>
          <w:szCs w:val="22"/>
        </w:rPr>
        <w:t xml:space="preserve"> W poniższym rozdziale przedstawiono informacje, które są istotne z punktu widzenia testowania, struktury i dalszych prac wdrożeniowych dotyczących Aplikacji.</w:t>
      </w:r>
    </w:p>
    <w:p w:rsidR="002C54E6" w:rsidRDefault="002C54E6">
      <w:pPr>
        <w:spacing w:line="240" w:lineRule="auto"/>
        <w:jc w:val="both"/>
        <w:rPr>
          <w:rFonts w:cs="Times New Roman"/>
          <w:color w:val="000000" w:themeColor="text1"/>
          <w:sz w:val="22"/>
          <w:szCs w:val="22"/>
        </w:rPr>
      </w:pPr>
    </w:p>
    <w:p w:rsidR="002C54E6" w:rsidRDefault="00D752E7">
      <w:pPr>
        <w:spacing w:line="240" w:lineRule="auto"/>
        <w:jc w:val="both"/>
        <w:rPr>
          <w:rFonts w:cs="Times New Roman"/>
          <w:b/>
          <w:color w:val="000000" w:themeColor="text1"/>
          <w:sz w:val="22"/>
          <w:szCs w:val="22"/>
        </w:rPr>
      </w:pPr>
      <w:r>
        <w:rPr>
          <w:rFonts w:cs="Times New Roman"/>
          <w:b/>
          <w:color w:val="000000" w:themeColor="text1"/>
          <w:sz w:val="22"/>
          <w:szCs w:val="22"/>
        </w:rPr>
        <w:t>W ramach prac nad Demonstratorem utworzone zostały:</w:t>
      </w:r>
    </w:p>
    <w:p w:rsidR="002C54E6" w:rsidRDefault="00D752E7">
      <w:pPr>
        <w:pStyle w:val="Akapitzlist"/>
        <w:numPr>
          <w:ilvl w:val="0"/>
          <w:numId w:val="10"/>
        </w:numPr>
        <w:spacing w:after="0" w:line="240" w:lineRule="auto"/>
        <w:jc w:val="both"/>
        <w:rPr>
          <w:rFonts w:ascii="Times New Roman" w:hAnsi="Times New Roman" w:cs="Times New Roman"/>
          <w:color w:val="000000" w:themeColor="text1"/>
        </w:rPr>
      </w:pPr>
      <w:r>
        <w:rPr>
          <w:rFonts w:ascii="Times New Roman" w:hAnsi="Times New Roman" w:cs="Times New Roman"/>
          <w:color w:val="000000" w:themeColor="text1"/>
        </w:rPr>
        <w:t>Baza danych – zorganizowany zbiór danych przechowywany w systemie komputerowym pozwalającym na gromadzenie danych, zbudowana na potrzeby Demonstratora Aplikacji dla gmin i powiatów;</w:t>
      </w:r>
    </w:p>
    <w:p w:rsidR="002C54E6" w:rsidRDefault="00D752E7">
      <w:pPr>
        <w:pStyle w:val="Akapitzlist"/>
        <w:numPr>
          <w:ilvl w:val="0"/>
          <w:numId w:val="10"/>
        </w:numPr>
        <w:spacing w:after="0" w:line="240" w:lineRule="auto"/>
        <w:jc w:val="both"/>
        <w:rPr>
          <w:rFonts w:ascii="Times New Roman" w:hAnsi="Times New Roman" w:cs="Times New Roman"/>
          <w:color w:val="000000" w:themeColor="text1"/>
        </w:rPr>
      </w:pPr>
      <w:r>
        <w:rPr>
          <w:rFonts w:ascii="Times New Roman" w:hAnsi="Times New Roman" w:cs="Times New Roman"/>
          <w:color w:val="000000" w:themeColor="text1"/>
        </w:rPr>
        <w:t>API HUB – zbiór reguł służący do komunikacji między bazą danych a interfejsem użytkownika;</w:t>
      </w:r>
    </w:p>
    <w:p w:rsidR="002C54E6" w:rsidRDefault="00D752E7">
      <w:pPr>
        <w:pStyle w:val="Akapitzlist"/>
        <w:numPr>
          <w:ilvl w:val="0"/>
          <w:numId w:val="10"/>
        </w:numPr>
        <w:spacing w:after="0" w:line="240" w:lineRule="auto"/>
        <w:jc w:val="both"/>
        <w:rPr>
          <w:rFonts w:ascii="Times New Roman" w:hAnsi="Times New Roman" w:cs="Times New Roman"/>
        </w:rPr>
      </w:pPr>
      <w:r>
        <w:rPr>
          <w:rFonts w:ascii="Times New Roman" w:hAnsi="Times New Roman" w:cs="Times New Roman"/>
          <w:color w:val="000000" w:themeColor="text1"/>
        </w:rPr>
        <w:t xml:space="preserve">Demonstrator Aplikacji dla gmin i powiatów – demonstracyjna wersja Aplikacji dla gmin </w:t>
      </w:r>
      <w:r>
        <w:rPr>
          <w:rFonts w:ascii="Times New Roman" w:hAnsi="Times New Roman" w:cs="Times New Roman"/>
          <w:color w:val="000000" w:themeColor="text1"/>
        </w:rPr>
        <w:br/>
        <w:t>i powiatów pozwalająca na edycję, przeglądanie i zarządzanie danymi pochodzącymi z formularzy uporządkowanych wg obszarów tematycznych. Dodatkowo stworzono widoki paneli jednostek nadzorujących.</w:t>
      </w:r>
    </w:p>
    <w:p w:rsidR="002C54E6" w:rsidRDefault="002C54E6">
      <w:pPr>
        <w:pStyle w:val="Akapitzlist"/>
        <w:spacing w:after="0" w:line="240" w:lineRule="auto"/>
        <w:ind w:left="768"/>
        <w:jc w:val="both"/>
        <w:rPr>
          <w:rFonts w:ascii="Times New Roman" w:hAnsi="Times New Roman" w:cs="Times New Roman"/>
          <w:color w:val="000000" w:themeColor="text1"/>
        </w:rPr>
      </w:pPr>
    </w:p>
    <w:p w:rsidR="002C54E6" w:rsidRDefault="00D752E7">
      <w:pPr>
        <w:spacing w:line="240" w:lineRule="auto"/>
        <w:jc w:val="both"/>
        <w:rPr>
          <w:rFonts w:cs="Times New Roman"/>
          <w:b/>
          <w:color w:val="000000" w:themeColor="text1"/>
          <w:sz w:val="22"/>
          <w:szCs w:val="22"/>
        </w:rPr>
      </w:pPr>
      <w:r>
        <w:rPr>
          <w:rFonts w:cs="Times New Roman"/>
          <w:b/>
          <w:color w:val="000000" w:themeColor="text1"/>
          <w:sz w:val="22"/>
          <w:szCs w:val="22"/>
        </w:rPr>
        <w:t>Sprawozdania zaimplementowane w Demonstratorze:</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W Aplikacji zaimplementowano łącznie 8 formularzy (385 zmiennych) sprawozdawczych dla różnych jednostek terytorialnych, które zostały dołączone do poszczególnych obszarów tematycznych:</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 xml:space="preserve">Obszar: </w:t>
      </w:r>
      <w:r>
        <w:rPr>
          <w:rFonts w:cs="Times New Roman"/>
          <w:b/>
          <w:color w:val="000000" w:themeColor="text1"/>
          <w:sz w:val="22"/>
          <w:szCs w:val="22"/>
        </w:rPr>
        <w:t>Ochrona środowiska</w:t>
      </w:r>
      <w:r>
        <w:rPr>
          <w:rFonts w:cs="Times New Roman"/>
          <w:color w:val="000000" w:themeColor="text1"/>
          <w:sz w:val="22"/>
          <w:szCs w:val="22"/>
        </w:rPr>
        <w:t xml:space="preserve"> – jednostka Radlin</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Formularze:</w:t>
      </w:r>
    </w:p>
    <w:p w:rsidR="002C54E6" w:rsidRDefault="00D752E7">
      <w:pPr>
        <w:pStyle w:val="Akapitzlist"/>
        <w:numPr>
          <w:ilvl w:val="0"/>
          <w:numId w:val="11"/>
        </w:numPr>
        <w:spacing w:after="0" w:line="240" w:lineRule="auto"/>
        <w:jc w:val="both"/>
        <w:rPr>
          <w:rFonts w:ascii="Times New Roman" w:hAnsi="Times New Roman" w:cs="Times New Roman"/>
          <w:bCs/>
          <w:highlight w:val="white"/>
        </w:rPr>
      </w:pPr>
      <w:r>
        <w:rPr>
          <w:rFonts w:ascii="Times New Roman" w:hAnsi="Times New Roman" w:cs="Times New Roman"/>
          <w:bCs/>
          <w:shd w:val="clear" w:color="auto" w:fill="FAFAFA"/>
        </w:rPr>
        <w:t>Załącznik do sprawozdania SG-01 Statystyka gminy: Gospodarka mieszkaniowa i komunalna.</w:t>
      </w:r>
    </w:p>
    <w:p w:rsidR="002C54E6" w:rsidRDefault="00D752E7">
      <w:pPr>
        <w:pStyle w:val="Akapitzlist"/>
        <w:numPr>
          <w:ilvl w:val="0"/>
          <w:numId w:val="11"/>
        </w:numPr>
        <w:spacing w:after="0" w:line="240" w:lineRule="auto"/>
        <w:jc w:val="both"/>
        <w:rPr>
          <w:rFonts w:ascii="Times New Roman" w:hAnsi="Times New Roman" w:cs="Times New Roman"/>
          <w:bCs/>
          <w:highlight w:val="white"/>
        </w:rPr>
      </w:pPr>
      <w:r>
        <w:rPr>
          <w:rFonts w:ascii="Times New Roman" w:hAnsi="Times New Roman" w:cs="Times New Roman"/>
          <w:bCs/>
          <w:shd w:val="clear" w:color="auto" w:fill="FAFAFA"/>
        </w:rPr>
        <w:t>Sprawozdanie wójta, burmistrza lub prezydenta miasta/związku międzygminnego z realizacji zadań z zakresu gospodarowania odpadami komunalnymi.</w:t>
      </w:r>
    </w:p>
    <w:p w:rsidR="002C54E6" w:rsidRDefault="00D752E7">
      <w:pPr>
        <w:pStyle w:val="Akapitzlist"/>
        <w:numPr>
          <w:ilvl w:val="0"/>
          <w:numId w:val="11"/>
        </w:numPr>
        <w:spacing w:after="0" w:line="240" w:lineRule="auto"/>
        <w:jc w:val="both"/>
        <w:rPr>
          <w:rFonts w:ascii="Times New Roman" w:hAnsi="Times New Roman" w:cs="Times New Roman"/>
          <w:bCs/>
          <w:highlight w:val="white"/>
        </w:rPr>
      </w:pPr>
      <w:r>
        <w:rPr>
          <w:rFonts w:ascii="Times New Roman" w:hAnsi="Times New Roman" w:cs="Times New Roman"/>
          <w:bCs/>
          <w:shd w:val="clear" w:color="auto" w:fill="FAFAFA"/>
        </w:rPr>
        <w:t>Sprawozdanie z gospodarowania dochodami budżetu gminy pochodzącymi z opłat i kar środowiskowych przeznaczonymi na finansowanie ochrony środowiska i gospodarki wodnej.</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 xml:space="preserve">Obszar: </w:t>
      </w:r>
      <w:r>
        <w:rPr>
          <w:rFonts w:cs="Times New Roman"/>
          <w:b/>
          <w:color w:val="000000" w:themeColor="text1"/>
          <w:sz w:val="22"/>
          <w:szCs w:val="22"/>
        </w:rPr>
        <w:t>Podatki i opłaty lokalne</w:t>
      </w:r>
      <w:r>
        <w:rPr>
          <w:rFonts w:cs="Times New Roman"/>
          <w:color w:val="000000" w:themeColor="text1"/>
          <w:sz w:val="22"/>
          <w:szCs w:val="22"/>
        </w:rPr>
        <w:t xml:space="preserve"> – jednostka Radlin</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Formularz:</w:t>
      </w:r>
    </w:p>
    <w:p w:rsidR="002C54E6" w:rsidRDefault="00D752E7">
      <w:pPr>
        <w:pStyle w:val="Akapitzlist"/>
        <w:numPr>
          <w:ilvl w:val="0"/>
          <w:numId w:val="11"/>
        </w:numPr>
        <w:spacing w:after="0" w:line="240" w:lineRule="auto"/>
        <w:jc w:val="both"/>
        <w:rPr>
          <w:rFonts w:ascii="Times New Roman" w:hAnsi="Times New Roman" w:cs="Times New Roman"/>
          <w:color w:val="000000" w:themeColor="text1"/>
        </w:rPr>
      </w:pPr>
      <w:r>
        <w:rPr>
          <w:rFonts w:ascii="Times New Roman" w:hAnsi="Times New Roman" w:cs="Times New Roman"/>
          <w:bCs/>
          <w:shd w:val="clear" w:color="auto" w:fill="FAFAFA"/>
        </w:rPr>
        <w:t>Sprawozdanie o zaległościach przedsiębiorców w wypłatach świadczeń należności na rzecz sektora finansów publicznych. </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 xml:space="preserve">Obszar: </w:t>
      </w:r>
      <w:r>
        <w:rPr>
          <w:rFonts w:cs="Times New Roman"/>
          <w:b/>
          <w:color w:val="000000" w:themeColor="text1"/>
          <w:sz w:val="22"/>
          <w:szCs w:val="22"/>
        </w:rPr>
        <w:t>Gospodarowanie nieruchomościami</w:t>
      </w:r>
      <w:r>
        <w:rPr>
          <w:rFonts w:cs="Times New Roman"/>
          <w:color w:val="000000" w:themeColor="text1"/>
          <w:sz w:val="22"/>
          <w:szCs w:val="22"/>
        </w:rPr>
        <w:t xml:space="preserve"> – jednostka Powiat m. Gdynia</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Formularz:</w:t>
      </w:r>
    </w:p>
    <w:p w:rsidR="002C54E6" w:rsidRDefault="00D752E7">
      <w:pPr>
        <w:pStyle w:val="Akapitzlist"/>
        <w:numPr>
          <w:ilvl w:val="0"/>
          <w:numId w:val="11"/>
        </w:numPr>
        <w:spacing w:after="0" w:line="240" w:lineRule="auto"/>
        <w:jc w:val="both"/>
        <w:rPr>
          <w:rFonts w:ascii="Times New Roman" w:hAnsi="Times New Roman" w:cs="Times New Roman"/>
          <w:bCs/>
          <w:highlight w:val="white"/>
        </w:rPr>
      </w:pPr>
      <w:r>
        <w:rPr>
          <w:rFonts w:ascii="Times New Roman" w:hAnsi="Times New Roman" w:cs="Times New Roman"/>
          <w:bCs/>
          <w:shd w:val="clear" w:color="auto" w:fill="FAFAFA"/>
        </w:rPr>
        <w:t>Roczne sprawozdanie z gospodarowania nieruchomościami zasobu Skarbu Państwa.</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lastRenderedPageBreak/>
        <w:t xml:space="preserve">Obszar: </w:t>
      </w:r>
      <w:r>
        <w:rPr>
          <w:rFonts w:cs="Times New Roman"/>
          <w:b/>
          <w:color w:val="000000" w:themeColor="text1"/>
          <w:sz w:val="22"/>
          <w:szCs w:val="22"/>
        </w:rPr>
        <w:t>Drogownictwo i transport</w:t>
      </w:r>
      <w:r>
        <w:rPr>
          <w:rFonts w:cs="Times New Roman"/>
          <w:color w:val="000000" w:themeColor="text1"/>
          <w:sz w:val="22"/>
          <w:szCs w:val="22"/>
        </w:rPr>
        <w:t xml:space="preserve"> – jednostka powiat raciborski</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Formularze:</w:t>
      </w:r>
    </w:p>
    <w:p w:rsidR="002C54E6" w:rsidRDefault="00D752E7">
      <w:pPr>
        <w:pStyle w:val="Akapitzlist"/>
        <w:numPr>
          <w:ilvl w:val="0"/>
          <w:numId w:val="11"/>
        </w:numPr>
        <w:spacing w:after="0" w:line="240" w:lineRule="auto"/>
        <w:jc w:val="both"/>
        <w:rPr>
          <w:rFonts w:ascii="Times New Roman" w:hAnsi="Times New Roman" w:cs="Times New Roman"/>
          <w:bCs/>
          <w:highlight w:val="white"/>
        </w:rPr>
      </w:pPr>
      <w:r>
        <w:rPr>
          <w:rFonts w:ascii="Times New Roman" w:hAnsi="Times New Roman" w:cs="Times New Roman"/>
          <w:bCs/>
          <w:shd w:val="clear" w:color="auto" w:fill="FAFAFA"/>
        </w:rPr>
        <w:t>Statystyka powiatu: samorząd i transport</w:t>
      </w:r>
    </w:p>
    <w:p w:rsidR="002C54E6" w:rsidRDefault="00D752E7">
      <w:pPr>
        <w:pStyle w:val="Akapitzlist"/>
        <w:numPr>
          <w:ilvl w:val="0"/>
          <w:numId w:val="11"/>
        </w:numPr>
        <w:spacing w:after="0" w:line="240" w:lineRule="auto"/>
        <w:jc w:val="both"/>
        <w:rPr>
          <w:rFonts w:ascii="Times New Roman" w:hAnsi="Times New Roman" w:cs="Times New Roman"/>
          <w:bCs/>
          <w:highlight w:val="white"/>
        </w:rPr>
      </w:pPr>
      <w:r>
        <w:rPr>
          <w:rFonts w:ascii="Times New Roman" w:hAnsi="Times New Roman" w:cs="Times New Roman"/>
          <w:bCs/>
          <w:shd w:val="clear" w:color="auto" w:fill="FAFAFA"/>
        </w:rPr>
        <w:t>Informacja dotycząca liczby i zakresu ważnych zezwoleń, licencji i zaświadczeń na przewozy drogowe na potrzeby własne w krajowych przewozach drogowych</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 xml:space="preserve">Obszar: </w:t>
      </w:r>
      <w:r>
        <w:rPr>
          <w:rFonts w:cs="Times New Roman"/>
          <w:b/>
          <w:color w:val="000000" w:themeColor="text1"/>
          <w:sz w:val="22"/>
          <w:szCs w:val="22"/>
        </w:rPr>
        <w:t>Geodezja i kartografia</w:t>
      </w:r>
      <w:r>
        <w:rPr>
          <w:rFonts w:cs="Times New Roman"/>
          <w:color w:val="000000" w:themeColor="text1"/>
          <w:sz w:val="22"/>
          <w:szCs w:val="22"/>
        </w:rPr>
        <w:t xml:space="preserve"> – jednostka powiat raciborski</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Formularz:</w:t>
      </w:r>
    </w:p>
    <w:p w:rsidR="002C54E6" w:rsidRDefault="00D752E7">
      <w:pPr>
        <w:pStyle w:val="Akapitzlist"/>
        <w:numPr>
          <w:ilvl w:val="0"/>
          <w:numId w:val="11"/>
        </w:numPr>
        <w:spacing w:after="0" w:line="240" w:lineRule="auto"/>
        <w:jc w:val="both"/>
        <w:rPr>
          <w:rFonts w:ascii="Times New Roman" w:hAnsi="Times New Roman" w:cs="Times New Roman"/>
          <w:bCs/>
          <w:highlight w:val="white"/>
        </w:rPr>
      </w:pPr>
      <w:r>
        <w:rPr>
          <w:rFonts w:ascii="Times New Roman" w:hAnsi="Times New Roman" w:cs="Times New Roman"/>
          <w:bCs/>
          <w:shd w:val="clear" w:color="auto" w:fill="FAFAFA"/>
        </w:rPr>
        <w:t>Sprawozdanie z wykonania prac scaleniowych</w:t>
      </w:r>
    </w:p>
    <w:p w:rsidR="002C54E6" w:rsidRDefault="002C54E6">
      <w:pPr>
        <w:spacing w:line="240" w:lineRule="auto"/>
        <w:jc w:val="both"/>
        <w:rPr>
          <w:rFonts w:cs="Times New Roman"/>
          <w:color w:val="000000" w:themeColor="text1"/>
          <w:sz w:val="22"/>
          <w:szCs w:val="22"/>
        </w:rPr>
      </w:pPr>
    </w:p>
    <w:p w:rsidR="002C54E6" w:rsidRDefault="00D752E7">
      <w:pPr>
        <w:spacing w:line="240" w:lineRule="auto"/>
        <w:jc w:val="both"/>
        <w:rPr>
          <w:rFonts w:cs="Times New Roman"/>
          <w:b/>
          <w:color w:val="000000" w:themeColor="text1"/>
          <w:sz w:val="22"/>
          <w:szCs w:val="22"/>
        </w:rPr>
      </w:pPr>
      <w:r>
        <w:rPr>
          <w:rFonts w:cs="Times New Roman"/>
          <w:b/>
          <w:color w:val="000000" w:themeColor="text1"/>
          <w:sz w:val="22"/>
          <w:szCs w:val="22"/>
        </w:rPr>
        <w:t>Kryteria wyboru i specyfika formularzy.</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 xml:space="preserve">W ramach wcześniejszych prac nad inwentaryzacją sprawozdań realizowanych wspólnie z Wojewódzkimi Ośrodkami Badań Regionalnych (WOBR) zebrane sprawozdania podzielone zostały według 3 typów: Sprawozdania GUS, Sprawozdania Finansowe (RB) oraz Pozostałe. </w:t>
      </w:r>
    </w:p>
    <w:p w:rsidR="002C54E6" w:rsidRDefault="00D752E7">
      <w:pPr>
        <w:spacing w:line="240" w:lineRule="auto"/>
        <w:jc w:val="both"/>
        <w:rPr>
          <w:rFonts w:cs="Times New Roman"/>
          <w:sz w:val="22"/>
          <w:szCs w:val="22"/>
        </w:rPr>
      </w:pPr>
      <w:r>
        <w:rPr>
          <w:rFonts w:cs="Times New Roman"/>
          <w:color w:val="000000" w:themeColor="text1"/>
          <w:sz w:val="22"/>
          <w:szCs w:val="22"/>
        </w:rPr>
        <w:t>Formularze wybrane do Demonstratora pochodziły z grupy – Pozostałe oraz 2 sprawozdania z grupy „Sprawozdania GUS”. Sprawozdania z grupy Pozostałe wybrano głównie z tego względu, iż są to formularze, które nie są przesyłane przez ustanda</w:t>
      </w:r>
      <w:r w:rsidR="00924BA6">
        <w:rPr>
          <w:rFonts w:cs="Times New Roman"/>
          <w:color w:val="000000" w:themeColor="text1"/>
          <w:sz w:val="22"/>
          <w:szCs w:val="22"/>
        </w:rPr>
        <w:t>ryzowane systemy sprawozdawcze.</w:t>
      </w:r>
      <w:r>
        <w:rPr>
          <w:rFonts w:cs="Times New Roman"/>
          <w:color w:val="000000" w:themeColor="text1"/>
          <w:sz w:val="22"/>
          <w:szCs w:val="22"/>
        </w:rPr>
        <w:t xml:space="preserve"> Ponadto</w:t>
      </w:r>
      <w:r w:rsidR="00924BA6">
        <w:rPr>
          <w:rFonts w:cs="Times New Roman"/>
          <w:color w:val="000000" w:themeColor="text1"/>
          <w:sz w:val="22"/>
          <w:szCs w:val="22"/>
        </w:rPr>
        <w:t>,</w:t>
      </w:r>
      <w:r>
        <w:rPr>
          <w:rFonts w:cs="Times New Roman"/>
          <w:color w:val="000000" w:themeColor="text1"/>
          <w:sz w:val="22"/>
          <w:szCs w:val="22"/>
        </w:rPr>
        <w:t xml:space="preserve"> pochodzą z różnych obszarów tematycznych, przesyłane są przez różne jednostki terytorialne, zawierają złożone formaty, niektóre nie posiadają ustandaryzowanej struktury tabelarycznej jak również symbolu czy nazwy sprawozdania. Wybrane sprawozdania często zawierały błędy w konstrukcji tabel a niekiedy były to sprawozdania tylko opisowe, dla których należało stworzyć strukturą tabelaryczną by możliwe było zaimplementowanie zmiennych do bazy danych. </w:t>
      </w:r>
    </w:p>
    <w:p w:rsidR="002C54E6" w:rsidRDefault="00D752E7">
      <w:pPr>
        <w:spacing w:line="240" w:lineRule="auto"/>
        <w:jc w:val="both"/>
        <w:rPr>
          <w:rFonts w:cs="Times New Roman"/>
          <w:sz w:val="22"/>
          <w:szCs w:val="22"/>
        </w:rPr>
      </w:pPr>
      <w:r>
        <w:rPr>
          <w:rFonts w:cs="Times New Roman"/>
          <w:color w:val="000000" w:themeColor="text1"/>
          <w:sz w:val="22"/>
          <w:szCs w:val="22"/>
        </w:rPr>
        <w:t>Tak duża różnorodność i szerokie spektrum problemów występujące w wybranych formularzach było zabiegiem celowym, by w jak największym stopniu rozpoznać problemy, które należy przewidzieć przy budowie docelowego rozwiązania. Formularze z grupy Sprawozdania GUS wybrano z powodu dublowania się zmiennych w tych sprawozdaniach.</w:t>
      </w:r>
    </w:p>
    <w:p w:rsidR="002C54E6" w:rsidRDefault="00D752E7">
      <w:pPr>
        <w:spacing w:line="240" w:lineRule="auto"/>
        <w:jc w:val="both"/>
        <w:rPr>
          <w:rFonts w:cs="Times New Roman"/>
          <w:sz w:val="22"/>
          <w:szCs w:val="22"/>
        </w:rPr>
      </w:pPr>
      <w:r>
        <w:rPr>
          <w:rFonts w:cs="Times New Roman"/>
          <w:color w:val="000000" w:themeColor="text1"/>
          <w:sz w:val="22"/>
          <w:szCs w:val="22"/>
        </w:rPr>
        <w:t>Praca nad implementacją formularzy została podzielona na dwa etapy. W każdym etapie dodano po 4 sprawozdania, co pozwoliło zespołom informatycznym na stopniowe reagowanie i wprowa</w:t>
      </w:r>
      <w:r w:rsidR="00924BA6">
        <w:rPr>
          <w:rFonts w:cs="Times New Roman"/>
          <w:color w:val="000000" w:themeColor="text1"/>
          <w:sz w:val="22"/>
          <w:szCs w:val="22"/>
        </w:rPr>
        <w:t>dzanie modyfikacji w aplikacji.</w:t>
      </w:r>
      <w:r>
        <w:rPr>
          <w:rFonts w:cs="Times New Roman"/>
          <w:color w:val="000000" w:themeColor="text1"/>
          <w:sz w:val="22"/>
          <w:szCs w:val="22"/>
        </w:rPr>
        <w:t xml:space="preserve"> </w:t>
      </w:r>
      <w:r>
        <w:rPr>
          <w:rFonts w:cs="Times New Roman"/>
          <w:sz w:val="22"/>
          <w:szCs w:val="22"/>
        </w:rPr>
        <w:t>Jedno ze sprawozdań zawierało tzw. multisekcję, co spowodowało rozbudowę struktury w dotychczasowych tabelach. Nastąpiły też zmiany we wcześniej przygotowanych procedurach. W związku z tym musiała nastąpić zmiana w modelach i logice API HUB, które na nowo musiały zostać wygenerowane.</w:t>
      </w:r>
    </w:p>
    <w:p w:rsidR="002C54E6" w:rsidRDefault="00D752E7">
      <w:pPr>
        <w:spacing w:line="240" w:lineRule="auto"/>
        <w:jc w:val="both"/>
        <w:rPr>
          <w:rFonts w:cs="Times New Roman"/>
          <w:sz w:val="22"/>
          <w:szCs w:val="22"/>
        </w:rPr>
      </w:pPr>
      <w:r>
        <w:rPr>
          <w:rFonts w:cs="Times New Roman"/>
          <w:sz w:val="22"/>
          <w:szCs w:val="22"/>
        </w:rPr>
        <w:t xml:space="preserve">Jednym z wyzwań w obu etapach, było przygotowanie odpowiednich metadanych, a przede wszystkim nazw zmiennych tj. konieczność przełożenia zmiennych ze sprawozdania ze struktury tabelarycznej na strukturę liniową zgodnie z koncepcją zmiennej elementarnej. </w:t>
      </w:r>
    </w:p>
    <w:p w:rsidR="002C54E6" w:rsidRDefault="00D752E7">
      <w:pPr>
        <w:spacing w:line="240" w:lineRule="auto"/>
        <w:jc w:val="both"/>
        <w:rPr>
          <w:rFonts w:cs="Times New Roman"/>
          <w:sz w:val="22"/>
          <w:szCs w:val="22"/>
        </w:rPr>
      </w:pPr>
      <w:r>
        <w:rPr>
          <w:rFonts w:cs="Times New Roman"/>
          <w:sz w:val="22"/>
          <w:szCs w:val="22"/>
        </w:rPr>
        <w:t xml:space="preserve">Zmienna elementarna to ustandaryzowana forma służąca do odwzorowania elementarnych informacji, będących wynikiem pomiaru wszystkich badanych cech, procesów, czy zdarzeń. Zmienna ta odpowiada kratce (polu) w zestawie danych, kolumnie ze zbioru pochodzącego z systemu informacyjnego. Celami stworzenia zmiennych elementarnych są: </w:t>
      </w:r>
    </w:p>
    <w:p w:rsidR="002C54E6" w:rsidRDefault="00D752E7">
      <w:pPr>
        <w:pStyle w:val="Akapitzlist"/>
        <w:numPr>
          <w:ilvl w:val="0"/>
          <w:numId w:val="12"/>
        </w:numPr>
        <w:spacing w:after="0" w:line="240" w:lineRule="auto"/>
        <w:jc w:val="both"/>
        <w:rPr>
          <w:rFonts w:ascii="Times New Roman" w:hAnsi="Times New Roman" w:cs="Times New Roman"/>
        </w:rPr>
      </w:pPr>
      <w:r>
        <w:rPr>
          <w:rFonts w:ascii="Times New Roman" w:hAnsi="Times New Roman" w:cs="Times New Roman"/>
        </w:rPr>
        <w:t>ułatwienie jednoznacznej identyfikacji pozyskiwanych zmiennych;</w:t>
      </w:r>
    </w:p>
    <w:p w:rsidR="002C54E6" w:rsidRDefault="00D752E7">
      <w:pPr>
        <w:pStyle w:val="Akapitzlist"/>
        <w:numPr>
          <w:ilvl w:val="0"/>
          <w:numId w:val="12"/>
        </w:numPr>
        <w:spacing w:after="0" w:line="240" w:lineRule="auto"/>
        <w:jc w:val="both"/>
        <w:rPr>
          <w:rFonts w:ascii="Times New Roman" w:hAnsi="Times New Roman" w:cs="Times New Roman"/>
        </w:rPr>
      </w:pPr>
      <w:r>
        <w:rPr>
          <w:rFonts w:ascii="Times New Roman" w:hAnsi="Times New Roman" w:cs="Times New Roman"/>
        </w:rPr>
        <w:t>analiza redundancji lub niekompletności pozyskiwanych danych;</w:t>
      </w:r>
    </w:p>
    <w:p w:rsidR="002C54E6" w:rsidRDefault="00D752E7">
      <w:pPr>
        <w:pStyle w:val="Akapitzlist"/>
        <w:numPr>
          <w:ilvl w:val="0"/>
          <w:numId w:val="12"/>
        </w:numPr>
        <w:spacing w:after="0" w:line="240" w:lineRule="auto"/>
        <w:jc w:val="both"/>
        <w:rPr>
          <w:rFonts w:ascii="Times New Roman" w:hAnsi="Times New Roman" w:cs="Times New Roman"/>
        </w:rPr>
      </w:pPr>
      <w:r>
        <w:rPr>
          <w:rFonts w:ascii="Times New Roman" w:hAnsi="Times New Roman" w:cs="Times New Roman"/>
        </w:rPr>
        <w:t>umożliwienie prezentacji szczegółowego zakresu pozyskiwanych danych na stronie internetowej z ich wykorzystaniem;</w:t>
      </w:r>
    </w:p>
    <w:p w:rsidR="002C54E6" w:rsidRDefault="00D752E7">
      <w:pPr>
        <w:pStyle w:val="Akapitzlist"/>
        <w:numPr>
          <w:ilvl w:val="0"/>
          <w:numId w:val="12"/>
        </w:numPr>
        <w:spacing w:after="0" w:line="240" w:lineRule="auto"/>
        <w:jc w:val="both"/>
        <w:rPr>
          <w:rFonts w:ascii="Times New Roman" w:hAnsi="Times New Roman" w:cs="Times New Roman"/>
        </w:rPr>
      </w:pPr>
      <w:r>
        <w:rPr>
          <w:rFonts w:ascii="Times New Roman" w:hAnsi="Times New Roman" w:cs="Times New Roman"/>
        </w:rPr>
        <w:t>zwiększenie stopnia automatyzacji przetwarzania danych.</w:t>
      </w:r>
    </w:p>
    <w:p w:rsidR="002C54E6" w:rsidRDefault="002C54E6">
      <w:pPr>
        <w:spacing w:line="240" w:lineRule="auto"/>
        <w:jc w:val="both"/>
        <w:rPr>
          <w:rFonts w:cs="Times New Roman"/>
          <w:sz w:val="22"/>
          <w:szCs w:val="22"/>
        </w:rPr>
      </w:pPr>
    </w:p>
    <w:p w:rsidR="002C54E6" w:rsidRDefault="00D752E7">
      <w:pPr>
        <w:spacing w:line="240" w:lineRule="auto"/>
        <w:jc w:val="both"/>
        <w:rPr>
          <w:rFonts w:cs="Times New Roman"/>
          <w:sz w:val="22"/>
          <w:szCs w:val="22"/>
        </w:rPr>
      </w:pPr>
      <w:r>
        <w:rPr>
          <w:rFonts w:cs="Times New Roman"/>
          <w:sz w:val="22"/>
          <w:szCs w:val="22"/>
        </w:rPr>
        <w:t>Dużym i pracochłonnym zadaniem było wypełnianie zmiennych w bazie danych wartościami pozyskanymi z formularzy papierowych oraz ich prezentacja w sposób jak najbardziej czytelny i przejrzysty. W związku z tym, że nie istnieją wypracowane standardy i zasady tworzenia i prezentacji formularzy należy je w jak największym stopniu uprościć i ustandaryzować. Wiele z tych formularzy prezentuje przestarzałą formę prezentacji danych.  Na podstawie sprawozdania, które naszym zdaniem prezentowało bardzo nieczytelną strukturę dokonana została próba uporządkowania i uproszczenie prezentowanych informacji. Formularz: „</w:t>
      </w:r>
      <w:r>
        <w:rPr>
          <w:rFonts w:cs="Times New Roman"/>
          <w:bCs/>
          <w:sz w:val="22"/>
          <w:szCs w:val="22"/>
          <w:shd w:val="clear" w:color="auto" w:fill="FAFAFA"/>
        </w:rPr>
        <w:t xml:space="preserve">Roczne sprawozdanie z gospodarowania nieruchomościami zasobu Skarbu Państwa” w obszarze Gospodarowanie nieruchomościami – prezentuje uproszczoną, bardziej czytelną i alternatywną formę prezentacji danych ujętych w formularzu. Prezentacja danych jako lista lub jako tabela powinna zostać przedyskutowana i uzgodniona na dalszych etapach budowy docelowego rozwiązania. </w:t>
      </w:r>
    </w:p>
    <w:p w:rsidR="002C54E6" w:rsidRDefault="00D752E7">
      <w:pPr>
        <w:spacing w:line="240" w:lineRule="auto"/>
        <w:jc w:val="both"/>
        <w:rPr>
          <w:rFonts w:cs="Times New Roman"/>
          <w:color w:val="FF0000"/>
          <w:sz w:val="22"/>
          <w:szCs w:val="22"/>
        </w:rPr>
      </w:pPr>
      <w:r>
        <w:rPr>
          <w:rFonts w:cs="Times New Roman"/>
          <w:color w:val="FF0000"/>
          <w:sz w:val="22"/>
          <w:szCs w:val="22"/>
        </w:rPr>
        <w:lastRenderedPageBreak/>
        <w:t xml:space="preserve"> </w:t>
      </w:r>
    </w:p>
    <w:p w:rsidR="002C54E6" w:rsidRDefault="00D752E7">
      <w:pPr>
        <w:spacing w:line="240" w:lineRule="auto"/>
        <w:rPr>
          <w:rFonts w:cs="Times New Roman"/>
          <w:b/>
          <w:sz w:val="22"/>
          <w:szCs w:val="22"/>
        </w:rPr>
      </w:pPr>
      <w:r>
        <w:rPr>
          <w:rFonts w:cs="Times New Roman"/>
          <w:b/>
          <w:sz w:val="22"/>
          <w:szCs w:val="22"/>
        </w:rPr>
        <w:t>Główne funkcjonalności Demonstratora Aplikacji dla Gmin i Powiatów.</w:t>
      </w:r>
    </w:p>
    <w:p w:rsidR="002C54E6" w:rsidRDefault="00D752E7">
      <w:pPr>
        <w:pStyle w:val="Akapitzlist"/>
        <w:spacing w:after="0" w:line="240" w:lineRule="auto"/>
        <w:ind w:left="0"/>
        <w:jc w:val="both"/>
        <w:rPr>
          <w:rFonts w:ascii="Times New Roman" w:hAnsi="Times New Roman" w:cs="Times New Roman"/>
          <w:color w:val="000000" w:themeColor="text1"/>
        </w:rPr>
      </w:pPr>
      <w:r>
        <w:rPr>
          <w:rFonts w:ascii="Times New Roman" w:hAnsi="Times New Roman" w:cs="Times New Roman"/>
          <w:color w:val="000000" w:themeColor="text1"/>
        </w:rPr>
        <w:t>Aplikacja dla gmin i powiatów – aplikacja działająca w przeglądarce internetowej, zapewniająca zarzadzanie danymi JST w HUBie samorządowym. Dzięki niej możliwe będzie szybkie odnalezienie informacji i sporządzenie zestawień do celów zarządczych JST, a co za tym idzie zautomatyzowanie, ułatwienie oraz skrócenie czasu pracy osób odpowiedzialnych za przekazywanie oraz kontrolę danych z jednostek samorządowych.</w:t>
      </w:r>
    </w:p>
    <w:p w:rsidR="002C54E6" w:rsidRDefault="00D752E7">
      <w:pPr>
        <w:pStyle w:val="Akapitzlist"/>
        <w:spacing w:after="0" w:line="240" w:lineRule="auto"/>
        <w:ind w:left="0"/>
        <w:jc w:val="both"/>
        <w:rPr>
          <w:rFonts w:ascii="Times New Roman" w:hAnsi="Times New Roman" w:cs="Times New Roman"/>
          <w:color w:val="000000" w:themeColor="text1"/>
        </w:rPr>
      </w:pPr>
      <w:r>
        <w:rPr>
          <w:rFonts w:ascii="Times New Roman" w:hAnsi="Times New Roman" w:cs="Times New Roman"/>
          <w:color w:val="000000" w:themeColor="text1"/>
        </w:rPr>
        <w:t>Wersja demo powstała w celu zobrazowania możliwości jakie niesie ze sobą powstanie systemu i wyznaczenia kierunków dalszych prac.</w:t>
      </w:r>
    </w:p>
    <w:p w:rsidR="002C54E6" w:rsidRDefault="002C54E6">
      <w:pPr>
        <w:pStyle w:val="Akapitzlist"/>
        <w:spacing w:after="0" w:line="240" w:lineRule="auto"/>
        <w:ind w:left="0"/>
        <w:jc w:val="both"/>
        <w:rPr>
          <w:rFonts w:ascii="Times New Roman" w:hAnsi="Times New Roman" w:cs="Times New Roman"/>
          <w:color w:val="000000" w:themeColor="text1"/>
        </w:rPr>
      </w:pPr>
    </w:p>
    <w:p w:rsidR="002C54E6" w:rsidRDefault="00D752E7">
      <w:pPr>
        <w:spacing w:line="240" w:lineRule="auto"/>
        <w:jc w:val="both"/>
        <w:rPr>
          <w:rFonts w:cs="Times New Roman"/>
          <w:b/>
          <w:color w:val="000000" w:themeColor="text1"/>
          <w:sz w:val="22"/>
          <w:szCs w:val="22"/>
        </w:rPr>
      </w:pPr>
      <w:r>
        <w:rPr>
          <w:rFonts w:cs="Times New Roman"/>
          <w:b/>
          <w:color w:val="000000" w:themeColor="text1"/>
          <w:sz w:val="22"/>
          <w:szCs w:val="22"/>
        </w:rPr>
        <w:t>Technologia</w:t>
      </w:r>
    </w:p>
    <w:p w:rsidR="002C54E6" w:rsidRDefault="00D752E7">
      <w:pPr>
        <w:pStyle w:val="Akapitzlist"/>
        <w:spacing w:after="0" w:line="240" w:lineRule="auto"/>
        <w:ind w:left="0"/>
        <w:jc w:val="both"/>
        <w:rPr>
          <w:rFonts w:ascii="Times New Roman" w:hAnsi="Times New Roman" w:cs="Times New Roman"/>
          <w:color w:val="000000" w:themeColor="text1"/>
        </w:rPr>
      </w:pPr>
      <w:r>
        <w:rPr>
          <w:rFonts w:ascii="Times New Roman" w:hAnsi="Times New Roman" w:cs="Times New Roman"/>
          <w:color w:val="000000" w:themeColor="text1"/>
        </w:rPr>
        <w:t>Baza danych została stworzona w środowisku MS SQL SERVER 2019.</w:t>
      </w:r>
    </w:p>
    <w:p w:rsidR="002C54E6" w:rsidRDefault="00D752E7">
      <w:pPr>
        <w:pStyle w:val="Akapitzlist"/>
        <w:spacing w:after="0" w:line="240" w:lineRule="auto"/>
        <w:ind w:left="0"/>
        <w:jc w:val="both"/>
        <w:rPr>
          <w:rFonts w:ascii="Times New Roman" w:hAnsi="Times New Roman" w:cs="Times New Roman"/>
          <w:color w:val="000000" w:themeColor="text1"/>
        </w:rPr>
      </w:pPr>
      <w:r>
        <w:rPr>
          <w:rFonts w:ascii="Times New Roman" w:hAnsi="Times New Roman" w:cs="Times New Roman"/>
          <w:color w:val="000000" w:themeColor="text1"/>
        </w:rPr>
        <w:t>Interfejs użytkownika wersji demo systemu powstał przy wykorzystaniu rozwiązań open source. Tego typu podejście jest bardzo korzystne dla takich systemów, ponieważ zmniejsza koszty jego utrzymania, obniżając je o koszty ewentualnych licencji, które należałoby ponieść w przypadku systemów funkcjonujących np. w systemie SaaS.</w:t>
      </w:r>
    </w:p>
    <w:p w:rsidR="002C54E6" w:rsidRDefault="00D752E7">
      <w:pPr>
        <w:pStyle w:val="Akapitzlist"/>
        <w:spacing w:after="0" w:line="240" w:lineRule="auto"/>
        <w:ind w:left="0"/>
        <w:jc w:val="both"/>
        <w:rPr>
          <w:rFonts w:ascii="Times New Roman" w:hAnsi="Times New Roman" w:cs="Times New Roman"/>
          <w:color w:val="000000" w:themeColor="text1"/>
        </w:rPr>
      </w:pPr>
      <w:r>
        <w:rPr>
          <w:rFonts w:ascii="Times New Roman" w:hAnsi="Times New Roman" w:cs="Times New Roman"/>
          <w:color w:val="000000" w:themeColor="text1"/>
        </w:rPr>
        <w:t>Przygotowana wersja powstała przy wykorzystaniu frameworku-u ReactAdmin i oparta jest na bibliotece React, która służy do tworzenia interfejsów użytkownika przy wykorzystaniu języka javascript.</w:t>
      </w:r>
    </w:p>
    <w:p w:rsidR="002C54E6" w:rsidRDefault="002C54E6">
      <w:pPr>
        <w:spacing w:line="240" w:lineRule="auto"/>
        <w:jc w:val="both"/>
        <w:rPr>
          <w:rFonts w:cs="Times New Roman"/>
          <w:b/>
          <w:color w:val="000000" w:themeColor="text1"/>
          <w:sz w:val="22"/>
          <w:szCs w:val="22"/>
        </w:rPr>
      </w:pPr>
    </w:p>
    <w:p w:rsidR="002C54E6" w:rsidRDefault="00D752E7">
      <w:pPr>
        <w:spacing w:line="240" w:lineRule="auto"/>
        <w:jc w:val="both"/>
        <w:rPr>
          <w:rFonts w:cs="Times New Roman"/>
          <w:b/>
          <w:color w:val="000000" w:themeColor="text1"/>
        </w:rPr>
      </w:pPr>
      <w:r>
        <w:rPr>
          <w:rFonts w:cs="Times New Roman"/>
          <w:b/>
          <w:color w:val="000000" w:themeColor="text1"/>
        </w:rPr>
        <w:t>Opis aplikacji, funkcjonalności oraz  poszczególnych modułów</w:t>
      </w:r>
    </w:p>
    <w:p w:rsidR="002C54E6" w:rsidRDefault="00D752E7">
      <w:pPr>
        <w:pStyle w:val="Akapitzlist"/>
        <w:spacing w:after="0" w:line="240" w:lineRule="auto"/>
        <w:ind w:left="0"/>
        <w:jc w:val="both"/>
        <w:rPr>
          <w:rFonts w:ascii="Times New Roman" w:hAnsi="Times New Roman" w:cs="Times New Roman"/>
          <w:color w:val="000000" w:themeColor="text1"/>
        </w:rPr>
      </w:pPr>
      <w:r>
        <w:rPr>
          <w:rFonts w:ascii="Times New Roman" w:hAnsi="Times New Roman" w:cs="Times New Roman"/>
          <w:color w:val="000000" w:themeColor="text1"/>
        </w:rPr>
        <w:t xml:space="preserve">Wersja demonstratora została przygotowana zgodnie z przekazanymi wymogami dotyczącymi poszczególnych modułów. Dodatkowo, aplikacja połączona została z przygotowaną przez zespół Centrum Informatyki Statystycznej bazą danych poprzez API. Dzięki temu możliwe stało się zarówno dodawanie danych, jak i ich aktualizowanie. </w:t>
      </w:r>
    </w:p>
    <w:p w:rsidR="002C54E6" w:rsidRDefault="00D752E7">
      <w:pPr>
        <w:pStyle w:val="Akapitzlist"/>
        <w:spacing w:after="0" w:line="240" w:lineRule="auto"/>
        <w:ind w:left="0"/>
        <w:jc w:val="both"/>
        <w:rPr>
          <w:rFonts w:ascii="Times New Roman" w:hAnsi="Times New Roman" w:cs="Times New Roman"/>
          <w:color w:val="000000" w:themeColor="text1"/>
        </w:rPr>
      </w:pPr>
      <w:r>
        <w:rPr>
          <w:rFonts w:ascii="Times New Roman" w:hAnsi="Times New Roman" w:cs="Times New Roman"/>
          <w:color w:val="000000" w:themeColor="text1"/>
        </w:rPr>
        <w:t xml:space="preserve">Aby móc korzystać z aplikacji należy dokonać dwuetapowego logowania. </w:t>
      </w:r>
    </w:p>
    <w:p w:rsidR="002C54E6" w:rsidRDefault="00D752E7">
      <w:pPr>
        <w:spacing w:line="240" w:lineRule="auto"/>
        <w:jc w:val="both"/>
      </w:pPr>
      <w:r>
        <w:rPr>
          <w:rFonts w:cs="Times New Roman"/>
          <w:b/>
          <w:color w:val="000000" w:themeColor="text1"/>
          <w:sz w:val="22"/>
          <w:szCs w:val="22"/>
        </w:rPr>
        <w:t>Adres aplikacji:</w:t>
      </w:r>
      <w:r>
        <w:rPr>
          <w:rFonts w:cs="Times New Roman"/>
          <w:color w:val="000000" w:themeColor="text1"/>
          <w:sz w:val="22"/>
          <w:szCs w:val="22"/>
        </w:rPr>
        <w:t xml:space="preserve">  </w:t>
      </w:r>
      <w:hyperlink r:id="rId10">
        <w:r w:rsidR="00924BA6" w:rsidRPr="008D3918">
          <w:rPr>
            <w:rStyle w:val="czeinternetowe"/>
            <w:rFonts w:cs="Times New Roman"/>
            <w:color w:val="000000" w:themeColor="text1"/>
            <w:sz w:val="22"/>
            <w:szCs w:val="22"/>
          </w:rPr>
          <w:t>https://test-aplikacjahub.smup.gov.pl/</w:t>
        </w:r>
      </w:hyperlink>
      <w:hyperlink r:id="rId11">
        <w:r>
          <w:rPr>
            <w:rStyle w:val="czeinternetowe"/>
            <w:rFonts w:cs="Times New Roman"/>
            <w:vanish/>
            <w:webHidden/>
            <w:color w:val="000000" w:themeColor="text1"/>
            <w:sz w:val="22"/>
            <w:szCs w:val="22"/>
          </w:rPr>
          <w:t>https://test-aplikacjahub.smup.gov.pl/</w:t>
        </w:r>
      </w:hyperlink>
    </w:p>
    <w:p w:rsidR="002C54E6" w:rsidRDefault="00D752E7">
      <w:pPr>
        <w:spacing w:line="240" w:lineRule="auto"/>
        <w:jc w:val="both"/>
        <w:rPr>
          <w:sz w:val="22"/>
          <w:szCs w:val="22"/>
        </w:rPr>
      </w:pPr>
      <w:r>
        <w:rPr>
          <w:rStyle w:val="czeinternetowe"/>
          <w:rFonts w:cs="Times New Roman"/>
          <w:color w:val="000000" w:themeColor="text1"/>
          <w:sz w:val="22"/>
          <w:szCs w:val="22"/>
          <w:u w:val="none"/>
        </w:rPr>
        <w:t xml:space="preserve">Zaleca się nie korzystanie z przeglądarki Internet Explorer. </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Dane do logowania dla użytkownika, który loguje się po raz pierwszy:</w:t>
      </w:r>
    </w:p>
    <w:p w:rsidR="002C54E6" w:rsidRDefault="00D752E7">
      <w:pPr>
        <w:spacing w:line="240" w:lineRule="auto"/>
        <w:jc w:val="both"/>
        <w:rPr>
          <w:rFonts w:cs="Times New Roman"/>
          <w:color w:val="000000" w:themeColor="text1"/>
          <w:sz w:val="22"/>
          <w:szCs w:val="22"/>
        </w:rPr>
      </w:pPr>
      <w:r>
        <w:rPr>
          <w:rFonts w:cs="Times New Roman"/>
          <w:b/>
          <w:color w:val="000000" w:themeColor="text1"/>
          <w:sz w:val="22"/>
          <w:szCs w:val="22"/>
        </w:rPr>
        <w:t>I logowanie</w:t>
      </w:r>
      <w:r>
        <w:rPr>
          <w:rFonts w:cs="Times New Roman"/>
          <w:color w:val="000000" w:themeColor="text1"/>
          <w:sz w:val="22"/>
          <w:szCs w:val="22"/>
        </w:rPr>
        <w:t>: nazwa użytkownika: smup</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 xml:space="preserve">                      hasło: d7S1lNvD6p4= </w:t>
      </w:r>
    </w:p>
    <w:p w:rsidR="002C54E6" w:rsidRDefault="00D752E7">
      <w:pPr>
        <w:spacing w:line="240" w:lineRule="auto"/>
        <w:jc w:val="both"/>
        <w:rPr>
          <w:rFonts w:cs="Times New Roman"/>
          <w:color w:val="000000" w:themeColor="text1"/>
          <w:sz w:val="22"/>
          <w:szCs w:val="22"/>
        </w:rPr>
      </w:pPr>
      <w:r>
        <w:rPr>
          <w:rFonts w:cs="Times New Roman"/>
          <w:b/>
          <w:color w:val="000000" w:themeColor="text1"/>
          <w:sz w:val="22"/>
          <w:szCs w:val="22"/>
        </w:rPr>
        <w:t>II logowanie</w:t>
      </w:r>
      <w:r>
        <w:rPr>
          <w:rFonts w:cs="Times New Roman"/>
          <w:color w:val="000000" w:themeColor="text1"/>
          <w:sz w:val="22"/>
          <w:szCs w:val="22"/>
        </w:rPr>
        <w:t>: Użytkownik, który odwiedza stronę po raz kolejny zostanie przekierowany na stronę z wyborem administratorów. Jest ich kilka zgodnie z przypisanymi uprawnieniami. Jeśli chcemy zobaczyć wszystkie dane i formularze logujemy się na superAdmin, hasło, tak jak na stronie „test123” (do wszystkich typów użytkowników hasło jest to samo).</w:t>
      </w:r>
    </w:p>
    <w:p w:rsidR="002C54E6" w:rsidRDefault="002C54E6">
      <w:pPr>
        <w:pStyle w:val="Akapitzlist"/>
        <w:spacing w:after="0" w:line="240" w:lineRule="auto"/>
        <w:ind w:left="0"/>
        <w:jc w:val="both"/>
        <w:rPr>
          <w:rFonts w:ascii="Times New Roman" w:hAnsi="Times New Roman" w:cs="Times New Roman"/>
          <w:color w:val="000000" w:themeColor="text1"/>
        </w:rPr>
      </w:pPr>
    </w:p>
    <w:p w:rsidR="002C54E6" w:rsidRDefault="00D752E7">
      <w:pPr>
        <w:pStyle w:val="Legenda"/>
        <w:keepNext/>
        <w:spacing w:after="0" w:line="360" w:lineRule="auto"/>
        <w:jc w:val="both"/>
      </w:pPr>
      <w:r>
        <w:rPr>
          <w:rFonts w:ascii="Times New Roman" w:hAnsi="Times New Roman" w:cs="Times New Roman"/>
          <w:color w:val="000000" w:themeColor="text1"/>
        </w:rPr>
        <w:t xml:space="preserve">Rysunek </w:t>
      </w:r>
      <w:r>
        <w:rPr>
          <w:rFonts w:ascii="Times New Roman" w:hAnsi="Times New Roman" w:cs="Times New Roman"/>
          <w:color w:val="000000" w:themeColor="text1"/>
        </w:rPr>
        <w:fldChar w:fldCharType="begin"/>
      </w:r>
      <w:r>
        <w:instrText>SEQ Rysunek \* ARABIC</w:instrText>
      </w:r>
      <w:r>
        <w:fldChar w:fldCharType="separate"/>
      </w:r>
      <w:r>
        <w:t>1</w:t>
      </w:r>
      <w:r>
        <w:fldChar w:fldCharType="end"/>
      </w:r>
      <w:r>
        <w:rPr>
          <w:rFonts w:ascii="Times New Roman" w:hAnsi="Times New Roman" w:cs="Times New Roman"/>
          <w:color w:val="000000" w:themeColor="text1"/>
        </w:rPr>
        <w:t xml:space="preserve"> Okno logowania się do systemu</w:t>
      </w:r>
    </w:p>
    <w:p w:rsidR="002C54E6" w:rsidRDefault="00D752E7">
      <w:pPr>
        <w:pStyle w:val="Akapitzlist"/>
        <w:spacing w:after="0" w:line="360" w:lineRule="auto"/>
        <w:jc w:val="both"/>
        <w:rPr>
          <w:rFonts w:ascii="Times New Roman" w:hAnsi="Times New Roman" w:cs="Times New Roman"/>
          <w:color w:val="000000" w:themeColor="text1"/>
        </w:rPr>
      </w:pPr>
      <w:r>
        <w:rPr>
          <w:noProof/>
          <w:lang w:eastAsia="pl-PL"/>
        </w:rPr>
        <w:drawing>
          <wp:inline distT="0" distB="0" distL="0" distR="0" wp14:anchorId="3B40ADB2" wp14:editId="3B5458E9">
            <wp:extent cx="2025650" cy="2324100"/>
            <wp:effectExtent l="0" t="0" r="0" b="0"/>
            <wp:docPr id="2"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9"/>
                    <pic:cNvPicPr>
                      <a:picLocks noChangeAspect="1" noChangeArrowheads="1"/>
                    </pic:cNvPicPr>
                  </pic:nvPicPr>
                  <pic:blipFill>
                    <a:blip r:embed="rId12"/>
                    <a:stretch>
                      <a:fillRect/>
                    </a:stretch>
                  </pic:blipFill>
                  <pic:spPr bwMode="auto">
                    <a:xfrm>
                      <a:off x="0" y="0"/>
                      <a:ext cx="2025650" cy="2324100"/>
                    </a:xfrm>
                    <a:prstGeom prst="rect">
                      <a:avLst/>
                    </a:prstGeom>
                  </pic:spPr>
                </pic:pic>
              </a:graphicData>
            </a:graphic>
          </wp:inline>
        </w:drawing>
      </w:r>
    </w:p>
    <w:p w:rsidR="002C54E6" w:rsidRDefault="00D752E7" w:rsidP="001229C8">
      <w:pPr>
        <w:spacing w:line="240" w:lineRule="auto"/>
        <w:jc w:val="both"/>
        <w:rPr>
          <w:rFonts w:cs="Times New Roman"/>
          <w:color w:val="000000" w:themeColor="text1"/>
          <w:sz w:val="22"/>
          <w:szCs w:val="22"/>
        </w:rPr>
      </w:pPr>
      <w:r>
        <w:rPr>
          <w:rFonts w:cs="Times New Roman"/>
          <w:color w:val="000000" w:themeColor="text1"/>
          <w:sz w:val="22"/>
          <w:szCs w:val="22"/>
        </w:rPr>
        <w:t>Każdy z użytkowników otrzymuje własny login i hasło do systemu. Obecnie przewidziano następujące role dla użytkowników:</w:t>
      </w:r>
    </w:p>
    <w:p w:rsidR="002C54E6" w:rsidRDefault="00D752E7" w:rsidP="001229C8">
      <w:pPr>
        <w:spacing w:line="240" w:lineRule="auto"/>
        <w:jc w:val="both"/>
        <w:rPr>
          <w:rFonts w:cs="Times New Roman"/>
          <w:color w:val="000000" w:themeColor="text1"/>
          <w:sz w:val="22"/>
          <w:szCs w:val="22"/>
        </w:rPr>
      </w:pPr>
      <w:r>
        <w:rPr>
          <w:rFonts w:cs="Times New Roman"/>
          <w:color w:val="000000" w:themeColor="text1"/>
          <w:sz w:val="22"/>
          <w:szCs w:val="22"/>
        </w:rPr>
        <w:lastRenderedPageBreak/>
        <w:t>- administrator nadrzędny (superAdmin) – ma dostęp do wszystkich elementów aplikacji oraz może tworzyć użytkowników o roli administrator;</w:t>
      </w:r>
    </w:p>
    <w:p w:rsidR="002C54E6" w:rsidRDefault="00D752E7" w:rsidP="001229C8">
      <w:pPr>
        <w:spacing w:line="240" w:lineRule="auto"/>
        <w:jc w:val="both"/>
        <w:rPr>
          <w:rFonts w:cs="Times New Roman"/>
          <w:color w:val="000000" w:themeColor="text1"/>
          <w:sz w:val="22"/>
          <w:szCs w:val="22"/>
        </w:rPr>
      </w:pPr>
      <w:r>
        <w:rPr>
          <w:rFonts w:cs="Times New Roman"/>
          <w:color w:val="000000" w:themeColor="text1"/>
          <w:sz w:val="22"/>
          <w:szCs w:val="22"/>
        </w:rPr>
        <w:t>-  administrator (np. adminGmina, adminPowiat) – pełni rolę administratora dla wybranej jednostki;</w:t>
      </w:r>
    </w:p>
    <w:p w:rsidR="002C54E6" w:rsidRDefault="00D752E7" w:rsidP="001229C8">
      <w:pPr>
        <w:spacing w:line="240" w:lineRule="auto"/>
        <w:jc w:val="both"/>
        <w:rPr>
          <w:rFonts w:cs="Times New Roman"/>
          <w:color w:val="000000" w:themeColor="text1"/>
          <w:sz w:val="22"/>
          <w:szCs w:val="22"/>
        </w:rPr>
      </w:pPr>
      <w:r>
        <w:rPr>
          <w:rFonts w:cs="Times New Roman"/>
          <w:color w:val="000000" w:themeColor="text1"/>
          <w:sz w:val="22"/>
          <w:szCs w:val="22"/>
        </w:rPr>
        <w:t>- użytkownik zatwierdzający (np. userPowiat) – ma możliwość przeglądania, wprowadzania oraz zatwierdzania danych;</w:t>
      </w:r>
    </w:p>
    <w:p w:rsidR="002C54E6" w:rsidRDefault="00D752E7" w:rsidP="001229C8">
      <w:pPr>
        <w:spacing w:line="240" w:lineRule="auto"/>
        <w:jc w:val="both"/>
        <w:rPr>
          <w:rFonts w:cs="Times New Roman"/>
          <w:color w:val="000000" w:themeColor="text1"/>
          <w:sz w:val="22"/>
          <w:szCs w:val="22"/>
        </w:rPr>
      </w:pPr>
      <w:r>
        <w:rPr>
          <w:rFonts w:cs="Times New Roman"/>
          <w:color w:val="000000" w:themeColor="text1"/>
          <w:sz w:val="22"/>
          <w:szCs w:val="22"/>
        </w:rPr>
        <w:t xml:space="preserve">- </w:t>
      </w:r>
      <w:r w:rsidR="001229C8">
        <w:rPr>
          <w:rFonts w:cs="Times New Roman"/>
          <w:color w:val="000000" w:themeColor="text1"/>
          <w:sz w:val="22"/>
          <w:szCs w:val="22"/>
        </w:rPr>
        <w:t>użytkownik</w:t>
      </w:r>
      <w:r>
        <w:rPr>
          <w:rFonts w:cs="Times New Roman"/>
          <w:color w:val="000000" w:themeColor="text1"/>
          <w:sz w:val="22"/>
          <w:szCs w:val="22"/>
        </w:rPr>
        <w:t xml:space="preserve"> wprowadzający (np. userGmina) – ma możliwość przeglądania oraz wprowadzania danych;</w:t>
      </w:r>
    </w:p>
    <w:p w:rsidR="002C54E6" w:rsidRDefault="00D752E7" w:rsidP="001229C8">
      <w:pPr>
        <w:spacing w:line="240" w:lineRule="auto"/>
        <w:jc w:val="both"/>
        <w:rPr>
          <w:rFonts w:cs="Times New Roman"/>
          <w:color w:val="000000" w:themeColor="text1"/>
          <w:sz w:val="22"/>
          <w:szCs w:val="22"/>
        </w:rPr>
      </w:pPr>
      <w:r>
        <w:rPr>
          <w:rFonts w:cs="Times New Roman"/>
          <w:color w:val="000000" w:themeColor="text1"/>
          <w:sz w:val="22"/>
          <w:szCs w:val="22"/>
        </w:rPr>
        <w:t xml:space="preserve">- </w:t>
      </w:r>
      <w:r w:rsidR="001229C8">
        <w:rPr>
          <w:rFonts w:cs="Times New Roman"/>
          <w:color w:val="000000" w:themeColor="text1"/>
          <w:sz w:val="22"/>
          <w:szCs w:val="22"/>
        </w:rPr>
        <w:t>użytkownik</w:t>
      </w:r>
      <w:r>
        <w:rPr>
          <w:rFonts w:cs="Times New Roman"/>
          <w:color w:val="000000" w:themeColor="text1"/>
          <w:sz w:val="22"/>
          <w:szCs w:val="22"/>
        </w:rPr>
        <w:t xml:space="preserve"> – ma możliwość przeglądania danych.</w:t>
      </w:r>
    </w:p>
    <w:p w:rsidR="002C54E6" w:rsidRDefault="00D752E7" w:rsidP="001229C8">
      <w:pPr>
        <w:spacing w:line="240" w:lineRule="auto"/>
        <w:jc w:val="both"/>
        <w:rPr>
          <w:rFonts w:cs="Times New Roman"/>
          <w:color w:val="000000" w:themeColor="text1"/>
          <w:sz w:val="22"/>
          <w:szCs w:val="22"/>
        </w:rPr>
      </w:pPr>
      <w:r>
        <w:rPr>
          <w:rFonts w:cs="Times New Roman"/>
          <w:color w:val="000000" w:themeColor="text1"/>
          <w:sz w:val="22"/>
          <w:szCs w:val="22"/>
        </w:rPr>
        <w:t>Każdemu z użytkowników można natomiast przypisać zakres danych, które może zobaczyć i nimi zarządzać.</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Po zalogowaniu się użytkownik zyskuje dostęp do aplikacji, która została podzielona na moduły:</w:t>
      </w:r>
    </w:p>
    <w:p w:rsidR="002C54E6" w:rsidRDefault="00D752E7">
      <w:pPr>
        <w:spacing w:line="240" w:lineRule="auto"/>
        <w:jc w:val="both"/>
        <w:rPr>
          <w:rFonts w:cs="Times New Roman"/>
          <w:b/>
          <w:color w:val="000000" w:themeColor="text1"/>
          <w:sz w:val="22"/>
          <w:szCs w:val="22"/>
        </w:rPr>
      </w:pPr>
      <w:r>
        <w:rPr>
          <w:rFonts w:cs="Times New Roman"/>
          <w:b/>
          <w:color w:val="000000" w:themeColor="text1"/>
          <w:sz w:val="22"/>
          <w:szCs w:val="22"/>
        </w:rPr>
        <w:t>- Moduł zarządzania danymi i formularzami.</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Moduł ten jest pierwszym elementem jaki użytkownik zobaczy po zalogowaniu się do systemu.</w:t>
      </w:r>
    </w:p>
    <w:p w:rsidR="001229C8" w:rsidRDefault="001229C8">
      <w:pPr>
        <w:spacing w:line="240" w:lineRule="auto"/>
        <w:jc w:val="both"/>
        <w:rPr>
          <w:rFonts w:cs="Times New Roman"/>
          <w:color w:val="000000" w:themeColor="text1"/>
          <w:sz w:val="22"/>
          <w:szCs w:val="22"/>
        </w:rPr>
      </w:pPr>
    </w:p>
    <w:p w:rsidR="002C54E6" w:rsidRDefault="00D752E7">
      <w:pPr>
        <w:pStyle w:val="Legenda"/>
        <w:keepNext/>
        <w:spacing w:after="0" w:line="360" w:lineRule="auto"/>
        <w:jc w:val="both"/>
      </w:pPr>
      <w:r>
        <w:rPr>
          <w:rFonts w:ascii="Times New Roman" w:hAnsi="Times New Roman" w:cs="Times New Roman"/>
          <w:color w:val="000000" w:themeColor="text1"/>
        </w:rPr>
        <w:t xml:space="preserve">Rysunek </w:t>
      </w:r>
      <w:r>
        <w:rPr>
          <w:rFonts w:ascii="Times New Roman" w:hAnsi="Times New Roman" w:cs="Times New Roman"/>
          <w:color w:val="000000" w:themeColor="text1"/>
        </w:rPr>
        <w:fldChar w:fldCharType="begin"/>
      </w:r>
      <w:r>
        <w:instrText>SEQ Rysunek \* ARABIC</w:instrText>
      </w:r>
      <w:r>
        <w:fldChar w:fldCharType="separate"/>
      </w:r>
      <w:r>
        <w:t>2</w:t>
      </w:r>
      <w:r>
        <w:fldChar w:fldCharType="end"/>
      </w:r>
      <w:r>
        <w:rPr>
          <w:rFonts w:ascii="Times New Roman" w:hAnsi="Times New Roman" w:cs="Times New Roman"/>
          <w:color w:val="000000" w:themeColor="text1"/>
        </w:rPr>
        <w:t xml:space="preserve"> Przykładowy widok modułu zarządzani danymi.</w:t>
      </w:r>
    </w:p>
    <w:p w:rsidR="002C54E6" w:rsidRDefault="00D752E7">
      <w:pPr>
        <w:pStyle w:val="Akapitzlist"/>
        <w:spacing w:after="0" w:line="360" w:lineRule="auto"/>
        <w:jc w:val="both"/>
        <w:rPr>
          <w:rFonts w:ascii="Times New Roman" w:hAnsi="Times New Roman" w:cs="Times New Roman"/>
          <w:color w:val="000000" w:themeColor="text1"/>
        </w:rPr>
      </w:pPr>
      <w:r>
        <w:rPr>
          <w:noProof/>
          <w:lang w:eastAsia="pl-PL"/>
        </w:rPr>
        <w:drawing>
          <wp:inline distT="0" distB="0" distL="0" distR="0" wp14:anchorId="2DE3B4EB" wp14:editId="13A05FC9">
            <wp:extent cx="5759450" cy="1377950"/>
            <wp:effectExtent l="0" t="0" r="0" b="0"/>
            <wp:docPr id="3"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8"/>
                    <pic:cNvPicPr>
                      <a:picLocks noChangeAspect="1" noChangeArrowheads="1"/>
                    </pic:cNvPicPr>
                  </pic:nvPicPr>
                  <pic:blipFill>
                    <a:blip r:embed="rId13"/>
                    <a:stretch>
                      <a:fillRect/>
                    </a:stretch>
                  </pic:blipFill>
                  <pic:spPr bwMode="auto">
                    <a:xfrm>
                      <a:off x="0" y="0"/>
                      <a:ext cx="5759450" cy="1377950"/>
                    </a:xfrm>
                    <a:prstGeom prst="rect">
                      <a:avLst/>
                    </a:prstGeom>
                  </pic:spPr>
                </pic:pic>
              </a:graphicData>
            </a:graphic>
          </wp:inline>
        </w:drawing>
      </w:r>
    </w:p>
    <w:p w:rsidR="002C54E6" w:rsidRDefault="00D752E7">
      <w:pPr>
        <w:spacing w:line="360" w:lineRule="auto"/>
        <w:jc w:val="both"/>
        <w:rPr>
          <w:rFonts w:cs="Times New Roman"/>
          <w:color w:val="000000" w:themeColor="text1"/>
          <w:sz w:val="22"/>
          <w:szCs w:val="22"/>
        </w:rPr>
      </w:pPr>
      <w:r>
        <w:rPr>
          <w:rFonts w:cs="Times New Roman"/>
          <w:color w:val="000000" w:themeColor="text1"/>
          <w:sz w:val="22"/>
          <w:szCs w:val="22"/>
        </w:rPr>
        <w:t>Dane zawarte w module zostały podzielone na obszary.</w:t>
      </w:r>
    </w:p>
    <w:p w:rsidR="002C54E6" w:rsidRDefault="00D752E7">
      <w:pPr>
        <w:pStyle w:val="Legenda"/>
        <w:keepNext/>
        <w:spacing w:after="0" w:line="360" w:lineRule="auto"/>
        <w:jc w:val="both"/>
      </w:pPr>
      <w:r>
        <w:rPr>
          <w:rFonts w:ascii="Times New Roman" w:hAnsi="Times New Roman" w:cs="Times New Roman"/>
          <w:color w:val="000000" w:themeColor="text1"/>
        </w:rPr>
        <w:t xml:space="preserve">Rysunek </w:t>
      </w:r>
      <w:r>
        <w:rPr>
          <w:rFonts w:ascii="Times New Roman" w:hAnsi="Times New Roman" w:cs="Times New Roman"/>
          <w:color w:val="000000" w:themeColor="text1"/>
        </w:rPr>
        <w:fldChar w:fldCharType="begin"/>
      </w:r>
      <w:r>
        <w:instrText>SEQ Rysunek \* ARABIC</w:instrText>
      </w:r>
      <w:r>
        <w:fldChar w:fldCharType="separate"/>
      </w:r>
      <w:r>
        <w:t>3</w:t>
      </w:r>
      <w:r>
        <w:fldChar w:fldCharType="end"/>
      </w:r>
      <w:r>
        <w:rPr>
          <w:rFonts w:ascii="Times New Roman" w:hAnsi="Times New Roman" w:cs="Times New Roman"/>
          <w:color w:val="000000" w:themeColor="text1"/>
        </w:rPr>
        <w:t xml:space="preserve"> Menu modułu zarządzania danymi.</w:t>
      </w:r>
    </w:p>
    <w:p w:rsidR="002C54E6" w:rsidRDefault="00D752E7">
      <w:pPr>
        <w:spacing w:line="360" w:lineRule="auto"/>
        <w:ind w:firstLine="708"/>
        <w:jc w:val="both"/>
        <w:rPr>
          <w:rFonts w:cs="Times New Roman"/>
          <w:color w:val="000000" w:themeColor="text1"/>
        </w:rPr>
      </w:pPr>
      <w:r>
        <w:rPr>
          <w:noProof/>
          <w:lang w:eastAsia="pl-PL" w:bidi="ar-SA"/>
        </w:rPr>
        <w:drawing>
          <wp:inline distT="0" distB="0" distL="0" distR="0" wp14:anchorId="0A874F48" wp14:editId="03F9258C">
            <wp:extent cx="1289050" cy="2603500"/>
            <wp:effectExtent l="0" t="0" r="0" b="0"/>
            <wp:docPr id="4"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7"/>
                    <pic:cNvPicPr>
                      <a:picLocks noChangeAspect="1" noChangeArrowheads="1"/>
                    </pic:cNvPicPr>
                  </pic:nvPicPr>
                  <pic:blipFill>
                    <a:blip r:embed="rId14"/>
                    <a:stretch>
                      <a:fillRect/>
                    </a:stretch>
                  </pic:blipFill>
                  <pic:spPr bwMode="auto">
                    <a:xfrm>
                      <a:off x="0" y="0"/>
                      <a:ext cx="1289050" cy="2603500"/>
                    </a:xfrm>
                    <a:prstGeom prst="rect">
                      <a:avLst/>
                    </a:prstGeom>
                  </pic:spPr>
                </pic:pic>
              </a:graphicData>
            </a:graphic>
          </wp:inline>
        </w:drawing>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Po kliknięciu w wybrany obszar tematyczny użytkownikowi rozwija się podmenu, w którym do wyboru ma tabelę z danymi, aktywnymi lub archiwalnymi formularzami. W przypadku tabeli z danymi, każdy ze wskaźników posiada m. in. informację o statusie zatwierdzenia danych. Dodatkowo moduł został wyposażony w filtr umożliwiający przeszukiwanie tabeli po nazwie zmiennej.</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W przypadku formularzy, zostały one podzielone na:</w:t>
      </w:r>
    </w:p>
    <w:p w:rsidR="002C54E6" w:rsidRDefault="00D752E7">
      <w:pPr>
        <w:pStyle w:val="Akapitzlist"/>
        <w:numPr>
          <w:ilvl w:val="0"/>
          <w:numId w:val="7"/>
        </w:numPr>
        <w:spacing w:after="0" w:line="240" w:lineRule="auto"/>
        <w:jc w:val="both"/>
        <w:rPr>
          <w:rFonts w:ascii="Times New Roman" w:hAnsi="Times New Roman" w:cs="Times New Roman"/>
          <w:color w:val="000000" w:themeColor="text1"/>
        </w:rPr>
      </w:pPr>
      <w:r>
        <w:rPr>
          <w:rFonts w:ascii="Times New Roman" w:hAnsi="Times New Roman" w:cs="Times New Roman"/>
          <w:color w:val="000000" w:themeColor="text1"/>
        </w:rPr>
        <w:t>Formularze aktualne;</w:t>
      </w:r>
    </w:p>
    <w:p w:rsidR="002C54E6" w:rsidRDefault="00D752E7">
      <w:pPr>
        <w:pStyle w:val="Akapitzlist"/>
        <w:numPr>
          <w:ilvl w:val="0"/>
          <w:numId w:val="7"/>
        </w:numPr>
        <w:spacing w:after="0" w:line="240" w:lineRule="auto"/>
        <w:jc w:val="both"/>
        <w:rPr>
          <w:rFonts w:ascii="Times New Roman" w:hAnsi="Times New Roman" w:cs="Times New Roman"/>
          <w:color w:val="000000" w:themeColor="text1"/>
        </w:rPr>
      </w:pPr>
      <w:r>
        <w:rPr>
          <w:rFonts w:ascii="Times New Roman" w:hAnsi="Times New Roman" w:cs="Times New Roman"/>
          <w:color w:val="000000" w:themeColor="text1"/>
        </w:rPr>
        <w:t>Formularze archiwalne.</w:t>
      </w:r>
    </w:p>
    <w:p w:rsidR="001229C8" w:rsidRDefault="001229C8" w:rsidP="001229C8">
      <w:pPr>
        <w:pStyle w:val="Akapitzlist"/>
        <w:spacing w:after="0" w:line="240" w:lineRule="auto"/>
        <w:ind w:left="1440"/>
        <w:jc w:val="both"/>
        <w:rPr>
          <w:rFonts w:ascii="Times New Roman" w:hAnsi="Times New Roman" w:cs="Times New Roman"/>
          <w:color w:val="000000" w:themeColor="text1"/>
        </w:rPr>
      </w:pPr>
    </w:p>
    <w:p w:rsidR="002C54E6" w:rsidRDefault="00D752E7">
      <w:pPr>
        <w:pStyle w:val="Legenda"/>
        <w:keepNext/>
        <w:spacing w:after="0" w:line="360" w:lineRule="auto"/>
        <w:jc w:val="both"/>
      </w:pPr>
      <w:r>
        <w:rPr>
          <w:rFonts w:ascii="Times New Roman" w:hAnsi="Times New Roman" w:cs="Times New Roman"/>
          <w:color w:val="000000" w:themeColor="text1"/>
        </w:rPr>
        <w:lastRenderedPageBreak/>
        <w:t xml:space="preserve">Rysunek </w:t>
      </w:r>
      <w:r>
        <w:rPr>
          <w:rFonts w:ascii="Times New Roman" w:hAnsi="Times New Roman" w:cs="Times New Roman"/>
          <w:color w:val="000000" w:themeColor="text1"/>
        </w:rPr>
        <w:fldChar w:fldCharType="begin"/>
      </w:r>
      <w:r>
        <w:instrText>SEQ Rysunek \* ARABIC</w:instrText>
      </w:r>
      <w:r>
        <w:fldChar w:fldCharType="separate"/>
      </w:r>
      <w:r>
        <w:t>4</w:t>
      </w:r>
      <w:r>
        <w:fldChar w:fldCharType="end"/>
      </w:r>
      <w:r>
        <w:rPr>
          <w:rFonts w:ascii="Times New Roman" w:hAnsi="Times New Roman" w:cs="Times New Roman"/>
          <w:color w:val="000000" w:themeColor="text1"/>
        </w:rPr>
        <w:t xml:space="preserve"> Menu z widokiem podziału formularzy.</w:t>
      </w:r>
    </w:p>
    <w:p w:rsidR="002C54E6" w:rsidRDefault="00D752E7">
      <w:pPr>
        <w:spacing w:line="360" w:lineRule="auto"/>
        <w:ind w:left="708"/>
        <w:jc w:val="both"/>
        <w:rPr>
          <w:rFonts w:cs="Times New Roman"/>
          <w:color w:val="000000" w:themeColor="text1"/>
        </w:rPr>
      </w:pPr>
      <w:r>
        <w:rPr>
          <w:noProof/>
          <w:lang w:eastAsia="pl-PL" w:bidi="ar-SA"/>
        </w:rPr>
        <w:drawing>
          <wp:inline distT="0" distB="0" distL="0" distR="0" wp14:anchorId="08221BAB" wp14:editId="1F8C1E41">
            <wp:extent cx="1800225" cy="1254125"/>
            <wp:effectExtent l="0" t="0" r="0" b="0"/>
            <wp:docPr id="5"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6"/>
                    <pic:cNvPicPr>
                      <a:picLocks noChangeAspect="1" noChangeArrowheads="1"/>
                    </pic:cNvPicPr>
                  </pic:nvPicPr>
                  <pic:blipFill>
                    <a:blip r:embed="rId15"/>
                    <a:stretch>
                      <a:fillRect/>
                    </a:stretch>
                  </pic:blipFill>
                  <pic:spPr bwMode="auto">
                    <a:xfrm>
                      <a:off x="0" y="0"/>
                      <a:ext cx="1800225" cy="1254125"/>
                    </a:xfrm>
                    <a:prstGeom prst="rect">
                      <a:avLst/>
                    </a:prstGeom>
                  </pic:spPr>
                </pic:pic>
              </a:graphicData>
            </a:graphic>
          </wp:inline>
        </w:drawing>
      </w:r>
    </w:p>
    <w:p w:rsidR="002C54E6" w:rsidRDefault="002C54E6">
      <w:pPr>
        <w:spacing w:line="360" w:lineRule="auto"/>
        <w:ind w:left="708"/>
        <w:jc w:val="both"/>
        <w:rPr>
          <w:rFonts w:cs="Times New Roman"/>
          <w:color w:val="000000" w:themeColor="text1"/>
        </w:rPr>
      </w:pPr>
    </w:p>
    <w:p w:rsidR="002C54E6" w:rsidRDefault="00D752E7">
      <w:pPr>
        <w:spacing w:line="360" w:lineRule="auto"/>
        <w:jc w:val="both"/>
        <w:rPr>
          <w:rFonts w:cs="Times New Roman"/>
          <w:color w:val="000000" w:themeColor="text1"/>
        </w:rPr>
      </w:pPr>
      <w:r>
        <w:rPr>
          <w:rFonts w:cs="Times New Roman"/>
          <w:color w:val="000000" w:themeColor="text1"/>
        </w:rPr>
        <w:t>Po przejściu do modułu użytkownik otrzymuje tabelę z listą dostępnych formularzy.</w:t>
      </w:r>
    </w:p>
    <w:p w:rsidR="002C54E6" w:rsidRDefault="00D752E7">
      <w:pPr>
        <w:spacing w:line="360" w:lineRule="auto"/>
        <w:ind w:left="708"/>
        <w:jc w:val="both"/>
        <w:rPr>
          <w:rFonts w:cs="Times New Roman"/>
          <w:color w:val="000000" w:themeColor="text1"/>
        </w:rPr>
      </w:pPr>
      <w:r>
        <w:rPr>
          <w:noProof/>
          <w:lang w:eastAsia="pl-PL" w:bidi="ar-SA"/>
        </w:rPr>
        <w:drawing>
          <wp:inline distT="0" distB="0" distL="0" distR="0" wp14:anchorId="5D7160C1" wp14:editId="6199AE58">
            <wp:extent cx="5759450" cy="736600"/>
            <wp:effectExtent l="0" t="0" r="0" b="0"/>
            <wp:docPr id="6"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5"/>
                    <pic:cNvPicPr>
                      <a:picLocks noChangeAspect="1" noChangeArrowheads="1"/>
                    </pic:cNvPicPr>
                  </pic:nvPicPr>
                  <pic:blipFill>
                    <a:blip r:embed="rId16"/>
                    <a:stretch>
                      <a:fillRect/>
                    </a:stretch>
                  </pic:blipFill>
                  <pic:spPr bwMode="auto">
                    <a:xfrm>
                      <a:off x="0" y="0"/>
                      <a:ext cx="5759450" cy="736600"/>
                    </a:xfrm>
                    <a:prstGeom prst="rect">
                      <a:avLst/>
                    </a:prstGeom>
                  </pic:spPr>
                </pic:pic>
              </a:graphicData>
            </a:graphic>
          </wp:inline>
        </w:drawing>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Tabela została tak zaprojektowana aby zawierała wszystkie niezbędne dla użytkownika informacje, czyli:</w:t>
      </w:r>
    </w:p>
    <w:p w:rsidR="002C54E6" w:rsidRDefault="00D752E7">
      <w:pPr>
        <w:pStyle w:val="Akapitzlist"/>
        <w:numPr>
          <w:ilvl w:val="0"/>
          <w:numId w:val="8"/>
        </w:numPr>
        <w:spacing w:after="0" w:line="240" w:lineRule="auto"/>
        <w:jc w:val="both"/>
        <w:rPr>
          <w:rFonts w:ascii="Times New Roman" w:hAnsi="Times New Roman" w:cs="Times New Roman"/>
          <w:color w:val="000000" w:themeColor="text1"/>
        </w:rPr>
      </w:pPr>
      <w:r>
        <w:rPr>
          <w:rFonts w:ascii="Times New Roman" w:hAnsi="Times New Roman" w:cs="Times New Roman"/>
          <w:color w:val="000000" w:themeColor="text1"/>
        </w:rPr>
        <w:t>Informację o okresie sprawozdawczym;</w:t>
      </w:r>
    </w:p>
    <w:p w:rsidR="002C54E6" w:rsidRDefault="00D752E7">
      <w:pPr>
        <w:pStyle w:val="Akapitzlist"/>
        <w:numPr>
          <w:ilvl w:val="0"/>
          <w:numId w:val="8"/>
        </w:numPr>
        <w:spacing w:after="0" w:line="240" w:lineRule="auto"/>
        <w:jc w:val="both"/>
        <w:rPr>
          <w:rFonts w:ascii="Times New Roman" w:hAnsi="Times New Roman" w:cs="Times New Roman"/>
          <w:color w:val="000000" w:themeColor="text1"/>
        </w:rPr>
      </w:pPr>
      <w:r>
        <w:rPr>
          <w:rFonts w:ascii="Times New Roman" w:hAnsi="Times New Roman" w:cs="Times New Roman"/>
          <w:color w:val="000000" w:themeColor="text1"/>
        </w:rPr>
        <w:t>Symbolu formularza;</w:t>
      </w:r>
    </w:p>
    <w:p w:rsidR="002C54E6" w:rsidRDefault="00D752E7">
      <w:pPr>
        <w:pStyle w:val="Akapitzlist"/>
        <w:numPr>
          <w:ilvl w:val="0"/>
          <w:numId w:val="8"/>
        </w:numPr>
        <w:spacing w:after="0" w:line="240" w:lineRule="auto"/>
        <w:jc w:val="both"/>
        <w:rPr>
          <w:rFonts w:ascii="Times New Roman" w:hAnsi="Times New Roman" w:cs="Times New Roman"/>
          <w:color w:val="000000" w:themeColor="text1"/>
        </w:rPr>
      </w:pPr>
      <w:r>
        <w:rPr>
          <w:rFonts w:ascii="Times New Roman" w:hAnsi="Times New Roman" w:cs="Times New Roman"/>
          <w:color w:val="000000" w:themeColor="text1"/>
        </w:rPr>
        <w:t>Nazwie formularza;</w:t>
      </w:r>
    </w:p>
    <w:p w:rsidR="002C54E6" w:rsidRDefault="00D752E7">
      <w:pPr>
        <w:pStyle w:val="Akapitzlist"/>
        <w:numPr>
          <w:ilvl w:val="0"/>
          <w:numId w:val="8"/>
        </w:numPr>
        <w:spacing w:after="0" w:line="240" w:lineRule="auto"/>
        <w:jc w:val="both"/>
        <w:rPr>
          <w:rFonts w:ascii="Times New Roman" w:hAnsi="Times New Roman" w:cs="Times New Roman"/>
          <w:color w:val="000000" w:themeColor="text1"/>
        </w:rPr>
      </w:pPr>
      <w:r>
        <w:rPr>
          <w:rFonts w:ascii="Times New Roman" w:hAnsi="Times New Roman" w:cs="Times New Roman"/>
          <w:color w:val="000000" w:themeColor="text1"/>
        </w:rPr>
        <w:t>Informacji na temat zatwierdzenia formularza;</w:t>
      </w:r>
    </w:p>
    <w:p w:rsidR="002C54E6" w:rsidRDefault="00D752E7">
      <w:pPr>
        <w:pStyle w:val="Akapitzlist"/>
        <w:numPr>
          <w:ilvl w:val="0"/>
          <w:numId w:val="8"/>
        </w:numPr>
        <w:spacing w:after="0" w:line="240" w:lineRule="auto"/>
        <w:jc w:val="both"/>
        <w:rPr>
          <w:rFonts w:ascii="Times New Roman" w:hAnsi="Times New Roman" w:cs="Times New Roman"/>
          <w:color w:val="000000" w:themeColor="text1"/>
        </w:rPr>
      </w:pPr>
      <w:r>
        <w:rPr>
          <w:rFonts w:ascii="Times New Roman" w:hAnsi="Times New Roman" w:cs="Times New Roman"/>
          <w:color w:val="000000" w:themeColor="text1"/>
        </w:rPr>
        <w:t>Informacji do kiedy powinien zostać on wypełniony;</w:t>
      </w:r>
    </w:p>
    <w:p w:rsidR="002C54E6" w:rsidRDefault="00D752E7">
      <w:pPr>
        <w:pStyle w:val="Akapitzlist"/>
        <w:numPr>
          <w:ilvl w:val="0"/>
          <w:numId w:val="8"/>
        </w:numPr>
        <w:spacing w:after="0" w:line="240" w:lineRule="auto"/>
        <w:jc w:val="both"/>
        <w:rPr>
          <w:rFonts w:ascii="Times New Roman" w:hAnsi="Times New Roman" w:cs="Times New Roman"/>
          <w:color w:val="000000" w:themeColor="text1"/>
        </w:rPr>
      </w:pPr>
      <w:r>
        <w:rPr>
          <w:rFonts w:ascii="Times New Roman" w:hAnsi="Times New Roman" w:cs="Times New Roman"/>
          <w:color w:val="000000" w:themeColor="text1"/>
        </w:rPr>
        <w:t>Przycisk umożliwiający edycję danych zawartych w formularzu;</w:t>
      </w:r>
    </w:p>
    <w:p w:rsidR="002C54E6" w:rsidRDefault="00D752E7">
      <w:pPr>
        <w:pStyle w:val="Akapitzlist"/>
        <w:numPr>
          <w:ilvl w:val="0"/>
          <w:numId w:val="8"/>
        </w:numPr>
        <w:spacing w:after="0" w:line="240" w:lineRule="auto"/>
        <w:jc w:val="both"/>
        <w:rPr>
          <w:rFonts w:ascii="Times New Roman" w:hAnsi="Times New Roman" w:cs="Times New Roman"/>
          <w:color w:val="000000" w:themeColor="text1"/>
        </w:rPr>
      </w:pPr>
      <w:r>
        <w:rPr>
          <w:rFonts w:ascii="Times New Roman" w:hAnsi="Times New Roman" w:cs="Times New Roman"/>
          <w:color w:val="000000" w:themeColor="text1"/>
        </w:rPr>
        <w:t>Przycisk umożliwiający edycję danych na temat samego formularza.</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Dodatkowo przy każdym formularzu mamy kolorem zaznaczoną informację o ewentualnym przekroczeniu terminu w którym formularz powinien zostać wypełniony.</w:t>
      </w:r>
    </w:p>
    <w:p w:rsidR="001229C8" w:rsidRDefault="001229C8">
      <w:pPr>
        <w:spacing w:line="240" w:lineRule="auto"/>
        <w:jc w:val="both"/>
        <w:rPr>
          <w:rFonts w:cs="Times New Roman"/>
          <w:color w:val="000000" w:themeColor="text1"/>
          <w:sz w:val="22"/>
          <w:szCs w:val="22"/>
        </w:rPr>
      </w:pPr>
    </w:p>
    <w:p w:rsidR="002C54E6" w:rsidRDefault="00D752E7">
      <w:pPr>
        <w:pStyle w:val="Legenda"/>
        <w:keepNext/>
        <w:spacing w:after="0" w:line="360" w:lineRule="auto"/>
        <w:jc w:val="both"/>
      </w:pPr>
      <w:r>
        <w:rPr>
          <w:rFonts w:ascii="Times New Roman" w:hAnsi="Times New Roman" w:cs="Times New Roman"/>
          <w:color w:val="000000" w:themeColor="text1"/>
        </w:rPr>
        <w:t xml:space="preserve">Rysunek </w:t>
      </w:r>
      <w:r>
        <w:rPr>
          <w:rFonts w:ascii="Times New Roman" w:hAnsi="Times New Roman" w:cs="Times New Roman"/>
          <w:color w:val="000000" w:themeColor="text1"/>
        </w:rPr>
        <w:fldChar w:fldCharType="begin"/>
      </w:r>
      <w:r>
        <w:instrText>SEQ Rysunek \* ARABIC</w:instrText>
      </w:r>
      <w:r>
        <w:fldChar w:fldCharType="separate"/>
      </w:r>
      <w:r>
        <w:t>5</w:t>
      </w:r>
      <w:r>
        <w:fldChar w:fldCharType="end"/>
      </w:r>
      <w:r>
        <w:rPr>
          <w:rFonts w:ascii="Times New Roman" w:hAnsi="Times New Roman" w:cs="Times New Roman"/>
          <w:color w:val="000000" w:themeColor="text1"/>
        </w:rPr>
        <w:t xml:space="preserve"> Zaznaczone kolorem formularze wymagające interwencji użytkownika.</w:t>
      </w:r>
    </w:p>
    <w:p w:rsidR="002C54E6" w:rsidRDefault="00D752E7">
      <w:pPr>
        <w:spacing w:line="360" w:lineRule="auto"/>
        <w:ind w:left="708"/>
        <w:jc w:val="both"/>
        <w:rPr>
          <w:rFonts w:cs="Times New Roman"/>
          <w:color w:val="000000" w:themeColor="text1"/>
        </w:rPr>
      </w:pPr>
      <w:r>
        <w:rPr>
          <w:noProof/>
          <w:lang w:eastAsia="pl-PL" w:bidi="ar-SA"/>
        </w:rPr>
        <w:drawing>
          <wp:inline distT="0" distB="0" distL="0" distR="0" wp14:anchorId="5FC244D4" wp14:editId="3AD75135">
            <wp:extent cx="806450" cy="1162050"/>
            <wp:effectExtent l="0" t="0" r="0" b="0"/>
            <wp:docPr id="7"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4"/>
                    <pic:cNvPicPr>
                      <a:picLocks noChangeAspect="1" noChangeArrowheads="1"/>
                    </pic:cNvPicPr>
                  </pic:nvPicPr>
                  <pic:blipFill>
                    <a:blip r:embed="rId17"/>
                    <a:stretch>
                      <a:fillRect/>
                    </a:stretch>
                  </pic:blipFill>
                  <pic:spPr bwMode="auto">
                    <a:xfrm>
                      <a:off x="0" y="0"/>
                      <a:ext cx="806450" cy="1162050"/>
                    </a:xfrm>
                    <a:prstGeom prst="rect">
                      <a:avLst/>
                    </a:prstGeom>
                  </pic:spPr>
                </pic:pic>
              </a:graphicData>
            </a:graphic>
          </wp:inline>
        </w:drawing>
      </w:r>
    </w:p>
    <w:p w:rsidR="002C54E6" w:rsidRDefault="002C54E6">
      <w:pPr>
        <w:spacing w:line="240" w:lineRule="auto"/>
        <w:jc w:val="both"/>
        <w:rPr>
          <w:rFonts w:cs="Times New Roman"/>
          <w:color w:val="000000" w:themeColor="text1"/>
          <w:sz w:val="22"/>
          <w:szCs w:val="22"/>
        </w:rPr>
      </w:pP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Podobnie jak w przypadku danych, zaplanowane zostały filtry umożliwiające przeszukiwanie dostępnych formularzy. W udostępnionej wersji przeszukiwanie możliwe jest po nazwie oraz statusie formularza.</w:t>
      </w:r>
    </w:p>
    <w:p w:rsidR="002C54E6" w:rsidRDefault="002C54E6">
      <w:pPr>
        <w:spacing w:line="240" w:lineRule="auto"/>
        <w:jc w:val="both"/>
        <w:rPr>
          <w:rFonts w:cs="Times New Roman"/>
          <w:color w:val="000000" w:themeColor="text1"/>
          <w:sz w:val="22"/>
          <w:szCs w:val="22"/>
        </w:rPr>
      </w:pPr>
    </w:p>
    <w:p w:rsidR="002C54E6" w:rsidRDefault="00D752E7">
      <w:pPr>
        <w:spacing w:line="240" w:lineRule="auto"/>
        <w:jc w:val="both"/>
        <w:rPr>
          <w:rFonts w:cs="Times New Roman"/>
          <w:b/>
          <w:color w:val="000000" w:themeColor="text1"/>
          <w:sz w:val="22"/>
          <w:szCs w:val="22"/>
        </w:rPr>
      </w:pPr>
      <w:r>
        <w:rPr>
          <w:rFonts w:cs="Times New Roman"/>
          <w:b/>
          <w:color w:val="000000" w:themeColor="text1"/>
          <w:sz w:val="22"/>
          <w:szCs w:val="22"/>
        </w:rPr>
        <w:t>- Moduł zarządzania zespołem.</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Każdy administrator jednostki ma dostęp do modułu, który umożliwi mu zarządzanie zespołem jednostki.</w:t>
      </w:r>
    </w:p>
    <w:p w:rsidR="002C54E6" w:rsidRDefault="00D752E7">
      <w:pPr>
        <w:pStyle w:val="Legenda"/>
        <w:keepNext/>
        <w:spacing w:after="0" w:line="360" w:lineRule="auto"/>
        <w:jc w:val="both"/>
      </w:pPr>
      <w:r>
        <w:rPr>
          <w:rFonts w:ascii="Times New Roman" w:hAnsi="Times New Roman" w:cs="Times New Roman"/>
          <w:color w:val="000000" w:themeColor="text1"/>
        </w:rPr>
        <w:lastRenderedPageBreak/>
        <w:t xml:space="preserve">Rysunek </w:t>
      </w:r>
      <w:r>
        <w:rPr>
          <w:rFonts w:ascii="Times New Roman" w:hAnsi="Times New Roman" w:cs="Times New Roman"/>
          <w:color w:val="000000" w:themeColor="text1"/>
        </w:rPr>
        <w:fldChar w:fldCharType="begin"/>
      </w:r>
      <w:r>
        <w:instrText>SEQ Rysunek \* ARABIC</w:instrText>
      </w:r>
      <w:r>
        <w:fldChar w:fldCharType="separate"/>
      </w:r>
      <w:r>
        <w:t>6</w:t>
      </w:r>
      <w:r>
        <w:fldChar w:fldCharType="end"/>
      </w:r>
      <w:r>
        <w:rPr>
          <w:rFonts w:ascii="Times New Roman" w:hAnsi="Times New Roman" w:cs="Times New Roman"/>
          <w:color w:val="000000" w:themeColor="text1"/>
        </w:rPr>
        <w:t xml:space="preserve"> Widok modułu do zarządzania zespołem.</w:t>
      </w:r>
    </w:p>
    <w:p w:rsidR="002C54E6" w:rsidRDefault="00D752E7">
      <w:pPr>
        <w:pStyle w:val="Akapitzlist"/>
        <w:spacing w:after="0" w:line="360" w:lineRule="auto"/>
        <w:jc w:val="both"/>
        <w:rPr>
          <w:rFonts w:ascii="Times New Roman" w:hAnsi="Times New Roman" w:cs="Times New Roman"/>
          <w:color w:val="000000" w:themeColor="text1"/>
        </w:rPr>
      </w:pPr>
      <w:r>
        <w:rPr>
          <w:noProof/>
          <w:lang w:eastAsia="pl-PL"/>
        </w:rPr>
        <w:drawing>
          <wp:inline distT="0" distB="0" distL="0" distR="0" wp14:anchorId="71533013" wp14:editId="1F68303B">
            <wp:extent cx="5765800" cy="1555750"/>
            <wp:effectExtent l="0" t="0" r="0" b="0"/>
            <wp:docPr id="8"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 2"/>
                    <pic:cNvPicPr>
                      <a:picLocks noChangeAspect="1" noChangeArrowheads="1"/>
                    </pic:cNvPicPr>
                  </pic:nvPicPr>
                  <pic:blipFill>
                    <a:blip r:embed="rId18"/>
                    <a:stretch>
                      <a:fillRect/>
                    </a:stretch>
                  </pic:blipFill>
                  <pic:spPr bwMode="auto">
                    <a:xfrm>
                      <a:off x="0" y="0"/>
                      <a:ext cx="5765800" cy="1555750"/>
                    </a:xfrm>
                    <a:prstGeom prst="rect">
                      <a:avLst/>
                    </a:prstGeom>
                  </pic:spPr>
                </pic:pic>
              </a:graphicData>
            </a:graphic>
          </wp:inline>
        </w:drawing>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Po wejściu do modułu otrzymujemy widok tabeli wraz z informacjami na temat użytkowników przypisanych do naszej jednostki.</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Możemy w nim sprawdzić następujące elementy:</w:t>
      </w:r>
    </w:p>
    <w:p w:rsidR="002C54E6" w:rsidRDefault="00D752E7">
      <w:pPr>
        <w:pStyle w:val="Akapitzlist"/>
        <w:numPr>
          <w:ilvl w:val="0"/>
          <w:numId w:val="9"/>
        </w:numPr>
        <w:spacing w:after="0" w:line="240" w:lineRule="auto"/>
        <w:jc w:val="both"/>
        <w:rPr>
          <w:rFonts w:ascii="Times New Roman" w:hAnsi="Times New Roman" w:cs="Times New Roman"/>
          <w:color w:val="000000" w:themeColor="text1"/>
        </w:rPr>
      </w:pPr>
      <w:r>
        <w:rPr>
          <w:rFonts w:ascii="Times New Roman" w:hAnsi="Times New Roman" w:cs="Times New Roman"/>
          <w:color w:val="000000" w:themeColor="text1"/>
        </w:rPr>
        <w:t>Imię i nazwisko użytkownika;</w:t>
      </w:r>
    </w:p>
    <w:p w:rsidR="002C54E6" w:rsidRDefault="00D752E7">
      <w:pPr>
        <w:pStyle w:val="Akapitzlist"/>
        <w:numPr>
          <w:ilvl w:val="0"/>
          <w:numId w:val="9"/>
        </w:numPr>
        <w:spacing w:after="0" w:line="240" w:lineRule="auto"/>
        <w:jc w:val="both"/>
        <w:rPr>
          <w:rFonts w:ascii="Times New Roman" w:hAnsi="Times New Roman" w:cs="Times New Roman"/>
          <w:color w:val="000000" w:themeColor="text1"/>
        </w:rPr>
      </w:pPr>
      <w:r>
        <w:rPr>
          <w:rFonts w:ascii="Times New Roman" w:hAnsi="Times New Roman" w:cs="Times New Roman"/>
          <w:color w:val="000000" w:themeColor="text1"/>
        </w:rPr>
        <w:t>Adres email;</w:t>
      </w:r>
    </w:p>
    <w:p w:rsidR="002C54E6" w:rsidRDefault="00D752E7">
      <w:pPr>
        <w:pStyle w:val="Akapitzlist"/>
        <w:numPr>
          <w:ilvl w:val="0"/>
          <w:numId w:val="9"/>
        </w:numPr>
        <w:spacing w:after="0" w:line="240" w:lineRule="auto"/>
        <w:jc w:val="both"/>
        <w:rPr>
          <w:rFonts w:ascii="Times New Roman" w:hAnsi="Times New Roman" w:cs="Times New Roman"/>
          <w:color w:val="000000" w:themeColor="text1"/>
        </w:rPr>
      </w:pPr>
      <w:r>
        <w:rPr>
          <w:rFonts w:ascii="Times New Roman" w:hAnsi="Times New Roman" w:cs="Times New Roman"/>
          <w:color w:val="000000" w:themeColor="text1"/>
        </w:rPr>
        <w:t>Stanowisko w jednostce;</w:t>
      </w:r>
    </w:p>
    <w:p w:rsidR="002C54E6" w:rsidRDefault="00D752E7">
      <w:pPr>
        <w:pStyle w:val="Akapitzlist"/>
        <w:numPr>
          <w:ilvl w:val="0"/>
          <w:numId w:val="9"/>
        </w:numPr>
        <w:spacing w:after="0" w:line="240" w:lineRule="auto"/>
        <w:jc w:val="both"/>
        <w:rPr>
          <w:rFonts w:ascii="Times New Roman" w:hAnsi="Times New Roman" w:cs="Times New Roman"/>
          <w:color w:val="000000" w:themeColor="text1"/>
        </w:rPr>
      </w:pPr>
      <w:r>
        <w:rPr>
          <w:rFonts w:ascii="Times New Roman" w:hAnsi="Times New Roman" w:cs="Times New Roman"/>
          <w:color w:val="000000" w:themeColor="text1"/>
        </w:rPr>
        <w:t>W przypadku administratora nadrzędnego informacja na temat jednostki z jakiej pochodzi użytkownik;</w:t>
      </w:r>
    </w:p>
    <w:p w:rsidR="002C54E6" w:rsidRDefault="00D752E7">
      <w:pPr>
        <w:pStyle w:val="Akapitzlist"/>
        <w:numPr>
          <w:ilvl w:val="0"/>
          <w:numId w:val="9"/>
        </w:numPr>
        <w:spacing w:after="0" w:line="240" w:lineRule="auto"/>
        <w:jc w:val="both"/>
        <w:rPr>
          <w:rFonts w:ascii="Times New Roman" w:hAnsi="Times New Roman" w:cs="Times New Roman"/>
          <w:color w:val="000000" w:themeColor="text1"/>
        </w:rPr>
      </w:pPr>
      <w:r>
        <w:rPr>
          <w:rFonts w:ascii="Times New Roman" w:hAnsi="Times New Roman" w:cs="Times New Roman"/>
          <w:color w:val="000000" w:themeColor="text1"/>
        </w:rPr>
        <w:t>Przycisk umożliwiający podgląd danych wybranego użytkownika;</w:t>
      </w:r>
    </w:p>
    <w:p w:rsidR="002C54E6" w:rsidRDefault="00D752E7">
      <w:pPr>
        <w:pStyle w:val="Akapitzlist"/>
        <w:numPr>
          <w:ilvl w:val="0"/>
          <w:numId w:val="9"/>
        </w:numPr>
        <w:spacing w:after="0" w:line="240" w:lineRule="auto"/>
        <w:jc w:val="both"/>
        <w:rPr>
          <w:rFonts w:ascii="Times New Roman" w:hAnsi="Times New Roman" w:cs="Times New Roman"/>
          <w:color w:val="000000" w:themeColor="text1"/>
        </w:rPr>
      </w:pPr>
      <w:r>
        <w:rPr>
          <w:rFonts w:ascii="Times New Roman" w:hAnsi="Times New Roman" w:cs="Times New Roman"/>
          <w:color w:val="000000" w:themeColor="text1"/>
        </w:rPr>
        <w:t>Przycisk umożliwiający edycję danych wybranego użytkownika;</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Moduł posiada również funkcję filtrowania użytkowników, dodanie nowego użytkownika a także eksport użytkowników.</w:t>
      </w:r>
    </w:p>
    <w:p w:rsidR="002C54E6" w:rsidRDefault="00D752E7">
      <w:pPr>
        <w:pStyle w:val="Legenda"/>
        <w:keepNext/>
        <w:spacing w:after="0" w:line="360" w:lineRule="auto"/>
        <w:jc w:val="both"/>
      </w:pPr>
      <w:r>
        <w:rPr>
          <w:rFonts w:ascii="Times New Roman" w:hAnsi="Times New Roman" w:cs="Times New Roman"/>
          <w:color w:val="000000" w:themeColor="text1"/>
        </w:rPr>
        <w:t xml:space="preserve">Rysunek </w:t>
      </w:r>
      <w:r>
        <w:rPr>
          <w:rFonts w:ascii="Times New Roman" w:hAnsi="Times New Roman" w:cs="Times New Roman"/>
          <w:color w:val="000000" w:themeColor="text1"/>
        </w:rPr>
        <w:fldChar w:fldCharType="begin"/>
      </w:r>
      <w:r>
        <w:instrText>SEQ Rysunek \* ARABIC</w:instrText>
      </w:r>
      <w:r>
        <w:fldChar w:fldCharType="separate"/>
      </w:r>
      <w:r>
        <w:t>7</w:t>
      </w:r>
      <w:r>
        <w:fldChar w:fldCharType="end"/>
      </w:r>
      <w:r>
        <w:rPr>
          <w:rFonts w:ascii="Times New Roman" w:hAnsi="Times New Roman" w:cs="Times New Roman"/>
          <w:color w:val="000000" w:themeColor="text1"/>
        </w:rPr>
        <w:t xml:space="preserve"> Dodawanie użytkownika przez administratora</w:t>
      </w:r>
    </w:p>
    <w:p w:rsidR="002C54E6" w:rsidRDefault="00D752E7">
      <w:pPr>
        <w:spacing w:line="360" w:lineRule="auto"/>
        <w:ind w:left="708"/>
        <w:jc w:val="both"/>
        <w:rPr>
          <w:rFonts w:cs="Times New Roman"/>
          <w:color w:val="000000" w:themeColor="text1"/>
        </w:rPr>
      </w:pPr>
      <w:r>
        <w:rPr>
          <w:noProof/>
          <w:lang w:eastAsia="pl-PL" w:bidi="ar-SA"/>
        </w:rPr>
        <w:drawing>
          <wp:inline distT="0" distB="0" distL="0" distR="0" wp14:anchorId="7B0F0D7D" wp14:editId="0B856E3F">
            <wp:extent cx="5765800" cy="2197100"/>
            <wp:effectExtent l="0" t="0" r="0" b="0"/>
            <wp:docPr id="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1"/>
                    <pic:cNvPicPr>
                      <a:picLocks noChangeAspect="1" noChangeArrowheads="1"/>
                    </pic:cNvPicPr>
                  </pic:nvPicPr>
                  <pic:blipFill>
                    <a:blip r:embed="rId19"/>
                    <a:stretch>
                      <a:fillRect/>
                    </a:stretch>
                  </pic:blipFill>
                  <pic:spPr bwMode="auto">
                    <a:xfrm>
                      <a:off x="0" y="0"/>
                      <a:ext cx="5765800" cy="2197100"/>
                    </a:xfrm>
                    <a:prstGeom prst="rect">
                      <a:avLst/>
                    </a:prstGeom>
                  </pic:spPr>
                </pic:pic>
              </a:graphicData>
            </a:graphic>
          </wp:inline>
        </w:drawing>
      </w:r>
    </w:p>
    <w:p w:rsidR="002C54E6" w:rsidRDefault="00D752E7">
      <w:pPr>
        <w:spacing w:line="240" w:lineRule="auto"/>
        <w:jc w:val="both"/>
        <w:rPr>
          <w:rFonts w:cs="Times New Roman"/>
          <w:b/>
          <w:color w:val="000000" w:themeColor="text1"/>
        </w:rPr>
      </w:pPr>
      <w:r>
        <w:rPr>
          <w:rFonts w:cs="Times New Roman"/>
          <w:b/>
          <w:color w:val="000000" w:themeColor="text1"/>
        </w:rPr>
        <w:t>- Dodanie możliwości zatwierdzania i danych.</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Użytkownik po wejściu w dany formularz widzi znak X przy danych, które nie zostały zatwierdzone.</w:t>
      </w:r>
    </w:p>
    <w:p w:rsidR="002C54E6" w:rsidRDefault="00D752E7">
      <w:pPr>
        <w:pStyle w:val="Akapitzlist"/>
        <w:spacing w:after="0" w:line="240" w:lineRule="auto"/>
        <w:jc w:val="both"/>
        <w:rPr>
          <w:rFonts w:ascii="Times New Roman" w:hAnsi="Times New Roman" w:cs="Times New Roman"/>
          <w:color w:val="000000" w:themeColor="text1"/>
        </w:rPr>
      </w:pPr>
      <w:r>
        <w:rPr>
          <w:noProof/>
          <w:lang w:eastAsia="pl-PL"/>
        </w:rPr>
        <w:drawing>
          <wp:inline distT="0" distB="0" distL="0" distR="0" wp14:anchorId="18E327DA" wp14:editId="5D7C9C2D">
            <wp:extent cx="5760720" cy="297815"/>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10"/>
                    <pic:cNvPicPr>
                      <a:picLocks noChangeAspect="1" noChangeArrowheads="1"/>
                    </pic:cNvPicPr>
                  </pic:nvPicPr>
                  <pic:blipFill>
                    <a:blip r:embed="rId20"/>
                    <a:stretch>
                      <a:fillRect/>
                    </a:stretch>
                  </pic:blipFill>
                  <pic:spPr bwMode="auto">
                    <a:xfrm>
                      <a:off x="0" y="0"/>
                      <a:ext cx="5760720" cy="297815"/>
                    </a:xfrm>
                    <a:prstGeom prst="rect">
                      <a:avLst/>
                    </a:prstGeom>
                  </pic:spPr>
                </pic:pic>
              </a:graphicData>
            </a:graphic>
          </wp:inline>
        </w:drawing>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Aby dokonać zatwierdzenia należy zaznaczyć checkbox przy wybranych wskaźniku i wcisnąć przycisk, który potwierdzi poprawność danych.</w:t>
      </w:r>
    </w:p>
    <w:p w:rsidR="002C54E6" w:rsidRDefault="00D752E7">
      <w:pPr>
        <w:pStyle w:val="Akapitzlist"/>
        <w:spacing w:after="0" w:line="240" w:lineRule="auto"/>
        <w:jc w:val="both"/>
        <w:rPr>
          <w:rFonts w:ascii="Times New Roman" w:hAnsi="Times New Roman" w:cs="Times New Roman"/>
          <w:color w:val="000000" w:themeColor="text1"/>
        </w:rPr>
      </w:pPr>
      <w:r>
        <w:rPr>
          <w:noProof/>
          <w:lang w:eastAsia="pl-PL"/>
        </w:rPr>
        <w:drawing>
          <wp:inline distT="0" distB="0" distL="0" distR="0" wp14:anchorId="10805D37" wp14:editId="2784CBEB">
            <wp:extent cx="5760720" cy="453390"/>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pic:cNvPicPr>
                      <a:picLocks noChangeAspect="1" noChangeArrowheads="1"/>
                    </pic:cNvPicPr>
                  </pic:nvPicPr>
                  <pic:blipFill>
                    <a:blip r:embed="rId21"/>
                    <a:stretch>
                      <a:fillRect/>
                    </a:stretch>
                  </pic:blipFill>
                  <pic:spPr bwMode="auto">
                    <a:xfrm>
                      <a:off x="0" y="0"/>
                      <a:ext cx="5760720" cy="453390"/>
                    </a:xfrm>
                    <a:prstGeom prst="rect">
                      <a:avLst/>
                    </a:prstGeom>
                  </pic:spPr>
                </pic:pic>
              </a:graphicData>
            </a:graphic>
          </wp:inline>
        </w:drawing>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Zatwierdzone dane posiadają zielony znak przy wartości wskaźnika.</w:t>
      </w:r>
    </w:p>
    <w:p w:rsidR="002C54E6" w:rsidRDefault="00D752E7">
      <w:pPr>
        <w:pStyle w:val="Akapitzlist"/>
        <w:spacing w:after="0" w:line="240" w:lineRule="auto"/>
        <w:jc w:val="both"/>
        <w:rPr>
          <w:rFonts w:ascii="Times New Roman" w:hAnsi="Times New Roman" w:cs="Times New Roman"/>
          <w:color w:val="000000" w:themeColor="text1"/>
        </w:rPr>
      </w:pPr>
      <w:r>
        <w:rPr>
          <w:noProof/>
          <w:lang w:eastAsia="pl-PL"/>
        </w:rPr>
        <w:drawing>
          <wp:inline distT="0" distB="0" distL="0" distR="0" wp14:anchorId="2C8FAE0B" wp14:editId="1F14B444">
            <wp:extent cx="5760720" cy="49911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2"/>
                    <pic:cNvPicPr>
                      <a:picLocks noChangeAspect="1" noChangeArrowheads="1"/>
                    </pic:cNvPicPr>
                  </pic:nvPicPr>
                  <pic:blipFill>
                    <a:blip r:embed="rId22"/>
                    <a:stretch>
                      <a:fillRect/>
                    </a:stretch>
                  </pic:blipFill>
                  <pic:spPr bwMode="auto">
                    <a:xfrm>
                      <a:off x="0" y="0"/>
                      <a:ext cx="5760720" cy="499110"/>
                    </a:xfrm>
                    <a:prstGeom prst="rect">
                      <a:avLst/>
                    </a:prstGeom>
                  </pic:spPr>
                </pic:pic>
              </a:graphicData>
            </a:graphic>
          </wp:inline>
        </w:drawing>
      </w:r>
    </w:p>
    <w:p w:rsidR="002C54E6" w:rsidRDefault="00D752E7">
      <w:pPr>
        <w:spacing w:line="240" w:lineRule="auto"/>
        <w:jc w:val="both"/>
        <w:rPr>
          <w:rFonts w:cs="Times New Roman"/>
          <w:b/>
          <w:color w:val="000000" w:themeColor="text1"/>
        </w:rPr>
      </w:pPr>
      <w:r>
        <w:rPr>
          <w:rFonts w:cs="Times New Roman"/>
          <w:b/>
          <w:color w:val="000000" w:themeColor="text1"/>
        </w:rPr>
        <w:t>- Dodanie metainformacji dla zmiennych.</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lastRenderedPageBreak/>
        <w:t>Metainformacje prezentowane są w formie metryczek. Aby wyświetlić metryczkę należy nacisnąć ikonę przy wskaźniku.</w:t>
      </w:r>
    </w:p>
    <w:p w:rsidR="002C54E6" w:rsidRDefault="00D752E7">
      <w:pPr>
        <w:pStyle w:val="Akapitzlist"/>
        <w:spacing w:after="0" w:line="360" w:lineRule="auto"/>
        <w:jc w:val="both"/>
        <w:rPr>
          <w:rFonts w:ascii="Times New Roman" w:hAnsi="Times New Roman" w:cs="Times New Roman"/>
          <w:color w:val="000000" w:themeColor="text1"/>
        </w:rPr>
      </w:pPr>
      <w:r>
        <w:rPr>
          <w:noProof/>
          <w:lang w:eastAsia="pl-PL"/>
        </w:rPr>
        <w:drawing>
          <wp:inline distT="0" distB="0" distL="0" distR="0" wp14:anchorId="78544720" wp14:editId="5439A031">
            <wp:extent cx="5760720" cy="160718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az 13"/>
                    <pic:cNvPicPr>
                      <a:picLocks noChangeAspect="1" noChangeArrowheads="1"/>
                    </pic:cNvPicPr>
                  </pic:nvPicPr>
                  <pic:blipFill>
                    <a:blip r:embed="rId23"/>
                    <a:stretch>
                      <a:fillRect/>
                    </a:stretch>
                  </pic:blipFill>
                  <pic:spPr bwMode="auto">
                    <a:xfrm>
                      <a:off x="0" y="0"/>
                      <a:ext cx="5760720" cy="1607185"/>
                    </a:xfrm>
                    <a:prstGeom prst="rect">
                      <a:avLst/>
                    </a:prstGeom>
                  </pic:spPr>
                </pic:pic>
              </a:graphicData>
            </a:graphic>
          </wp:inline>
        </w:drawing>
      </w:r>
    </w:p>
    <w:p w:rsidR="002C54E6" w:rsidRDefault="00D752E7">
      <w:pPr>
        <w:spacing w:line="360" w:lineRule="auto"/>
        <w:jc w:val="both"/>
        <w:rPr>
          <w:rFonts w:cs="Times New Roman"/>
          <w:color w:val="000000" w:themeColor="text1"/>
          <w:sz w:val="22"/>
          <w:szCs w:val="22"/>
        </w:rPr>
      </w:pPr>
      <w:r>
        <w:rPr>
          <w:rFonts w:cs="Times New Roman"/>
          <w:color w:val="000000" w:themeColor="text1"/>
          <w:sz w:val="22"/>
          <w:szCs w:val="22"/>
        </w:rPr>
        <w:t>Kliknięcie ikony powoduje pojawienie się metryczki ze wskazanymi meta informacjami.</w:t>
      </w:r>
    </w:p>
    <w:p w:rsidR="002C54E6" w:rsidRDefault="002C54E6">
      <w:pPr>
        <w:spacing w:line="360" w:lineRule="auto"/>
        <w:jc w:val="both"/>
        <w:rPr>
          <w:rFonts w:cs="Times New Roman"/>
          <w:color w:val="000000" w:themeColor="text1"/>
        </w:rPr>
      </w:pPr>
    </w:p>
    <w:p w:rsidR="002C54E6" w:rsidRDefault="00D752E7">
      <w:pPr>
        <w:pStyle w:val="Akapitzlist"/>
        <w:spacing w:after="0" w:line="360" w:lineRule="auto"/>
        <w:jc w:val="both"/>
        <w:rPr>
          <w:rFonts w:ascii="Times New Roman" w:hAnsi="Times New Roman" w:cs="Times New Roman"/>
          <w:color w:val="000000" w:themeColor="text1"/>
        </w:rPr>
      </w:pPr>
      <w:r>
        <w:rPr>
          <w:noProof/>
          <w:lang w:eastAsia="pl-PL"/>
        </w:rPr>
        <w:drawing>
          <wp:inline distT="0" distB="0" distL="0" distR="0" wp14:anchorId="41C36486" wp14:editId="7FF431A8">
            <wp:extent cx="5760720" cy="1252220"/>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4"/>
                    <pic:cNvPicPr>
                      <a:picLocks noChangeAspect="1" noChangeArrowheads="1"/>
                    </pic:cNvPicPr>
                  </pic:nvPicPr>
                  <pic:blipFill>
                    <a:blip r:embed="rId24"/>
                    <a:stretch>
                      <a:fillRect/>
                    </a:stretch>
                  </pic:blipFill>
                  <pic:spPr bwMode="auto">
                    <a:xfrm>
                      <a:off x="0" y="0"/>
                      <a:ext cx="5760720" cy="1252220"/>
                    </a:xfrm>
                    <a:prstGeom prst="rect">
                      <a:avLst/>
                    </a:prstGeom>
                  </pic:spPr>
                </pic:pic>
              </a:graphicData>
            </a:graphic>
          </wp:inline>
        </w:drawing>
      </w:r>
    </w:p>
    <w:p w:rsidR="002C54E6" w:rsidRDefault="002C54E6">
      <w:pPr>
        <w:spacing w:line="360" w:lineRule="auto"/>
        <w:jc w:val="both"/>
        <w:rPr>
          <w:rFonts w:cs="Times New Roman"/>
          <w:b/>
          <w:color w:val="000000" w:themeColor="text1"/>
        </w:rPr>
      </w:pPr>
    </w:p>
    <w:p w:rsidR="002C54E6" w:rsidRDefault="00D752E7">
      <w:pPr>
        <w:spacing w:line="240" w:lineRule="auto"/>
        <w:jc w:val="both"/>
        <w:rPr>
          <w:rFonts w:cs="Times New Roman"/>
          <w:b/>
          <w:color w:val="000000" w:themeColor="text1"/>
        </w:rPr>
      </w:pPr>
      <w:r>
        <w:rPr>
          <w:rFonts w:cs="Times New Roman"/>
          <w:b/>
          <w:color w:val="000000" w:themeColor="text1"/>
        </w:rPr>
        <w:t>- Wizualizacja paneli jednostek nadrzędnych</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 xml:space="preserve">W Demonstratorze Aplikacji dla GiP umieszczone zostały widoki paneli dedykowane jednostkom nadrzędnym. Zaproponowane rozwiązanie graficzne pokazuje w jaki sposób mógłby wyglądać system zarządzania danymi, dzięki któremu możliwa będzie m.in. kontrola terminowości i kompletności przesyłanych formularzy w danej jednostce.  </w:t>
      </w:r>
    </w:p>
    <w:p w:rsidR="002C54E6" w:rsidRDefault="002C54E6">
      <w:pPr>
        <w:spacing w:line="240" w:lineRule="auto"/>
        <w:jc w:val="both"/>
        <w:rPr>
          <w:rFonts w:cs="Times New Roman"/>
          <w:b/>
          <w:color w:val="000000" w:themeColor="text1"/>
          <w:sz w:val="22"/>
          <w:szCs w:val="22"/>
        </w:rPr>
      </w:pPr>
    </w:p>
    <w:p w:rsidR="002C54E6" w:rsidRDefault="00D752E7">
      <w:pPr>
        <w:spacing w:line="240" w:lineRule="auto"/>
        <w:jc w:val="both"/>
        <w:rPr>
          <w:rFonts w:cs="Times New Roman"/>
          <w:b/>
          <w:color w:val="000000" w:themeColor="text1"/>
          <w:sz w:val="22"/>
          <w:szCs w:val="22"/>
        </w:rPr>
      </w:pPr>
      <w:r>
        <w:rPr>
          <w:noProof/>
          <w:lang w:eastAsia="pl-PL" w:bidi="ar-SA"/>
        </w:rPr>
        <w:drawing>
          <wp:inline distT="0" distB="0" distL="0" distR="0" wp14:anchorId="5621F716" wp14:editId="7010E6F9">
            <wp:extent cx="2266950" cy="1019175"/>
            <wp:effectExtent l="0" t="0" r="0" b="0"/>
            <wp:docPr id="15"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az 24"/>
                    <pic:cNvPicPr>
                      <a:picLocks noChangeAspect="1" noChangeArrowheads="1"/>
                    </pic:cNvPicPr>
                  </pic:nvPicPr>
                  <pic:blipFill>
                    <a:blip r:embed="rId25"/>
                    <a:stretch>
                      <a:fillRect/>
                    </a:stretch>
                  </pic:blipFill>
                  <pic:spPr bwMode="auto">
                    <a:xfrm>
                      <a:off x="0" y="0"/>
                      <a:ext cx="2266950" cy="1019175"/>
                    </a:xfrm>
                    <a:prstGeom prst="rect">
                      <a:avLst/>
                    </a:prstGeom>
                  </pic:spPr>
                </pic:pic>
              </a:graphicData>
            </a:graphic>
          </wp:inline>
        </w:drawing>
      </w:r>
    </w:p>
    <w:p w:rsidR="002C54E6" w:rsidRDefault="002C54E6">
      <w:pPr>
        <w:spacing w:line="240" w:lineRule="auto"/>
        <w:jc w:val="both"/>
        <w:rPr>
          <w:rFonts w:cs="Times New Roman"/>
          <w:b/>
          <w:color w:val="000000" w:themeColor="text1"/>
          <w:sz w:val="22"/>
          <w:szCs w:val="22"/>
        </w:rPr>
      </w:pPr>
    </w:p>
    <w:p w:rsidR="002C54E6" w:rsidRDefault="002C54E6">
      <w:pPr>
        <w:spacing w:line="240" w:lineRule="auto"/>
        <w:jc w:val="both"/>
        <w:rPr>
          <w:rFonts w:cs="Times New Roman"/>
          <w:b/>
          <w:color w:val="000000" w:themeColor="text1"/>
          <w:sz w:val="22"/>
          <w:szCs w:val="22"/>
        </w:rPr>
      </w:pPr>
    </w:p>
    <w:p w:rsidR="002C54E6" w:rsidRDefault="00D752E7">
      <w:pPr>
        <w:spacing w:line="240" w:lineRule="auto"/>
        <w:jc w:val="both"/>
        <w:rPr>
          <w:rFonts w:cs="Times New Roman"/>
          <w:b/>
          <w:color w:val="000000" w:themeColor="text1"/>
          <w:lang w:eastAsia="pl-PL" w:bidi="ar-SA"/>
        </w:rPr>
      </w:pPr>
      <w:r>
        <w:rPr>
          <w:rFonts w:cs="Times New Roman"/>
          <w:b/>
          <w:color w:val="000000" w:themeColor="text1"/>
          <w:sz w:val="22"/>
          <w:szCs w:val="22"/>
        </w:rPr>
        <w:t>Panel jednostki nadrzędnej:</w:t>
      </w:r>
      <w:r>
        <w:rPr>
          <w:rFonts w:cs="Times New Roman"/>
          <w:b/>
          <w:color w:val="000000" w:themeColor="text1"/>
          <w:lang w:eastAsia="pl-PL" w:bidi="ar-SA"/>
        </w:rPr>
        <w:t xml:space="preserve"> </w:t>
      </w:r>
    </w:p>
    <w:p w:rsidR="002C54E6" w:rsidRDefault="00D752E7">
      <w:pPr>
        <w:spacing w:line="240" w:lineRule="auto"/>
        <w:jc w:val="both"/>
        <w:rPr>
          <w:sz w:val="22"/>
          <w:szCs w:val="22"/>
        </w:rPr>
      </w:pPr>
      <w:r>
        <w:rPr>
          <w:rFonts w:cs="Times New Roman"/>
          <w:color w:val="000000" w:themeColor="text1"/>
          <w:sz w:val="22"/>
          <w:szCs w:val="22"/>
        </w:rPr>
        <w:t>- % realizacji formularzy w powiecie (formularze, wypełnione, nie wypełnione, w trakcie wypełniania, zatwierdzone, przekazane)</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 wizualizacja na wykresie i mapie – możliwość pobrania</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 lista formularzy – status formularza, data przesłania</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 możliwość wygenerowania monitów</w:t>
      </w:r>
    </w:p>
    <w:p w:rsidR="002C54E6" w:rsidRDefault="00D752E7">
      <w:pPr>
        <w:spacing w:line="240" w:lineRule="auto"/>
        <w:jc w:val="both"/>
        <w:rPr>
          <w:rFonts w:cs="Times New Roman"/>
          <w:b/>
          <w:color w:val="000000" w:themeColor="text1"/>
          <w:sz w:val="22"/>
          <w:szCs w:val="22"/>
        </w:rPr>
      </w:pPr>
      <w:r>
        <w:rPr>
          <w:rFonts w:cs="Times New Roman"/>
          <w:b/>
          <w:color w:val="000000" w:themeColor="text1"/>
          <w:sz w:val="22"/>
          <w:szCs w:val="22"/>
        </w:rPr>
        <w:t xml:space="preserve">Panel Urzędu Centralnego –  przykładowy dział  - Drogownictwo i transport: </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 % realizacji formularzy w województwach (formularze, wypełnione, nie wypełnione, w trakcie wypełniania, zatwierdzone, przekazane)</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 wizualizacja na wykresie i mapie – możliwość pobrania</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 lista formularzy – data przesłania, szczegóły</w:t>
      </w:r>
    </w:p>
    <w:p w:rsidR="002C54E6" w:rsidRDefault="00D752E7">
      <w:pPr>
        <w:spacing w:line="240" w:lineRule="auto"/>
        <w:jc w:val="both"/>
        <w:rPr>
          <w:rFonts w:cs="Times New Roman"/>
          <w:b/>
          <w:color w:val="000000" w:themeColor="text1"/>
          <w:sz w:val="22"/>
          <w:szCs w:val="22"/>
        </w:rPr>
      </w:pPr>
      <w:r>
        <w:rPr>
          <w:rFonts w:cs="Times New Roman"/>
          <w:b/>
          <w:color w:val="000000" w:themeColor="text1"/>
          <w:sz w:val="22"/>
          <w:szCs w:val="22"/>
        </w:rPr>
        <w:t>Panel Wójta/Starosty:</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 % realizacji formularzy w wybranej jednostce i obszarze (formularze, wypełnione, nie wypełnione, w trakcie wypełniania, zatwierdzone, przekazane)</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lastRenderedPageBreak/>
        <w:t>- lista formularzy – symbol, nazwa, status wypełnienia, komórka odpowiedzialna, data przesłania, należy przesłać do, ilość dni do przesłania</w:t>
      </w:r>
    </w:p>
    <w:p w:rsidR="002C54E6" w:rsidRDefault="00D752E7">
      <w:pPr>
        <w:spacing w:line="240" w:lineRule="auto"/>
        <w:jc w:val="both"/>
        <w:rPr>
          <w:rFonts w:cs="Times New Roman"/>
          <w:color w:val="000000" w:themeColor="text1"/>
          <w:sz w:val="22"/>
          <w:szCs w:val="22"/>
        </w:rPr>
      </w:pPr>
      <w:r>
        <w:rPr>
          <w:rFonts w:cs="Times New Roman"/>
          <w:color w:val="000000" w:themeColor="text1"/>
          <w:sz w:val="22"/>
          <w:szCs w:val="22"/>
        </w:rPr>
        <w:t>- status terminowości – oznaczenia kolorystyczne (więcej niż 2 tygodnie przed terminem – zielone, mniej niż 2 tygodnie  przed terminem – pomarańczowe,  po terminie (niezrealizowane) – czerwone, po terminie (złożone) – szare).</w:t>
      </w:r>
    </w:p>
    <w:p w:rsidR="002C54E6" w:rsidRDefault="002C54E6">
      <w:pPr>
        <w:spacing w:line="240" w:lineRule="auto"/>
        <w:jc w:val="both"/>
        <w:rPr>
          <w:rFonts w:cs="Times New Roman"/>
          <w:color w:val="000000" w:themeColor="text1"/>
          <w:sz w:val="22"/>
          <w:szCs w:val="22"/>
        </w:rPr>
      </w:pPr>
    </w:p>
    <w:p w:rsidR="002C54E6" w:rsidRDefault="002C54E6">
      <w:pPr>
        <w:spacing w:line="360" w:lineRule="auto"/>
        <w:jc w:val="both"/>
        <w:rPr>
          <w:rFonts w:cs="Times New Roman"/>
          <w:b/>
          <w:color w:val="000000" w:themeColor="text1"/>
        </w:rPr>
      </w:pPr>
    </w:p>
    <w:p w:rsidR="002C54E6" w:rsidRDefault="002C54E6">
      <w:pPr>
        <w:spacing w:line="360" w:lineRule="auto"/>
        <w:jc w:val="both"/>
        <w:rPr>
          <w:rFonts w:cs="Times New Roman"/>
          <w:b/>
          <w:color w:val="000000" w:themeColor="text1"/>
        </w:rPr>
      </w:pPr>
    </w:p>
    <w:p w:rsidR="002C54E6" w:rsidRDefault="002C54E6">
      <w:pPr>
        <w:spacing w:line="360" w:lineRule="auto"/>
        <w:jc w:val="both"/>
        <w:rPr>
          <w:rFonts w:cs="Times New Roman"/>
          <w:b/>
          <w:color w:val="000000" w:themeColor="text1"/>
        </w:rPr>
      </w:pPr>
    </w:p>
    <w:p w:rsidR="002C54E6" w:rsidRDefault="002C54E6">
      <w:pPr>
        <w:spacing w:line="360" w:lineRule="auto"/>
        <w:jc w:val="both"/>
        <w:rPr>
          <w:rFonts w:cs="Times New Roman"/>
          <w:b/>
          <w:color w:val="000000" w:themeColor="text1"/>
        </w:rPr>
      </w:pPr>
    </w:p>
    <w:p w:rsidR="002C54E6" w:rsidRDefault="002C54E6">
      <w:pPr>
        <w:spacing w:line="360" w:lineRule="auto"/>
        <w:jc w:val="both"/>
        <w:rPr>
          <w:rFonts w:cs="Times New Roman"/>
          <w:b/>
          <w:color w:val="000000" w:themeColor="text1"/>
        </w:rPr>
      </w:pPr>
    </w:p>
    <w:p w:rsidR="002C54E6" w:rsidRDefault="002C54E6">
      <w:pPr>
        <w:spacing w:line="360" w:lineRule="auto"/>
        <w:jc w:val="both"/>
        <w:rPr>
          <w:rFonts w:cs="Times New Roman"/>
          <w:b/>
          <w:color w:val="000000" w:themeColor="text1"/>
        </w:rPr>
      </w:pPr>
    </w:p>
    <w:p w:rsidR="002C54E6" w:rsidRDefault="002C54E6">
      <w:pPr>
        <w:spacing w:line="360" w:lineRule="auto"/>
        <w:jc w:val="both"/>
        <w:rPr>
          <w:rFonts w:cs="Times New Roman"/>
          <w:b/>
          <w:color w:val="000000" w:themeColor="text1"/>
        </w:rPr>
      </w:pPr>
    </w:p>
    <w:p w:rsidR="002C54E6" w:rsidRDefault="002C54E6">
      <w:pPr>
        <w:spacing w:line="360" w:lineRule="auto"/>
        <w:jc w:val="both"/>
        <w:rPr>
          <w:rFonts w:cs="Times New Roman"/>
          <w:b/>
          <w:color w:val="000000" w:themeColor="text1"/>
        </w:rPr>
      </w:pPr>
    </w:p>
    <w:p w:rsidR="002C54E6" w:rsidRDefault="002C54E6">
      <w:pPr>
        <w:spacing w:line="360" w:lineRule="auto"/>
        <w:jc w:val="both"/>
        <w:rPr>
          <w:rFonts w:cs="Times New Roman"/>
          <w:b/>
          <w:color w:val="000000" w:themeColor="text1"/>
        </w:rPr>
      </w:pPr>
    </w:p>
    <w:p w:rsidR="002C54E6" w:rsidRDefault="002C54E6">
      <w:pPr>
        <w:spacing w:line="360" w:lineRule="auto"/>
        <w:jc w:val="both"/>
        <w:rPr>
          <w:rFonts w:cs="Times New Roman"/>
          <w:b/>
          <w:color w:val="000000" w:themeColor="text1"/>
        </w:rPr>
      </w:pPr>
    </w:p>
    <w:p w:rsidR="002C54E6" w:rsidRDefault="002C54E6">
      <w:pPr>
        <w:spacing w:line="360" w:lineRule="auto"/>
        <w:jc w:val="both"/>
        <w:rPr>
          <w:rFonts w:cs="Times New Roman"/>
          <w:b/>
          <w:color w:val="000000" w:themeColor="text1"/>
        </w:rPr>
      </w:pPr>
    </w:p>
    <w:p w:rsidR="002C54E6" w:rsidRDefault="002C54E6">
      <w:pPr>
        <w:spacing w:line="360" w:lineRule="auto"/>
        <w:jc w:val="both"/>
        <w:rPr>
          <w:rFonts w:cs="Times New Roman"/>
          <w:b/>
          <w:color w:val="000000" w:themeColor="text1"/>
        </w:rPr>
      </w:pPr>
    </w:p>
    <w:p w:rsidR="002C54E6" w:rsidRDefault="002C54E6">
      <w:pPr>
        <w:spacing w:line="360" w:lineRule="auto"/>
        <w:jc w:val="both"/>
        <w:rPr>
          <w:rFonts w:cs="Times New Roman"/>
          <w:b/>
          <w:color w:val="000000" w:themeColor="text1"/>
        </w:rPr>
      </w:pPr>
    </w:p>
    <w:p w:rsidR="002C54E6" w:rsidRDefault="00D752E7">
      <w:pPr>
        <w:pStyle w:val="Akapitzlist"/>
        <w:spacing w:after="0" w:line="360" w:lineRule="auto"/>
        <w:ind w:left="0"/>
        <w:jc w:val="both"/>
        <w:rPr>
          <w:rFonts w:ascii="Times New Roman" w:hAnsi="Times New Roman" w:cs="Times New Roman"/>
          <w:b/>
          <w:color w:val="000000" w:themeColor="text1"/>
        </w:rPr>
      </w:pPr>
      <w:r>
        <w:rPr>
          <w:rFonts w:ascii="Times New Roman" w:hAnsi="Times New Roman" w:cs="Times New Roman"/>
          <w:b/>
          <w:color w:val="000000" w:themeColor="text1"/>
        </w:rPr>
        <w:t>Panel jednostki nadrzędnej</w:t>
      </w:r>
    </w:p>
    <w:p w:rsidR="002C54E6" w:rsidRDefault="00D752E7">
      <w:pPr>
        <w:pStyle w:val="Akapitzlist"/>
        <w:spacing w:after="0" w:line="360" w:lineRule="auto"/>
        <w:ind w:left="0"/>
        <w:jc w:val="both"/>
        <w:rPr>
          <w:rFonts w:ascii="Times New Roman" w:hAnsi="Times New Roman" w:cs="Times New Roman"/>
          <w:b/>
          <w:color w:val="000000" w:themeColor="text1"/>
        </w:rPr>
      </w:pPr>
      <w:r>
        <w:rPr>
          <w:noProof/>
          <w:lang w:eastAsia="pl-PL"/>
        </w:rPr>
        <w:drawing>
          <wp:inline distT="0" distB="0" distL="0" distR="0" wp14:anchorId="5379D272" wp14:editId="038B4027">
            <wp:extent cx="5575300" cy="2962910"/>
            <wp:effectExtent l="0" t="0" r="0" b="0"/>
            <wp:docPr id="16"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az 15"/>
                    <pic:cNvPicPr>
                      <a:picLocks noChangeAspect="1" noChangeArrowheads="1"/>
                    </pic:cNvPicPr>
                  </pic:nvPicPr>
                  <pic:blipFill>
                    <a:blip r:embed="rId26"/>
                    <a:stretch>
                      <a:fillRect/>
                    </a:stretch>
                  </pic:blipFill>
                  <pic:spPr bwMode="auto">
                    <a:xfrm>
                      <a:off x="0" y="0"/>
                      <a:ext cx="5575300" cy="2962910"/>
                    </a:xfrm>
                    <a:prstGeom prst="rect">
                      <a:avLst/>
                    </a:prstGeom>
                  </pic:spPr>
                </pic:pic>
              </a:graphicData>
            </a:graphic>
          </wp:inline>
        </w:drawing>
      </w:r>
    </w:p>
    <w:p w:rsidR="002C54E6" w:rsidRDefault="00D752E7">
      <w:pPr>
        <w:pStyle w:val="Akapitzlist"/>
        <w:spacing w:after="0" w:line="360" w:lineRule="auto"/>
        <w:ind w:left="708" w:firstLine="708"/>
        <w:jc w:val="both"/>
        <w:rPr>
          <w:rFonts w:ascii="Times New Roman" w:hAnsi="Times New Roman" w:cs="Times New Roman"/>
          <w:b/>
          <w:color w:val="000000" w:themeColor="text1"/>
        </w:rPr>
      </w:pPr>
      <w:r>
        <w:rPr>
          <w:noProof/>
          <w:lang w:eastAsia="pl-PL"/>
        </w:rPr>
        <w:lastRenderedPageBreak/>
        <w:drawing>
          <wp:inline distT="0" distB="0" distL="0" distR="0" wp14:anchorId="1028B864" wp14:editId="05368BDB">
            <wp:extent cx="4641850" cy="2665730"/>
            <wp:effectExtent l="0" t="0" r="0" b="0"/>
            <wp:docPr id="17"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az 16"/>
                    <pic:cNvPicPr>
                      <a:picLocks noChangeAspect="1" noChangeArrowheads="1"/>
                    </pic:cNvPicPr>
                  </pic:nvPicPr>
                  <pic:blipFill>
                    <a:blip r:embed="rId27"/>
                    <a:stretch>
                      <a:fillRect/>
                    </a:stretch>
                  </pic:blipFill>
                  <pic:spPr bwMode="auto">
                    <a:xfrm>
                      <a:off x="0" y="0"/>
                      <a:ext cx="4641850" cy="2665730"/>
                    </a:xfrm>
                    <a:prstGeom prst="rect">
                      <a:avLst/>
                    </a:prstGeom>
                  </pic:spPr>
                </pic:pic>
              </a:graphicData>
            </a:graphic>
          </wp:inline>
        </w:drawing>
      </w:r>
    </w:p>
    <w:p w:rsidR="002C54E6" w:rsidRDefault="00D752E7">
      <w:pPr>
        <w:pStyle w:val="Akapitzlist"/>
        <w:spacing w:after="0" w:line="360" w:lineRule="auto"/>
        <w:ind w:left="708" w:firstLine="708"/>
        <w:jc w:val="both"/>
        <w:rPr>
          <w:rFonts w:ascii="Times New Roman" w:hAnsi="Times New Roman" w:cs="Times New Roman"/>
          <w:b/>
          <w:color w:val="000000" w:themeColor="text1"/>
        </w:rPr>
      </w:pPr>
      <w:r>
        <w:rPr>
          <w:noProof/>
          <w:lang w:eastAsia="pl-PL"/>
        </w:rPr>
        <w:drawing>
          <wp:inline distT="0" distB="0" distL="0" distR="0" wp14:anchorId="189FF487" wp14:editId="4B7499B6">
            <wp:extent cx="4622800" cy="2048510"/>
            <wp:effectExtent l="0" t="0" r="0" b="0"/>
            <wp:docPr id="18"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braz 17"/>
                    <pic:cNvPicPr>
                      <a:picLocks noChangeAspect="1" noChangeArrowheads="1"/>
                    </pic:cNvPicPr>
                  </pic:nvPicPr>
                  <pic:blipFill>
                    <a:blip r:embed="rId28"/>
                    <a:stretch>
                      <a:fillRect/>
                    </a:stretch>
                  </pic:blipFill>
                  <pic:spPr bwMode="auto">
                    <a:xfrm>
                      <a:off x="0" y="0"/>
                      <a:ext cx="4622800" cy="2048510"/>
                    </a:xfrm>
                    <a:prstGeom prst="rect">
                      <a:avLst/>
                    </a:prstGeom>
                  </pic:spPr>
                </pic:pic>
              </a:graphicData>
            </a:graphic>
          </wp:inline>
        </w:drawing>
      </w:r>
    </w:p>
    <w:p w:rsidR="002C54E6" w:rsidRDefault="00D752E7">
      <w:pPr>
        <w:pStyle w:val="Akapitzlist"/>
        <w:spacing w:after="0" w:line="360" w:lineRule="auto"/>
        <w:ind w:left="1080"/>
        <w:jc w:val="both"/>
        <w:rPr>
          <w:rFonts w:ascii="Times New Roman" w:hAnsi="Times New Roman" w:cs="Times New Roman"/>
          <w:color w:val="000000" w:themeColor="text1"/>
        </w:rPr>
      </w:pPr>
      <w:r>
        <w:rPr>
          <w:rFonts w:ascii="Times New Roman" w:hAnsi="Times New Roman" w:cs="Times New Roman"/>
          <w:color w:val="000000" w:themeColor="text1"/>
        </w:rPr>
        <w:t xml:space="preserve"> </w:t>
      </w:r>
    </w:p>
    <w:p w:rsidR="002C54E6" w:rsidRDefault="002C54E6">
      <w:pPr>
        <w:spacing w:line="360" w:lineRule="auto"/>
        <w:jc w:val="both"/>
        <w:rPr>
          <w:rFonts w:cs="Times New Roman"/>
          <w:b/>
          <w:color w:val="000000" w:themeColor="text1"/>
        </w:rPr>
      </w:pPr>
    </w:p>
    <w:p w:rsidR="002C54E6" w:rsidRDefault="002C54E6">
      <w:pPr>
        <w:spacing w:line="360" w:lineRule="auto"/>
        <w:jc w:val="both"/>
        <w:rPr>
          <w:rFonts w:cs="Times New Roman"/>
          <w:b/>
          <w:color w:val="000000" w:themeColor="text1"/>
        </w:rPr>
      </w:pPr>
    </w:p>
    <w:p w:rsidR="002C54E6" w:rsidRPr="001229C8" w:rsidRDefault="00D752E7">
      <w:pPr>
        <w:spacing w:line="360" w:lineRule="auto"/>
        <w:jc w:val="both"/>
        <w:rPr>
          <w:rFonts w:cs="Times New Roman"/>
          <w:b/>
          <w:color w:val="000000" w:themeColor="text1"/>
          <w:sz w:val="22"/>
          <w:szCs w:val="22"/>
        </w:rPr>
      </w:pPr>
      <w:r w:rsidRPr="001229C8">
        <w:rPr>
          <w:rFonts w:cs="Times New Roman"/>
          <w:b/>
          <w:color w:val="000000" w:themeColor="text1"/>
          <w:sz w:val="22"/>
          <w:szCs w:val="22"/>
        </w:rPr>
        <w:t xml:space="preserve">Panel Urzędu Centralnego –  przykładowy dział  - Drogownictwo i transport </w:t>
      </w:r>
    </w:p>
    <w:p w:rsidR="002C54E6" w:rsidRDefault="00D752E7">
      <w:pPr>
        <w:spacing w:line="360" w:lineRule="auto"/>
        <w:jc w:val="both"/>
        <w:rPr>
          <w:rFonts w:cs="Times New Roman"/>
          <w:color w:val="000000" w:themeColor="text1"/>
        </w:rPr>
      </w:pPr>
      <w:r>
        <w:rPr>
          <w:noProof/>
          <w:lang w:eastAsia="pl-PL" w:bidi="ar-SA"/>
        </w:rPr>
        <w:lastRenderedPageBreak/>
        <w:drawing>
          <wp:inline distT="0" distB="0" distL="0" distR="0" wp14:anchorId="5339BD92" wp14:editId="692A7DCD">
            <wp:extent cx="5759450" cy="4070350"/>
            <wp:effectExtent l="0" t="0" r="0" b="0"/>
            <wp:docPr id="19"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Obraz 20"/>
                    <pic:cNvPicPr>
                      <a:picLocks noChangeAspect="1" noChangeArrowheads="1"/>
                    </pic:cNvPicPr>
                  </pic:nvPicPr>
                  <pic:blipFill>
                    <a:blip r:embed="rId29"/>
                    <a:stretch>
                      <a:fillRect/>
                    </a:stretch>
                  </pic:blipFill>
                  <pic:spPr bwMode="auto">
                    <a:xfrm>
                      <a:off x="0" y="0"/>
                      <a:ext cx="5759450" cy="4070350"/>
                    </a:xfrm>
                    <a:prstGeom prst="rect">
                      <a:avLst/>
                    </a:prstGeom>
                  </pic:spPr>
                </pic:pic>
              </a:graphicData>
            </a:graphic>
          </wp:inline>
        </w:drawing>
      </w:r>
    </w:p>
    <w:p w:rsidR="002C54E6" w:rsidRDefault="00D752E7">
      <w:pPr>
        <w:spacing w:line="360" w:lineRule="auto"/>
        <w:jc w:val="both"/>
        <w:rPr>
          <w:rFonts w:cs="Times New Roman"/>
          <w:color w:val="000000" w:themeColor="text1"/>
        </w:rPr>
      </w:pPr>
      <w:r>
        <w:rPr>
          <w:noProof/>
          <w:lang w:eastAsia="pl-PL" w:bidi="ar-SA"/>
        </w:rPr>
        <w:drawing>
          <wp:inline distT="0" distB="0" distL="0" distR="0" wp14:anchorId="1E2913AA" wp14:editId="28E433B5">
            <wp:extent cx="5719445" cy="3619500"/>
            <wp:effectExtent l="0" t="0" r="0" b="0"/>
            <wp:docPr id="20"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braz 21"/>
                    <pic:cNvPicPr>
                      <a:picLocks noChangeAspect="1" noChangeArrowheads="1"/>
                    </pic:cNvPicPr>
                  </pic:nvPicPr>
                  <pic:blipFill>
                    <a:blip r:embed="rId30"/>
                    <a:stretch>
                      <a:fillRect/>
                    </a:stretch>
                  </pic:blipFill>
                  <pic:spPr bwMode="auto">
                    <a:xfrm>
                      <a:off x="0" y="0"/>
                      <a:ext cx="5719445" cy="3619500"/>
                    </a:xfrm>
                    <a:prstGeom prst="rect">
                      <a:avLst/>
                    </a:prstGeom>
                  </pic:spPr>
                </pic:pic>
              </a:graphicData>
            </a:graphic>
          </wp:inline>
        </w:drawing>
      </w:r>
    </w:p>
    <w:p w:rsidR="002C54E6" w:rsidRDefault="002C54E6">
      <w:pPr>
        <w:spacing w:line="360" w:lineRule="auto"/>
        <w:jc w:val="both"/>
        <w:rPr>
          <w:rFonts w:cs="Times New Roman"/>
          <w:color w:val="000000" w:themeColor="text1"/>
        </w:rPr>
      </w:pPr>
    </w:p>
    <w:p w:rsidR="002C54E6" w:rsidRDefault="002C54E6">
      <w:pPr>
        <w:spacing w:line="360" w:lineRule="auto"/>
        <w:jc w:val="both"/>
        <w:rPr>
          <w:rFonts w:cs="Times New Roman"/>
          <w:color w:val="000000" w:themeColor="text1"/>
        </w:rPr>
      </w:pPr>
    </w:p>
    <w:p w:rsidR="001229C8" w:rsidRDefault="001229C8">
      <w:pPr>
        <w:spacing w:line="360" w:lineRule="auto"/>
        <w:jc w:val="both"/>
        <w:rPr>
          <w:rFonts w:cs="Times New Roman"/>
          <w:color w:val="000000" w:themeColor="text1"/>
        </w:rPr>
      </w:pPr>
    </w:p>
    <w:p w:rsidR="002C54E6" w:rsidRPr="001229C8" w:rsidRDefault="00D752E7">
      <w:pPr>
        <w:spacing w:line="360" w:lineRule="auto"/>
        <w:jc w:val="both"/>
        <w:rPr>
          <w:rFonts w:cs="Times New Roman"/>
          <w:b/>
          <w:color w:val="000000" w:themeColor="text1"/>
          <w:sz w:val="22"/>
          <w:szCs w:val="22"/>
        </w:rPr>
      </w:pPr>
      <w:r w:rsidRPr="001229C8">
        <w:rPr>
          <w:rFonts w:cs="Times New Roman"/>
          <w:b/>
          <w:color w:val="000000" w:themeColor="text1"/>
          <w:sz w:val="22"/>
          <w:szCs w:val="22"/>
        </w:rPr>
        <w:t>Panel Wójta/Starosty</w:t>
      </w:r>
    </w:p>
    <w:p w:rsidR="002C54E6" w:rsidRDefault="00D752E7">
      <w:pPr>
        <w:spacing w:line="360" w:lineRule="auto"/>
        <w:jc w:val="both"/>
        <w:rPr>
          <w:rFonts w:cs="Times New Roman"/>
          <w:color w:val="000000" w:themeColor="text1"/>
        </w:rPr>
      </w:pPr>
      <w:r>
        <w:rPr>
          <w:noProof/>
          <w:lang w:eastAsia="pl-PL" w:bidi="ar-SA"/>
        </w:rPr>
        <w:lastRenderedPageBreak/>
        <w:drawing>
          <wp:inline distT="0" distB="0" distL="0" distR="0" wp14:anchorId="55A05D27" wp14:editId="04227611">
            <wp:extent cx="5588000" cy="3244215"/>
            <wp:effectExtent l="0" t="0" r="0" b="0"/>
            <wp:docPr id="21"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Obraz 18"/>
                    <pic:cNvPicPr>
                      <a:picLocks noChangeAspect="1" noChangeArrowheads="1"/>
                    </pic:cNvPicPr>
                  </pic:nvPicPr>
                  <pic:blipFill>
                    <a:blip r:embed="rId31"/>
                    <a:stretch>
                      <a:fillRect/>
                    </a:stretch>
                  </pic:blipFill>
                  <pic:spPr bwMode="auto">
                    <a:xfrm>
                      <a:off x="0" y="0"/>
                      <a:ext cx="5588000" cy="3244215"/>
                    </a:xfrm>
                    <a:prstGeom prst="rect">
                      <a:avLst/>
                    </a:prstGeom>
                  </pic:spPr>
                </pic:pic>
              </a:graphicData>
            </a:graphic>
          </wp:inline>
        </w:drawing>
      </w:r>
    </w:p>
    <w:p w:rsidR="002C54E6" w:rsidRDefault="00D752E7">
      <w:pPr>
        <w:spacing w:line="360" w:lineRule="auto"/>
        <w:jc w:val="both"/>
        <w:rPr>
          <w:rFonts w:cs="Times New Roman"/>
          <w:color w:val="000000" w:themeColor="text1"/>
        </w:rPr>
      </w:pPr>
      <w:r>
        <w:rPr>
          <w:noProof/>
          <w:lang w:eastAsia="pl-PL" w:bidi="ar-SA"/>
        </w:rPr>
        <w:drawing>
          <wp:inline distT="0" distB="0" distL="0" distR="0" wp14:anchorId="391815EF" wp14:editId="6C0E4EA8">
            <wp:extent cx="5607050" cy="2197100"/>
            <wp:effectExtent l="0" t="0" r="0" b="0"/>
            <wp:docPr id="22"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braz 19"/>
                    <pic:cNvPicPr>
                      <a:picLocks noChangeAspect="1" noChangeArrowheads="1"/>
                    </pic:cNvPicPr>
                  </pic:nvPicPr>
                  <pic:blipFill>
                    <a:blip r:embed="rId32"/>
                    <a:stretch>
                      <a:fillRect/>
                    </a:stretch>
                  </pic:blipFill>
                  <pic:spPr bwMode="auto">
                    <a:xfrm>
                      <a:off x="0" y="0"/>
                      <a:ext cx="5607050" cy="2197100"/>
                    </a:xfrm>
                    <a:prstGeom prst="rect">
                      <a:avLst/>
                    </a:prstGeom>
                  </pic:spPr>
                </pic:pic>
              </a:graphicData>
            </a:graphic>
          </wp:inline>
        </w:drawing>
      </w:r>
    </w:p>
    <w:p w:rsidR="002C54E6" w:rsidRDefault="002C54E6">
      <w:pPr>
        <w:spacing w:line="360" w:lineRule="auto"/>
        <w:jc w:val="both"/>
        <w:rPr>
          <w:rFonts w:cs="Times New Roman"/>
        </w:rPr>
      </w:pPr>
    </w:p>
    <w:p w:rsidR="002C54E6" w:rsidRDefault="00D752E7">
      <w:pPr>
        <w:spacing w:line="240" w:lineRule="auto"/>
        <w:jc w:val="both"/>
        <w:rPr>
          <w:rFonts w:cs="Times New Roman"/>
          <w:b/>
          <w:sz w:val="22"/>
          <w:szCs w:val="22"/>
        </w:rPr>
      </w:pPr>
      <w:r>
        <w:rPr>
          <w:rFonts w:cs="Times New Roman"/>
          <w:b/>
          <w:sz w:val="22"/>
          <w:szCs w:val="22"/>
        </w:rPr>
        <w:t>Wnioski i rekomendacje przy tworzeniu docelowego rozwiązania.</w:t>
      </w:r>
    </w:p>
    <w:p w:rsidR="002C54E6" w:rsidRDefault="00D752E7">
      <w:pPr>
        <w:spacing w:line="240" w:lineRule="auto"/>
        <w:jc w:val="both"/>
        <w:rPr>
          <w:rFonts w:cs="Times New Roman"/>
          <w:sz w:val="22"/>
          <w:szCs w:val="22"/>
        </w:rPr>
      </w:pPr>
      <w:r>
        <w:rPr>
          <w:rFonts w:cs="Times New Roman"/>
          <w:sz w:val="22"/>
          <w:szCs w:val="22"/>
        </w:rPr>
        <w:t>Na podstawie doświadczeń i problemów z którymi zetknęliśmy się w trakcie implementacji formularzy oraz budowy Demonstratora proponujemy, aby koleje prace w ramach budowy Aplikacji koncentrowały się w szczególności na poniższych obszarach:</w:t>
      </w:r>
    </w:p>
    <w:p w:rsidR="002C54E6" w:rsidRDefault="002C54E6">
      <w:pPr>
        <w:spacing w:line="240" w:lineRule="auto"/>
        <w:jc w:val="both"/>
        <w:rPr>
          <w:rFonts w:cs="Times New Roman"/>
          <w:sz w:val="22"/>
          <w:szCs w:val="22"/>
        </w:rPr>
      </w:pPr>
    </w:p>
    <w:p w:rsidR="002C54E6" w:rsidRDefault="00D752E7">
      <w:pPr>
        <w:spacing w:line="240" w:lineRule="auto"/>
        <w:jc w:val="both"/>
      </w:pPr>
      <w:r>
        <w:rPr>
          <w:rFonts w:cs="Times New Roman"/>
          <w:sz w:val="22"/>
          <w:szCs w:val="22"/>
        </w:rPr>
        <w:t xml:space="preserve"> </w:t>
      </w:r>
      <w:r>
        <w:rPr>
          <w:rFonts w:cs="Times New Roman"/>
          <w:b/>
          <w:sz w:val="22"/>
          <w:szCs w:val="22"/>
        </w:rPr>
        <w:t xml:space="preserve">- Metadane – </w:t>
      </w:r>
      <w:r>
        <w:rPr>
          <w:rFonts w:cs="Times New Roman"/>
          <w:sz w:val="22"/>
          <w:szCs w:val="22"/>
        </w:rPr>
        <w:t xml:space="preserve">opracowanie zasad opisu danych w formularzach, w tym ujednolicenie nazewnictwa oraz przypisanych obszarów. Metadane są czynnikiem kluczowym w dalszych pracach. Należy skoncentrować się nad ustrukturyzowaniem informacji opisującym dane, dotyczących ich atrybutów lub obiektów. Metadane ułatwiają dostęp do danych i umożliwiają ich prawidłową interpretację, sterują procesem informacyjnym, obsługą i przetwarzaniem. Schematy sprawozdawcze muszą być zgodne z tymi aktualnie stosowanymi w statystyce publicznej. </w:t>
      </w:r>
    </w:p>
    <w:p w:rsidR="002C54E6" w:rsidRDefault="00D752E7">
      <w:pPr>
        <w:spacing w:line="240" w:lineRule="auto"/>
        <w:jc w:val="both"/>
        <w:rPr>
          <w:rFonts w:cs="Times New Roman"/>
          <w:sz w:val="22"/>
          <w:szCs w:val="22"/>
        </w:rPr>
      </w:pPr>
      <w:r>
        <w:rPr>
          <w:rFonts w:cs="Times New Roman"/>
          <w:sz w:val="22"/>
          <w:szCs w:val="22"/>
        </w:rPr>
        <w:t xml:space="preserve">W Głównym Urzędzie Statystycznym równolegle prowadzone są prace nad opracowaniem zasad dotyczących metadanych. Prace te realizowane są w ramach projektu „Wrota Statystyki”, którego zakończenie planowane jest w II połowie 2022 r. Wypracowane rozwiązania i zasady powinny zostać uwzględnione i wykorzystane w przyszłych pracach nad HUB w zakresie metadanych. </w:t>
      </w:r>
    </w:p>
    <w:p w:rsidR="002C54E6" w:rsidRDefault="002C54E6">
      <w:pPr>
        <w:spacing w:line="240" w:lineRule="auto"/>
        <w:jc w:val="both"/>
        <w:rPr>
          <w:rFonts w:ascii="Fira Sans" w:eastAsiaTheme="minorHAnsi" w:hAnsi="Fira Sans" w:cs="Fira Sans"/>
          <w:sz w:val="19"/>
          <w:szCs w:val="19"/>
          <w:lang w:eastAsia="en-US" w:bidi="ar-SA"/>
        </w:rPr>
      </w:pPr>
    </w:p>
    <w:p w:rsidR="002C54E6" w:rsidRDefault="00D752E7">
      <w:pPr>
        <w:spacing w:line="240" w:lineRule="auto"/>
        <w:jc w:val="both"/>
        <w:rPr>
          <w:rFonts w:cs="Times New Roman"/>
          <w:sz w:val="22"/>
          <w:szCs w:val="22"/>
        </w:rPr>
      </w:pPr>
      <w:r>
        <w:rPr>
          <w:rFonts w:cs="Times New Roman"/>
          <w:b/>
          <w:sz w:val="22"/>
          <w:szCs w:val="22"/>
        </w:rPr>
        <w:t>- Unifikacja i porządkowanie sprawozdań</w:t>
      </w:r>
      <w:r>
        <w:rPr>
          <w:rFonts w:cs="Times New Roman"/>
          <w:sz w:val="22"/>
          <w:szCs w:val="22"/>
        </w:rPr>
        <w:t xml:space="preserve"> – Ze względu na różnorodność form, specyfiki stosowanych przez różne instytucje sprawozdań należy dążyć do unifikacji i ujednolicenia schematów </w:t>
      </w:r>
      <w:r>
        <w:rPr>
          <w:rFonts w:cs="Times New Roman"/>
          <w:sz w:val="22"/>
          <w:szCs w:val="22"/>
        </w:rPr>
        <w:lastRenderedPageBreak/>
        <w:t xml:space="preserve">tych dokumentów. Nie istnieją standardy tworzenia i prezentacji sprawozdań, należy je przeanalizować na podstawie istniejących przepisów prawa i ujednolicić. Wiele z formularzy prezentuje przestarzałą formę prezentacji danych, niektóre sprawozdania nie posiadają nazw, odpowiednich kodów. Zdarza się, że przepisy prawa nie określają formy i szablonu sprawozdania, definiują jedynie jakie informacje powinny być zawarte w danym sprawozdaniu.  </w:t>
      </w:r>
    </w:p>
    <w:p w:rsidR="002C54E6" w:rsidRDefault="002C54E6">
      <w:pPr>
        <w:spacing w:line="240" w:lineRule="auto"/>
        <w:jc w:val="both"/>
        <w:rPr>
          <w:rFonts w:cs="Times New Roman"/>
          <w:sz w:val="22"/>
          <w:szCs w:val="22"/>
        </w:rPr>
      </w:pPr>
    </w:p>
    <w:p w:rsidR="002C54E6" w:rsidRDefault="00D752E7">
      <w:pPr>
        <w:spacing w:line="240" w:lineRule="auto"/>
        <w:jc w:val="both"/>
      </w:pPr>
      <w:r>
        <w:rPr>
          <w:rFonts w:cs="Times New Roman"/>
          <w:sz w:val="22"/>
          <w:szCs w:val="22"/>
        </w:rPr>
        <w:t xml:space="preserve">- </w:t>
      </w:r>
      <w:r>
        <w:rPr>
          <w:rFonts w:cs="Times New Roman"/>
          <w:b/>
          <w:sz w:val="22"/>
          <w:szCs w:val="22"/>
        </w:rPr>
        <w:t xml:space="preserve">Ujednolicenie nazw zmiennych – </w:t>
      </w:r>
      <w:r>
        <w:rPr>
          <w:rFonts w:cs="Times New Roman"/>
          <w:sz w:val="22"/>
          <w:szCs w:val="22"/>
        </w:rPr>
        <w:t xml:space="preserve"> Analiza sprawozdań wykazała, że te same zmienne powtarzają się w różnych sprawozdaniach pod innymi nazwami. Należy dla nich zapewnić wyświetlanie nazw zgodnie z zapisem we wzorze formularza oraz w innych formularzach. W przyszłości należy dążyć do unifikowania nazw zmiennych pomiędzy poszczególnymi formularzami. </w:t>
      </w:r>
    </w:p>
    <w:p w:rsidR="002C54E6" w:rsidRDefault="002C54E6">
      <w:pPr>
        <w:spacing w:line="240" w:lineRule="auto"/>
        <w:jc w:val="both"/>
        <w:rPr>
          <w:rFonts w:cs="Times New Roman"/>
          <w:sz w:val="22"/>
          <w:szCs w:val="22"/>
        </w:rPr>
      </w:pPr>
    </w:p>
    <w:p w:rsidR="002C54E6" w:rsidRDefault="00D752E7">
      <w:pPr>
        <w:spacing w:line="240" w:lineRule="auto"/>
        <w:jc w:val="both"/>
      </w:pPr>
      <w:r>
        <w:rPr>
          <w:rFonts w:cs="Times New Roman"/>
          <w:sz w:val="22"/>
          <w:szCs w:val="22"/>
        </w:rPr>
        <w:t xml:space="preserve">- </w:t>
      </w:r>
      <w:r w:rsidR="001229C8">
        <w:rPr>
          <w:rFonts w:cs="Times New Roman"/>
          <w:b/>
          <w:sz w:val="22"/>
          <w:szCs w:val="22"/>
        </w:rPr>
        <w:t>Uproszczenie formularzy –</w:t>
      </w:r>
      <w:r>
        <w:rPr>
          <w:rFonts w:cs="Times New Roman"/>
          <w:sz w:val="22"/>
          <w:szCs w:val="22"/>
        </w:rPr>
        <w:t xml:space="preserve"> W celu zapewnienia większej czytelności i przejrzystości i łatwiejszej formy wprowadzania danych należy poprawić sposób ich prezentacji. W demonstratorze zaproponowano alternatywne ujęcie danych w  układach liniowych lub tabelarycznych.</w:t>
      </w:r>
    </w:p>
    <w:p w:rsidR="002C54E6" w:rsidRDefault="002C54E6">
      <w:pPr>
        <w:spacing w:line="240" w:lineRule="auto"/>
        <w:jc w:val="both"/>
        <w:rPr>
          <w:rFonts w:cs="Times New Roman"/>
          <w:sz w:val="22"/>
          <w:szCs w:val="22"/>
        </w:rPr>
      </w:pPr>
    </w:p>
    <w:p w:rsidR="002C54E6" w:rsidRDefault="00D752E7">
      <w:pPr>
        <w:spacing w:line="240" w:lineRule="auto"/>
        <w:jc w:val="both"/>
      </w:pPr>
      <w:r>
        <w:rPr>
          <w:rFonts w:cs="Times New Roman"/>
          <w:sz w:val="22"/>
          <w:szCs w:val="22"/>
        </w:rPr>
        <w:t xml:space="preserve">- </w:t>
      </w:r>
      <w:r>
        <w:rPr>
          <w:rFonts w:cs="Times New Roman"/>
          <w:b/>
          <w:sz w:val="22"/>
          <w:szCs w:val="22"/>
        </w:rPr>
        <w:t xml:space="preserve">Jednostki sprawozdawcze – </w:t>
      </w:r>
      <w:r>
        <w:rPr>
          <w:rFonts w:cs="Times New Roman"/>
          <w:sz w:val="22"/>
          <w:szCs w:val="22"/>
        </w:rPr>
        <w:t xml:space="preserve"> W Demonstratorze wyszczególnione zostały jednostki terytorialne z których pochodziły sprawozdania. W rozwiązaniu docelowym należy rozbudować strukturę jednostek o jednostki sprawozdawcze (jednostki organizacyjne np. OPS, zakład komunalny) w ramach jednostki terytorialnej (gminy lub powiatu).</w:t>
      </w:r>
    </w:p>
    <w:p w:rsidR="002C54E6" w:rsidRDefault="002C54E6">
      <w:pPr>
        <w:spacing w:line="240" w:lineRule="auto"/>
        <w:jc w:val="both"/>
        <w:rPr>
          <w:rFonts w:cs="Times New Roman"/>
          <w:sz w:val="22"/>
          <w:szCs w:val="22"/>
        </w:rPr>
      </w:pPr>
    </w:p>
    <w:p w:rsidR="002C54E6" w:rsidRDefault="00D752E7">
      <w:pPr>
        <w:spacing w:line="240" w:lineRule="auto"/>
        <w:jc w:val="both"/>
      </w:pPr>
      <w:r>
        <w:rPr>
          <w:rFonts w:cs="Times New Roman"/>
          <w:sz w:val="22"/>
          <w:szCs w:val="22"/>
        </w:rPr>
        <w:t xml:space="preserve">- </w:t>
      </w:r>
      <w:r>
        <w:rPr>
          <w:rFonts w:cs="Times New Roman"/>
          <w:b/>
          <w:sz w:val="22"/>
          <w:szCs w:val="22"/>
        </w:rPr>
        <w:t xml:space="preserve">Precyzja i wartości tekstowe – </w:t>
      </w:r>
      <w:r>
        <w:rPr>
          <w:rFonts w:cs="Times New Roman"/>
          <w:sz w:val="22"/>
          <w:szCs w:val="22"/>
        </w:rPr>
        <w:t xml:space="preserve">Należy określić precyzje dla zmiennych liczbowych, aby prawidłowo wyświetlać format wartości zmiennych. Istnieją sprawozdania, które zawierają wartości tekstowe lub pola opisowe, które należało uwzględnić i przewidzieć w strukturze bazy danych. </w:t>
      </w:r>
    </w:p>
    <w:p w:rsidR="002C54E6" w:rsidRDefault="002C54E6">
      <w:pPr>
        <w:spacing w:line="240" w:lineRule="auto"/>
        <w:jc w:val="both"/>
        <w:rPr>
          <w:rFonts w:cs="Times New Roman"/>
          <w:sz w:val="22"/>
          <w:szCs w:val="22"/>
        </w:rPr>
      </w:pPr>
    </w:p>
    <w:p w:rsidR="002C54E6" w:rsidRDefault="00D752E7">
      <w:pPr>
        <w:spacing w:line="240" w:lineRule="auto"/>
        <w:jc w:val="both"/>
      </w:pPr>
      <w:r>
        <w:rPr>
          <w:rFonts w:cs="Times New Roman"/>
          <w:b/>
          <w:sz w:val="22"/>
          <w:szCs w:val="22"/>
        </w:rPr>
        <w:t>- Zaplanowanie</w:t>
      </w:r>
      <w:r>
        <w:rPr>
          <w:rFonts w:cs="Times New Roman"/>
          <w:sz w:val="22"/>
          <w:szCs w:val="22"/>
        </w:rPr>
        <w:t xml:space="preserve"> </w:t>
      </w:r>
      <w:r>
        <w:rPr>
          <w:rFonts w:cs="Times New Roman"/>
          <w:b/>
          <w:sz w:val="22"/>
          <w:szCs w:val="22"/>
        </w:rPr>
        <w:t xml:space="preserve">prac projektowych w bazie danych – </w:t>
      </w:r>
      <w:r>
        <w:rPr>
          <w:rFonts w:cs="Times New Roman"/>
          <w:sz w:val="22"/>
          <w:szCs w:val="22"/>
        </w:rPr>
        <w:t xml:space="preserve">Przed przystąpieniem do projektowania bazy danych należy w jak najszerszym stopniu rozpoznać struktury sprawozdań, które zostaną dodane do bazy danych. Implementacja sprawozdań w Demonstratorze wymagała przebudowy modelu i obiektów bazy, ze względu na dużą różnorodność w formatach dołączanych formularzy na późniejszym etapie prac. Wybór sprawozdań, o zróżnicowanej strukturze był zabiegiem celowym, </w:t>
      </w:r>
      <w:r>
        <w:rPr>
          <w:rFonts w:cs="Times New Roman"/>
          <w:color w:val="000000" w:themeColor="text1"/>
          <w:sz w:val="22"/>
          <w:szCs w:val="22"/>
        </w:rPr>
        <w:t xml:space="preserve">co pozwoliło rozpoznać problemy i ustalić docelowy model struktury bazy danych na etapie Demonstratora. </w:t>
      </w:r>
    </w:p>
    <w:p w:rsidR="002C54E6" w:rsidRDefault="002C54E6">
      <w:pPr>
        <w:spacing w:line="240" w:lineRule="auto"/>
        <w:jc w:val="both"/>
        <w:rPr>
          <w:rFonts w:cs="Times New Roman"/>
          <w:sz w:val="22"/>
          <w:szCs w:val="22"/>
        </w:rPr>
      </w:pPr>
    </w:p>
    <w:p w:rsidR="002C54E6" w:rsidRDefault="00D752E7">
      <w:pPr>
        <w:spacing w:line="240" w:lineRule="auto"/>
        <w:jc w:val="both"/>
        <w:rPr>
          <w:rFonts w:cs="Times New Roman"/>
          <w:sz w:val="22"/>
          <w:szCs w:val="22"/>
        </w:rPr>
      </w:pPr>
      <w:r>
        <w:rPr>
          <w:rFonts w:cs="Times New Roman"/>
          <w:sz w:val="22"/>
          <w:szCs w:val="22"/>
        </w:rPr>
        <w:t xml:space="preserve">- </w:t>
      </w:r>
      <w:r>
        <w:rPr>
          <w:rFonts w:cs="Times New Roman"/>
          <w:b/>
          <w:sz w:val="22"/>
          <w:szCs w:val="22"/>
        </w:rPr>
        <w:t>Panele jednostek nadrzędnych</w:t>
      </w:r>
      <w:r>
        <w:rPr>
          <w:rFonts w:cs="Times New Roman"/>
          <w:sz w:val="22"/>
          <w:szCs w:val="22"/>
        </w:rPr>
        <w:t xml:space="preserve"> – w demonstratorze zaproponowano graficzne widoki paneli zarządczych, oraz możliwe funkcjonalności, które powinny zostać wdrożone i uruchomione w docelowym rozwiązaniu.  </w:t>
      </w:r>
    </w:p>
    <w:p w:rsidR="002C54E6" w:rsidRDefault="002C54E6">
      <w:pPr>
        <w:spacing w:line="240" w:lineRule="auto"/>
        <w:jc w:val="both"/>
        <w:rPr>
          <w:rFonts w:cs="Times New Roman"/>
          <w:sz w:val="22"/>
          <w:szCs w:val="22"/>
        </w:rPr>
      </w:pPr>
    </w:p>
    <w:p w:rsidR="002C54E6" w:rsidRDefault="00D752E7">
      <w:pPr>
        <w:pStyle w:val="Nagwek1"/>
        <w:numPr>
          <w:ilvl w:val="0"/>
          <w:numId w:val="2"/>
        </w:numPr>
        <w:rPr>
          <w:rFonts w:ascii="Times New Roman" w:hAnsi="Times New Roman" w:cs="Times New Roman"/>
          <w:sz w:val="28"/>
          <w:szCs w:val="28"/>
        </w:rPr>
      </w:pPr>
      <w:bookmarkStart w:id="24" w:name="_Toc89935356"/>
      <w:bookmarkStart w:id="25" w:name="Bookmark23"/>
      <w:bookmarkEnd w:id="24"/>
      <w:bookmarkEnd w:id="25"/>
      <w:r>
        <w:rPr>
          <w:rFonts w:ascii="Times New Roman" w:hAnsi="Times New Roman" w:cs="Times New Roman"/>
          <w:sz w:val="28"/>
          <w:szCs w:val="28"/>
        </w:rPr>
        <w:t>8. Zmiany legislacyjne w zakresie sprawozdawczości</w:t>
      </w:r>
    </w:p>
    <w:p w:rsidR="002C54E6" w:rsidRDefault="00D752E7">
      <w:pPr>
        <w:pStyle w:val="Default"/>
        <w:spacing w:line="240" w:lineRule="auto"/>
        <w:jc w:val="both"/>
        <w:rPr>
          <w:rFonts w:ascii="Times New Roman" w:hAnsi="Times New Roman" w:cs="Times New Roman"/>
          <w:sz w:val="22"/>
          <w:szCs w:val="22"/>
          <w:highlight w:val="white"/>
        </w:rPr>
      </w:pPr>
      <w:r>
        <w:rPr>
          <w:rFonts w:ascii="Times New Roman" w:hAnsi="Times New Roman" w:cs="Times New Roman"/>
          <w:sz w:val="22"/>
          <w:szCs w:val="22"/>
          <w:highlight w:val="white"/>
        </w:rPr>
        <w:t>Zmiana sposobu zbierania i dalszego przetwarzania danych wymagać będzie zmian w przepisach prawa. Ze wstępnej analizy sprawozdań wynika, że w większości przypadków wystarczające będą zmiany na poziomie rozporządzeń. Jednak występują także sytuacje, w których zawartość lub forma sprawozdania wynika wprost z ustawy. W takich przypadkach konieczne będzie dokonanie zmian w tych ustawach.</w:t>
      </w:r>
    </w:p>
    <w:p w:rsidR="002C54E6" w:rsidRDefault="00D752E7">
      <w:pPr>
        <w:pStyle w:val="Default"/>
        <w:spacing w:line="240" w:lineRule="auto"/>
        <w:jc w:val="both"/>
        <w:rPr>
          <w:rFonts w:ascii="Times New Roman" w:hAnsi="Times New Roman" w:cs="Times New Roman"/>
          <w:sz w:val="22"/>
          <w:szCs w:val="22"/>
        </w:rPr>
      </w:pPr>
      <w:bookmarkStart w:id="26" w:name="__RefHeading__1381_1631848161"/>
      <w:bookmarkEnd w:id="26"/>
      <w:r>
        <w:rPr>
          <w:rFonts w:ascii="Times New Roman" w:hAnsi="Times New Roman" w:cs="Times New Roman"/>
          <w:sz w:val="22"/>
          <w:szCs w:val="22"/>
          <w:highlight w:val="white"/>
        </w:rPr>
        <w:t>Po realizacji prac przez WOBRy wyrywkowo sprawdzono (dzięki uprzejmości Związku Powiatów Polskich) dwa obszary tematyczne, mianowicie: Drogownictwo i transport ora</w:t>
      </w:r>
      <w:r w:rsidR="001229C8">
        <w:rPr>
          <w:rFonts w:ascii="Times New Roman" w:hAnsi="Times New Roman" w:cs="Times New Roman"/>
          <w:sz w:val="22"/>
          <w:szCs w:val="22"/>
          <w:highlight w:val="white"/>
        </w:rPr>
        <w:t>z  Inwestycje i budownictwo.</w:t>
      </w:r>
      <w:r>
        <w:rPr>
          <w:rFonts w:ascii="Times New Roman" w:hAnsi="Times New Roman" w:cs="Times New Roman"/>
          <w:sz w:val="22"/>
          <w:szCs w:val="22"/>
          <w:highlight w:val="white"/>
        </w:rPr>
        <w:t xml:space="preserve"> Wybrano te dwa obszary tematycznie głownie dlatego, że nie są one objęte centralnymi systemami informatycznymi. Dodatkowo sprawdzono także podstawy prawne sprawozdań analizowanych w demonstratorze HUB. Celem badania było sprawdzenie czy w stosownych rozporządzeniach są wzory raportów. Wyniki badania zamieszczone są w poniższej tabeli.</w:t>
      </w:r>
    </w:p>
    <w:p w:rsidR="002C54E6" w:rsidRDefault="002C54E6">
      <w:pPr>
        <w:pStyle w:val="Default"/>
        <w:spacing w:line="240" w:lineRule="auto"/>
        <w:jc w:val="both"/>
        <w:rPr>
          <w:rFonts w:ascii="Times New Roman" w:hAnsi="Times New Roman" w:cs="Times New Roman"/>
          <w:b/>
          <w:sz w:val="22"/>
          <w:szCs w:val="22"/>
          <w:highlight w:val="white"/>
        </w:rPr>
      </w:pPr>
    </w:p>
    <w:p w:rsidR="002C54E6" w:rsidRDefault="002C54E6">
      <w:pPr>
        <w:pStyle w:val="Default"/>
        <w:spacing w:line="240" w:lineRule="auto"/>
        <w:jc w:val="both"/>
        <w:rPr>
          <w:rFonts w:ascii="Times New Roman" w:hAnsi="Times New Roman" w:cs="Times New Roman"/>
          <w:b/>
          <w:sz w:val="22"/>
          <w:szCs w:val="22"/>
          <w:highlight w:val="white"/>
        </w:rPr>
      </w:pPr>
    </w:p>
    <w:p w:rsidR="002C54E6" w:rsidRDefault="002C54E6">
      <w:pPr>
        <w:pStyle w:val="Default"/>
        <w:spacing w:line="240" w:lineRule="auto"/>
        <w:jc w:val="both"/>
        <w:rPr>
          <w:rFonts w:ascii="Times New Roman" w:hAnsi="Times New Roman" w:cs="Times New Roman"/>
          <w:b/>
          <w:sz w:val="22"/>
          <w:szCs w:val="22"/>
          <w:highlight w:val="white"/>
        </w:rPr>
      </w:pPr>
    </w:p>
    <w:p w:rsidR="002C54E6" w:rsidRDefault="002C54E6">
      <w:pPr>
        <w:pStyle w:val="Default"/>
        <w:spacing w:line="240" w:lineRule="auto"/>
        <w:jc w:val="both"/>
        <w:rPr>
          <w:rFonts w:ascii="Times New Roman" w:hAnsi="Times New Roman" w:cs="Times New Roman"/>
          <w:b/>
          <w:sz w:val="22"/>
          <w:szCs w:val="22"/>
          <w:highlight w:val="white"/>
        </w:rPr>
      </w:pPr>
    </w:p>
    <w:p w:rsidR="002C54E6" w:rsidRDefault="002C54E6">
      <w:pPr>
        <w:pStyle w:val="Default"/>
        <w:spacing w:line="240" w:lineRule="auto"/>
        <w:jc w:val="both"/>
        <w:rPr>
          <w:rFonts w:ascii="Times New Roman" w:hAnsi="Times New Roman" w:cs="Times New Roman"/>
          <w:b/>
          <w:sz w:val="22"/>
          <w:szCs w:val="22"/>
          <w:highlight w:val="white"/>
        </w:rPr>
      </w:pPr>
    </w:p>
    <w:p w:rsidR="002C54E6" w:rsidRDefault="002C54E6">
      <w:pPr>
        <w:pStyle w:val="Default"/>
        <w:spacing w:line="240" w:lineRule="auto"/>
        <w:jc w:val="both"/>
        <w:rPr>
          <w:rFonts w:ascii="Times New Roman" w:hAnsi="Times New Roman" w:cs="Times New Roman"/>
          <w:b/>
          <w:sz w:val="22"/>
          <w:szCs w:val="22"/>
          <w:highlight w:val="white"/>
        </w:rPr>
      </w:pPr>
    </w:p>
    <w:p w:rsidR="002C54E6" w:rsidRDefault="00D752E7">
      <w:pPr>
        <w:pStyle w:val="Default"/>
        <w:spacing w:line="240" w:lineRule="auto"/>
        <w:jc w:val="both"/>
        <w:rPr>
          <w:rFonts w:ascii="Times New Roman" w:hAnsi="Times New Roman" w:cs="Times New Roman"/>
          <w:b/>
          <w:sz w:val="22"/>
          <w:szCs w:val="22"/>
          <w:highlight w:val="white"/>
        </w:rPr>
      </w:pPr>
      <w:r>
        <w:rPr>
          <w:rFonts w:ascii="Times New Roman" w:hAnsi="Times New Roman" w:cs="Times New Roman"/>
          <w:b/>
          <w:sz w:val="22"/>
          <w:szCs w:val="22"/>
          <w:highlight w:val="white"/>
        </w:rPr>
        <w:t>Obszar tematyczny : Drogownictwo i Transport</w:t>
      </w:r>
    </w:p>
    <w:p w:rsidR="002C54E6" w:rsidRDefault="002C54E6">
      <w:pPr>
        <w:pStyle w:val="Default"/>
        <w:spacing w:line="240" w:lineRule="auto"/>
        <w:jc w:val="both"/>
        <w:rPr>
          <w:rFonts w:ascii="Times New Roman" w:hAnsi="Times New Roman" w:cs="Times New Roman"/>
          <w:sz w:val="22"/>
          <w:szCs w:val="22"/>
          <w:highlight w:val="white"/>
        </w:rPr>
      </w:pPr>
    </w:p>
    <w:tbl>
      <w:tblPr>
        <w:tblW w:w="9837" w:type="dxa"/>
        <w:tblInd w:w="-8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258"/>
        <w:gridCol w:w="4899"/>
        <w:gridCol w:w="1680"/>
      </w:tblGrid>
      <w:tr w:rsidR="002C54E6">
        <w:tc>
          <w:tcPr>
            <w:tcW w:w="325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b/>
                <w:sz w:val="18"/>
                <w:szCs w:val="18"/>
                <w:highlight w:val="white"/>
              </w:rPr>
            </w:pPr>
            <w:r>
              <w:rPr>
                <w:rFonts w:ascii="Times New Roman" w:hAnsi="Times New Roman" w:cs="Times New Roman"/>
                <w:b/>
                <w:sz w:val="18"/>
                <w:szCs w:val="18"/>
                <w:highlight w:val="white"/>
              </w:rPr>
              <w:t xml:space="preserve">Nazwa sprawozdania </w:t>
            </w:r>
          </w:p>
        </w:tc>
        <w:tc>
          <w:tcPr>
            <w:tcW w:w="4899"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b/>
                <w:sz w:val="18"/>
                <w:szCs w:val="18"/>
                <w:highlight w:val="white"/>
              </w:rPr>
            </w:pPr>
            <w:r>
              <w:rPr>
                <w:rFonts w:ascii="Times New Roman" w:hAnsi="Times New Roman" w:cs="Times New Roman"/>
                <w:b/>
                <w:sz w:val="18"/>
                <w:szCs w:val="18"/>
                <w:highlight w:val="white"/>
              </w:rPr>
              <w:t xml:space="preserve">Przepis prawa </w:t>
            </w:r>
          </w:p>
        </w:tc>
        <w:tc>
          <w:tcPr>
            <w:tcW w:w="1680"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spacing w:line="240" w:lineRule="auto"/>
              <w:rPr>
                <w:rFonts w:ascii="Times New Roman" w:hAnsi="Times New Roman" w:cs="Times New Roman"/>
                <w:b/>
                <w:sz w:val="18"/>
                <w:szCs w:val="18"/>
                <w:highlight w:val="white"/>
              </w:rPr>
            </w:pPr>
            <w:r>
              <w:rPr>
                <w:rFonts w:ascii="Times New Roman" w:hAnsi="Times New Roman" w:cs="Times New Roman"/>
                <w:b/>
                <w:sz w:val="18"/>
                <w:szCs w:val="18"/>
                <w:highlight w:val="white"/>
              </w:rPr>
              <w:t>Czy jest zdefiniowany raport ?</w:t>
            </w:r>
          </w:p>
        </w:tc>
      </w:tr>
      <w:tr w:rsidR="002C54E6">
        <w:trPr>
          <w:trHeight w:val="1405"/>
        </w:trPr>
        <w:tc>
          <w:tcPr>
            <w:tcW w:w="325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rPr>
                <w:rFonts w:ascii="Times New Roman" w:hAnsi="Times New Roman" w:cs="Times New Roman"/>
                <w:sz w:val="18"/>
                <w:szCs w:val="18"/>
                <w:highlight w:val="white"/>
              </w:rPr>
            </w:pPr>
            <w:r>
              <w:rPr>
                <w:rFonts w:ascii="Times New Roman" w:hAnsi="Times New Roman" w:cs="Times New Roman"/>
                <w:sz w:val="18"/>
                <w:szCs w:val="18"/>
                <w:highlight w:val="white"/>
              </w:rPr>
              <w:t>Formularz danych o sieci dróg publicznych w granicach administracyjnych miast</w:t>
            </w:r>
          </w:p>
        </w:tc>
        <w:tc>
          <w:tcPr>
            <w:tcW w:w="4899"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Rozporządzenia Ministra Infrastruktury z dnia 16 lutego 2005r. w sprawie trybu sporządzania informacji oraz gromadzenia i udostępniania danych o sieci dróg publicznych, obiektach mostowych, tunelach oraz promach (Dz. U. Nr 67, poz. 583)</w:t>
            </w:r>
          </w:p>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Rozporządzenie wydano na podstawie art. 18a ust. 7 ustawy z dnia 21 marca 1985 r. o drogach publicznych</w:t>
            </w:r>
          </w:p>
        </w:tc>
        <w:tc>
          <w:tcPr>
            <w:tcW w:w="1680"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spacing w:line="240" w:lineRule="auto"/>
              <w:rPr>
                <w:rFonts w:ascii="Times New Roman" w:hAnsi="Times New Roman" w:cs="Times New Roman"/>
                <w:sz w:val="18"/>
                <w:szCs w:val="18"/>
                <w:highlight w:val="white"/>
              </w:rPr>
            </w:pPr>
            <w:r>
              <w:rPr>
                <w:rFonts w:ascii="Times New Roman" w:hAnsi="Times New Roman" w:cs="Times New Roman"/>
                <w:sz w:val="18"/>
                <w:szCs w:val="18"/>
                <w:highlight w:val="white"/>
              </w:rPr>
              <w:t xml:space="preserve">Tak </w:t>
            </w:r>
          </w:p>
          <w:p w:rsidR="002C54E6" w:rsidRDefault="00D752E7">
            <w:pPr>
              <w:pStyle w:val="Default"/>
              <w:spacing w:line="240" w:lineRule="auto"/>
              <w:rPr>
                <w:rFonts w:ascii="Times New Roman" w:hAnsi="Times New Roman" w:cs="Times New Roman"/>
                <w:sz w:val="18"/>
                <w:szCs w:val="18"/>
                <w:highlight w:val="white"/>
              </w:rPr>
            </w:pPr>
            <w:r>
              <w:rPr>
                <w:rFonts w:ascii="Times New Roman" w:hAnsi="Times New Roman" w:cs="Times New Roman"/>
                <w:sz w:val="18"/>
                <w:szCs w:val="18"/>
                <w:highlight w:val="white"/>
              </w:rPr>
              <w:t>(papierowy  z zagnieżdżonymi tabelami)</w:t>
            </w:r>
          </w:p>
        </w:tc>
      </w:tr>
      <w:tr w:rsidR="002C54E6">
        <w:tc>
          <w:tcPr>
            <w:tcW w:w="325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rPr>
                <w:rFonts w:ascii="Times New Roman" w:hAnsi="Times New Roman" w:cs="Times New Roman"/>
                <w:sz w:val="18"/>
                <w:szCs w:val="18"/>
                <w:highlight w:val="white"/>
              </w:rPr>
            </w:pPr>
            <w:r>
              <w:rPr>
                <w:rFonts w:ascii="Times New Roman" w:hAnsi="Times New Roman" w:cs="Times New Roman"/>
                <w:sz w:val="18"/>
                <w:szCs w:val="18"/>
                <w:highlight w:val="white"/>
              </w:rPr>
              <w:t>Formularz danych o sieci dróg publicznych poza granicami administracyjnymi miast</w:t>
            </w:r>
          </w:p>
        </w:tc>
        <w:tc>
          <w:tcPr>
            <w:tcW w:w="4899"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Rozporządzenia Ministra Infrastruktury z dnia 16 lutego 2005r. w sprawie trybu sporządzania informacji oraz gromadzenia i udostępniania danych o sieci dróg publicznych, obiektach mostowych, tunelach oraz promach (Dz. U. Nr 67, poz. 583)</w:t>
            </w:r>
          </w:p>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Rozporządzenie wydano na podstawie art. 18a ust. 7 ustawy z dnia 21 marca 1985 r. o drogach publicznych</w:t>
            </w:r>
          </w:p>
        </w:tc>
        <w:tc>
          <w:tcPr>
            <w:tcW w:w="1680"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spacing w:line="240" w:lineRule="auto"/>
              <w:rPr>
                <w:rFonts w:ascii="Times New Roman" w:hAnsi="Times New Roman" w:cs="Times New Roman"/>
                <w:sz w:val="18"/>
                <w:szCs w:val="18"/>
                <w:highlight w:val="white"/>
              </w:rPr>
            </w:pPr>
            <w:r>
              <w:rPr>
                <w:rFonts w:ascii="Times New Roman" w:hAnsi="Times New Roman" w:cs="Times New Roman"/>
                <w:sz w:val="18"/>
                <w:szCs w:val="18"/>
                <w:highlight w:val="white"/>
              </w:rPr>
              <w:t xml:space="preserve">Tak </w:t>
            </w:r>
          </w:p>
          <w:p w:rsidR="002C54E6" w:rsidRDefault="00D752E7">
            <w:pPr>
              <w:pStyle w:val="Default"/>
              <w:spacing w:line="240" w:lineRule="auto"/>
              <w:rPr>
                <w:rFonts w:ascii="Times New Roman" w:hAnsi="Times New Roman" w:cs="Times New Roman"/>
                <w:sz w:val="18"/>
                <w:szCs w:val="18"/>
                <w:highlight w:val="white"/>
              </w:rPr>
            </w:pPr>
            <w:r>
              <w:rPr>
                <w:rFonts w:ascii="Times New Roman" w:hAnsi="Times New Roman" w:cs="Times New Roman"/>
                <w:sz w:val="18"/>
                <w:szCs w:val="18"/>
                <w:highlight w:val="white"/>
              </w:rPr>
              <w:t>(papierowy  z zagnieżdżonymi tabelami)</w:t>
            </w:r>
          </w:p>
        </w:tc>
      </w:tr>
      <w:tr w:rsidR="002C54E6">
        <w:tc>
          <w:tcPr>
            <w:tcW w:w="325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rPr>
                <w:rFonts w:ascii="Times New Roman" w:hAnsi="Times New Roman" w:cs="Times New Roman"/>
                <w:sz w:val="18"/>
                <w:szCs w:val="18"/>
                <w:highlight w:val="white"/>
              </w:rPr>
            </w:pPr>
            <w:r>
              <w:rPr>
                <w:rFonts w:ascii="Times New Roman" w:hAnsi="Times New Roman" w:cs="Times New Roman"/>
                <w:sz w:val="18"/>
                <w:szCs w:val="18"/>
                <w:highlight w:val="white"/>
              </w:rPr>
              <w:t>Sprawozdanie z opłat ewidencyjnych pobranych i przekazanych lub uiszczonych na rachunek funduszu – centralna ewidencja pojazdów i kierowców, CZĘŚĆ A</w:t>
            </w:r>
          </w:p>
        </w:tc>
        <w:tc>
          <w:tcPr>
            <w:tcW w:w="4899"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spacing w:line="240" w:lineRule="auto"/>
              <w:rPr>
                <w:rFonts w:cs="Times New Roman"/>
                <w:sz w:val="18"/>
                <w:szCs w:val="18"/>
                <w:highlight w:val="white"/>
              </w:rPr>
            </w:pPr>
            <w:r>
              <w:rPr>
                <w:rFonts w:cs="Times New Roman"/>
                <w:color w:val="000000"/>
                <w:sz w:val="18"/>
                <w:szCs w:val="18"/>
                <w:highlight w:val="white"/>
              </w:rPr>
              <w:t>Rozporządzenie Ministra cyfryzacji z dnia 30 grudnia 2019 r.</w:t>
            </w:r>
          </w:p>
          <w:p w:rsidR="002C54E6" w:rsidRDefault="00D752E7">
            <w:pPr>
              <w:spacing w:line="240" w:lineRule="auto"/>
              <w:rPr>
                <w:rFonts w:cs="Times New Roman"/>
                <w:sz w:val="18"/>
                <w:szCs w:val="18"/>
                <w:highlight w:val="white"/>
              </w:rPr>
            </w:pPr>
            <w:r>
              <w:rPr>
                <w:rFonts w:cs="Times New Roman"/>
                <w:color w:val="000000"/>
                <w:sz w:val="18"/>
                <w:szCs w:val="18"/>
                <w:highlight w:val="white"/>
              </w:rPr>
              <w:t>w sprawie opłaty ewidencyjnej stanowiącej przychód Funduszu - Centralna Ewidencja Pojazdów i Kierowców</w:t>
            </w:r>
          </w:p>
          <w:p w:rsidR="002C54E6" w:rsidRDefault="00D752E7">
            <w:pPr>
              <w:spacing w:line="240" w:lineRule="auto"/>
              <w:rPr>
                <w:rFonts w:cs="Times New Roman"/>
                <w:sz w:val="18"/>
                <w:szCs w:val="18"/>
                <w:highlight w:val="white"/>
              </w:rPr>
            </w:pPr>
            <w:r>
              <w:rPr>
                <w:rFonts w:cs="Times New Roman"/>
                <w:color w:val="000000"/>
                <w:sz w:val="18"/>
                <w:szCs w:val="18"/>
                <w:highlight w:val="white"/>
              </w:rPr>
              <w:t>Rozporządzenie wydano na podstawie art. 80d ust. 7 ustawy z dnia 20 czerwca 1997 r. - Prawo o ruchu drogowym</w:t>
            </w:r>
          </w:p>
        </w:tc>
        <w:tc>
          <w:tcPr>
            <w:tcW w:w="1680"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TAK</w:t>
            </w:r>
          </w:p>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(papierowy)</w:t>
            </w:r>
          </w:p>
        </w:tc>
      </w:tr>
      <w:tr w:rsidR="002C54E6">
        <w:tc>
          <w:tcPr>
            <w:tcW w:w="325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rPr>
                <w:rFonts w:ascii="Times New Roman" w:hAnsi="Times New Roman" w:cs="Times New Roman"/>
                <w:sz w:val="18"/>
                <w:szCs w:val="18"/>
                <w:highlight w:val="white"/>
              </w:rPr>
            </w:pPr>
            <w:r>
              <w:rPr>
                <w:rFonts w:ascii="Times New Roman" w:hAnsi="Times New Roman" w:cs="Times New Roman"/>
                <w:sz w:val="18"/>
                <w:szCs w:val="18"/>
                <w:highlight w:val="white"/>
              </w:rPr>
              <w:t>Zestawienie dotyczące liczby i zakresu wydanych uprawnień w krajowych przewozach drogowych</w:t>
            </w:r>
          </w:p>
        </w:tc>
        <w:tc>
          <w:tcPr>
            <w:tcW w:w="4899"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Rozporządzenie Rady Ministrów z dnia 7 listopada 2014 r. w sprawie szczegółowych warunków i sposobu prowadzenia czynności związanych z nadzorem nad wydawaniem dokumentów w krajowym przewozie drogowym</w:t>
            </w:r>
          </w:p>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Rozporządzenie wydano na podstawie art. 86 ust. 3 ustawy z dnia 6 września 2001 r. o transporcie drogowym</w:t>
            </w:r>
          </w:p>
        </w:tc>
        <w:tc>
          <w:tcPr>
            <w:tcW w:w="1680"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TAK</w:t>
            </w:r>
          </w:p>
          <w:p w:rsidR="002C54E6" w:rsidRDefault="00D752E7">
            <w:pPr>
              <w:pStyle w:val="Default"/>
              <w:spacing w:line="240" w:lineRule="auto"/>
              <w:rPr>
                <w:rFonts w:ascii="Times New Roman" w:hAnsi="Times New Roman" w:cs="Times New Roman"/>
                <w:sz w:val="18"/>
                <w:szCs w:val="18"/>
                <w:highlight w:val="white"/>
              </w:rPr>
            </w:pPr>
            <w:r>
              <w:rPr>
                <w:rFonts w:ascii="Times New Roman" w:hAnsi="Times New Roman" w:cs="Times New Roman"/>
                <w:sz w:val="18"/>
                <w:szCs w:val="18"/>
                <w:highlight w:val="white"/>
              </w:rPr>
              <w:t>(papierowy)</w:t>
            </w:r>
          </w:p>
        </w:tc>
      </w:tr>
    </w:tbl>
    <w:p w:rsidR="002C54E6" w:rsidRDefault="001229C8">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Tabela nr 5</w:t>
      </w:r>
      <w:r w:rsidR="00D752E7">
        <w:rPr>
          <w:rFonts w:ascii="Times New Roman" w:hAnsi="Times New Roman" w:cs="Times New Roman"/>
          <w:sz w:val="18"/>
          <w:szCs w:val="18"/>
          <w:highlight w:val="white"/>
        </w:rPr>
        <w:t>: Zestawienie przepisów dotyczących sprawozdań w obszarze Drogownictwo i Transport</w:t>
      </w:r>
    </w:p>
    <w:p w:rsidR="002C54E6" w:rsidRDefault="002C54E6">
      <w:pPr>
        <w:pStyle w:val="Default"/>
        <w:spacing w:line="240" w:lineRule="auto"/>
        <w:jc w:val="both"/>
        <w:rPr>
          <w:rFonts w:ascii="Times New Roman" w:hAnsi="Times New Roman" w:cs="Times New Roman"/>
          <w:b/>
          <w:sz w:val="22"/>
          <w:szCs w:val="22"/>
          <w:highlight w:val="white"/>
        </w:rPr>
      </w:pPr>
    </w:p>
    <w:p w:rsidR="002C54E6" w:rsidRDefault="00D752E7">
      <w:pPr>
        <w:pStyle w:val="Default"/>
        <w:spacing w:line="240" w:lineRule="auto"/>
        <w:jc w:val="both"/>
        <w:rPr>
          <w:rFonts w:ascii="Times New Roman" w:hAnsi="Times New Roman" w:cs="Times New Roman"/>
          <w:b/>
          <w:sz w:val="22"/>
          <w:szCs w:val="22"/>
          <w:highlight w:val="white"/>
        </w:rPr>
      </w:pPr>
      <w:r>
        <w:rPr>
          <w:rFonts w:ascii="Times New Roman" w:hAnsi="Times New Roman" w:cs="Times New Roman"/>
          <w:b/>
          <w:sz w:val="22"/>
          <w:szCs w:val="22"/>
          <w:highlight w:val="white"/>
        </w:rPr>
        <w:t>Obszar tematyczny: Inwestycje i Budownictwo</w:t>
      </w:r>
    </w:p>
    <w:p w:rsidR="002C54E6" w:rsidRDefault="002C54E6">
      <w:pPr>
        <w:pStyle w:val="Default"/>
        <w:spacing w:line="240" w:lineRule="auto"/>
        <w:jc w:val="both"/>
        <w:rPr>
          <w:rFonts w:ascii="Times New Roman" w:hAnsi="Times New Roman" w:cs="Times New Roman"/>
          <w:sz w:val="22"/>
          <w:szCs w:val="22"/>
          <w:highlight w:val="white"/>
        </w:rPr>
      </w:pPr>
    </w:p>
    <w:tbl>
      <w:tblPr>
        <w:tblW w:w="9837" w:type="dxa"/>
        <w:tblInd w:w="-8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258"/>
        <w:gridCol w:w="5011"/>
        <w:gridCol w:w="1568"/>
      </w:tblGrid>
      <w:tr w:rsidR="002C54E6">
        <w:tc>
          <w:tcPr>
            <w:tcW w:w="325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b/>
                <w:sz w:val="18"/>
                <w:szCs w:val="18"/>
                <w:highlight w:val="white"/>
              </w:rPr>
            </w:pPr>
            <w:r>
              <w:rPr>
                <w:rFonts w:ascii="Times New Roman" w:hAnsi="Times New Roman" w:cs="Times New Roman"/>
                <w:b/>
                <w:sz w:val="18"/>
                <w:szCs w:val="18"/>
                <w:highlight w:val="white"/>
              </w:rPr>
              <w:t xml:space="preserve">Nazwa sprawozdania </w:t>
            </w:r>
          </w:p>
        </w:tc>
        <w:tc>
          <w:tcPr>
            <w:tcW w:w="5011"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b/>
                <w:sz w:val="18"/>
                <w:szCs w:val="18"/>
                <w:highlight w:val="white"/>
              </w:rPr>
            </w:pPr>
            <w:r>
              <w:rPr>
                <w:rFonts w:ascii="Times New Roman" w:hAnsi="Times New Roman" w:cs="Times New Roman"/>
                <w:b/>
                <w:sz w:val="18"/>
                <w:szCs w:val="18"/>
                <w:highlight w:val="white"/>
              </w:rPr>
              <w:t xml:space="preserve">Przepis prawa </w:t>
            </w:r>
          </w:p>
        </w:tc>
        <w:tc>
          <w:tcPr>
            <w:tcW w:w="1568"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spacing w:line="240" w:lineRule="auto"/>
              <w:rPr>
                <w:rFonts w:ascii="Times New Roman" w:hAnsi="Times New Roman" w:cs="Times New Roman"/>
                <w:b/>
                <w:sz w:val="18"/>
                <w:szCs w:val="18"/>
                <w:highlight w:val="white"/>
              </w:rPr>
            </w:pPr>
            <w:r>
              <w:rPr>
                <w:rFonts w:ascii="Times New Roman" w:hAnsi="Times New Roman" w:cs="Times New Roman"/>
                <w:b/>
                <w:sz w:val="18"/>
                <w:szCs w:val="18"/>
                <w:highlight w:val="white"/>
              </w:rPr>
              <w:t>Czy jest zdefiniowany raport ?</w:t>
            </w:r>
          </w:p>
        </w:tc>
      </w:tr>
      <w:tr w:rsidR="002C54E6">
        <w:tc>
          <w:tcPr>
            <w:tcW w:w="325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Rejestr decyzji o ustaleniu lokalizacji inwestycji celu publicznego</w:t>
            </w:r>
          </w:p>
        </w:tc>
        <w:tc>
          <w:tcPr>
            <w:tcW w:w="5011"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Rozporządzenie Ministra Infrastruktury z dnia 13 maja 2004 r.</w:t>
            </w:r>
          </w:p>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w sprawie wzoru rejestru decyzji o warunkach zabudowy oraz wzorów rejestrów decyzji o ustaleniu lokalizacji inwestycji celu publicznego.</w:t>
            </w:r>
          </w:p>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 xml:space="preserve">Rozporządzenie wydano na podstawie art. 67 ust. 2 ustawy z dnia 27 marca 2003 r. o planowaniu i zagospodarowaniu przestrzennym </w:t>
            </w:r>
          </w:p>
        </w:tc>
        <w:tc>
          <w:tcPr>
            <w:tcW w:w="1568"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Brak</w:t>
            </w:r>
          </w:p>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(jest tylko wzór rejestru)</w:t>
            </w:r>
          </w:p>
        </w:tc>
      </w:tr>
      <w:tr w:rsidR="002C54E6">
        <w:tc>
          <w:tcPr>
            <w:tcW w:w="325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Sprawozdanie z realizacji inwestycji w zakresie wodociągów i sanitacji wsi</w:t>
            </w:r>
          </w:p>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RRW-2</w:t>
            </w:r>
          </w:p>
        </w:tc>
        <w:tc>
          <w:tcPr>
            <w:tcW w:w="5011"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spacing w:line="240" w:lineRule="auto"/>
              <w:rPr>
                <w:rFonts w:cs="Times New Roman"/>
                <w:sz w:val="18"/>
                <w:szCs w:val="18"/>
              </w:rPr>
            </w:pPr>
            <w:r>
              <w:rPr>
                <w:rFonts w:cs="Times New Roman"/>
                <w:sz w:val="18"/>
                <w:szCs w:val="18"/>
              </w:rPr>
              <w:t>Rozporządzenie Prezesa Rady Ministrów z dnia 14 marca 2017 r.</w:t>
            </w:r>
          </w:p>
          <w:p w:rsidR="002C54E6" w:rsidRDefault="00D752E7">
            <w:pPr>
              <w:spacing w:line="240" w:lineRule="auto"/>
              <w:rPr>
                <w:rFonts w:cs="Times New Roman"/>
                <w:sz w:val="18"/>
                <w:szCs w:val="18"/>
              </w:rPr>
            </w:pPr>
            <w:r>
              <w:rPr>
                <w:rFonts w:cs="Times New Roman"/>
                <w:sz w:val="18"/>
                <w:szCs w:val="18"/>
              </w:rPr>
              <w:t>w sprawie określenia wzorów formularzy sprawozdawczych, objaśnień co do sposobu ich wypełniania oraz wzorów kwestionariuszy i ankiet statystycznych stosowanych w badaniach statystycznych ustalonych w programie badań statystycznych statystyki publicznej na rok 2017</w:t>
            </w:r>
          </w:p>
          <w:p w:rsidR="002C54E6" w:rsidRDefault="00D752E7">
            <w:pPr>
              <w:spacing w:line="240" w:lineRule="auto"/>
              <w:rPr>
                <w:rFonts w:cs="Times New Roman"/>
                <w:sz w:val="18"/>
                <w:szCs w:val="18"/>
              </w:rPr>
            </w:pPr>
            <w:r>
              <w:rPr>
                <w:rFonts w:cs="Times New Roman"/>
                <w:sz w:val="18"/>
                <w:szCs w:val="18"/>
              </w:rPr>
              <w:t>Rozporządzenie wydano na podstawie art. 31 ustawy z dnia 29 czerwca 1995 r. o statystyce publicznej.</w:t>
            </w:r>
          </w:p>
        </w:tc>
        <w:tc>
          <w:tcPr>
            <w:tcW w:w="1568"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Tak</w:t>
            </w:r>
          </w:p>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(formularz xls udostępniony prze MRiRW)</w:t>
            </w:r>
          </w:p>
        </w:tc>
      </w:tr>
      <w:tr w:rsidR="002C54E6">
        <w:tc>
          <w:tcPr>
            <w:tcW w:w="325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Informacja o stanie mienia</w:t>
            </w:r>
          </w:p>
        </w:tc>
        <w:tc>
          <w:tcPr>
            <w:tcW w:w="5011"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Rozporządzenie Rady Ministrów z dnia 6 maja 2020 r.</w:t>
            </w:r>
          </w:p>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w sprawie sposobu ewidencjonowania mienia Skarbu Państwa</w:t>
            </w:r>
          </w:p>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Rozporządzenie wydane na podstawie art. 44 ustawy z dnia 16 grudnia 2016 r. o zasadach zarządzania mieniem państwowym</w:t>
            </w:r>
          </w:p>
        </w:tc>
        <w:tc>
          <w:tcPr>
            <w:tcW w:w="1568"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Brak</w:t>
            </w:r>
          </w:p>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 xml:space="preserve">(jest tylko ogólny zapis o tym, że sporządza się sprawozdanie o stanie mienia. </w:t>
            </w:r>
          </w:p>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Może być wysłane papierowo lub elektronicznie)</w:t>
            </w:r>
          </w:p>
        </w:tc>
      </w:tr>
    </w:tbl>
    <w:p w:rsidR="002C54E6" w:rsidRDefault="00880C21">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Tabela nr 6</w:t>
      </w:r>
      <w:r w:rsidR="00D752E7">
        <w:rPr>
          <w:rFonts w:ascii="Times New Roman" w:hAnsi="Times New Roman" w:cs="Times New Roman"/>
          <w:sz w:val="18"/>
          <w:szCs w:val="18"/>
          <w:highlight w:val="white"/>
        </w:rPr>
        <w:t>: Zestawienie przepisów dotyczących sprawozdań w obszarze Inwestycje i Budownictwo</w:t>
      </w:r>
    </w:p>
    <w:p w:rsidR="002C54E6" w:rsidRDefault="002C54E6">
      <w:pPr>
        <w:pStyle w:val="Default"/>
        <w:spacing w:line="240" w:lineRule="auto"/>
        <w:jc w:val="both"/>
        <w:rPr>
          <w:rFonts w:ascii="Times New Roman" w:hAnsi="Times New Roman" w:cs="Times New Roman"/>
          <w:b/>
          <w:sz w:val="22"/>
          <w:szCs w:val="22"/>
          <w:highlight w:val="white"/>
        </w:rPr>
      </w:pPr>
    </w:p>
    <w:p w:rsidR="002C54E6" w:rsidRDefault="002C54E6">
      <w:pPr>
        <w:pStyle w:val="Default"/>
        <w:spacing w:line="240" w:lineRule="auto"/>
        <w:jc w:val="both"/>
        <w:rPr>
          <w:rFonts w:ascii="Times New Roman" w:hAnsi="Times New Roman" w:cs="Times New Roman"/>
          <w:b/>
          <w:sz w:val="22"/>
          <w:szCs w:val="22"/>
          <w:highlight w:val="white"/>
        </w:rPr>
      </w:pPr>
    </w:p>
    <w:p w:rsidR="002C54E6" w:rsidRDefault="00D752E7">
      <w:pPr>
        <w:pStyle w:val="Default"/>
        <w:spacing w:line="240" w:lineRule="auto"/>
        <w:jc w:val="both"/>
        <w:rPr>
          <w:rFonts w:ascii="Times New Roman" w:hAnsi="Times New Roman" w:cs="Times New Roman"/>
          <w:b/>
          <w:sz w:val="22"/>
          <w:szCs w:val="22"/>
          <w:highlight w:val="white"/>
        </w:rPr>
      </w:pPr>
      <w:r>
        <w:rPr>
          <w:rFonts w:ascii="Times New Roman" w:hAnsi="Times New Roman" w:cs="Times New Roman"/>
          <w:b/>
          <w:sz w:val="22"/>
          <w:szCs w:val="22"/>
          <w:highlight w:val="white"/>
        </w:rPr>
        <w:t>Sprawozdania analizowane w demonstratorze:</w:t>
      </w:r>
    </w:p>
    <w:p w:rsidR="002C54E6" w:rsidRDefault="002C54E6">
      <w:pPr>
        <w:pStyle w:val="Default"/>
        <w:spacing w:line="240" w:lineRule="auto"/>
        <w:jc w:val="both"/>
        <w:rPr>
          <w:rFonts w:ascii="Times New Roman" w:hAnsi="Times New Roman" w:cs="Times New Roman"/>
          <w:sz w:val="22"/>
          <w:szCs w:val="22"/>
          <w:highlight w:val="white"/>
        </w:rPr>
      </w:pPr>
    </w:p>
    <w:tbl>
      <w:tblPr>
        <w:tblW w:w="9837" w:type="dxa"/>
        <w:tblInd w:w="-8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258"/>
        <w:gridCol w:w="5011"/>
        <w:gridCol w:w="1568"/>
      </w:tblGrid>
      <w:tr w:rsidR="002C54E6">
        <w:tc>
          <w:tcPr>
            <w:tcW w:w="325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b/>
                <w:sz w:val="18"/>
                <w:szCs w:val="18"/>
                <w:highlight w:val="white"/>
              </w:rPr>
            </w:pPr>
            <w:r>
              <w:rPr>
                <w:rFonts w:ascii="Times New Roman" w:hAnsi="Times New Roman" w:cs="Times New Roman"/>
                <w:b/>
                <w:sz w:val="18"/>
                <w:szCs w:val="18"/>
                <w:highlight w:val="white"/>
              </w:rPr>
              <w:lastRenderedPageBreak/>
              <w:t xml:space="preserve">Nazwa sprawozdania </w:t>
            </w:r>
          </w:p>
        </w:tc>
        <w:tc>
          <w:tcPr>
            <w:tcW w:w="5011"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b/>
                <w:sz w:val="18"/>
                <w:szCs w:val="18"/>
                <w:highlight w:val="white"/>
              </w:rPr>
            </w:pPr>
            <w:r>
              <w:rPr>
                <w:rFonts w:ascii="Times New Roman" w:hAnsi="Times New Roman" w:cs="Times New Roman"/>
                <w:b/>
                <w:sz w:val="18"/>
                <w:szCs w:val="18"/>
                <w:highlight w:val="white"/>
              </w:rPr>
              <w:t xml:space="preserve">Przepis prawa </w:t>
            </w:r>
          </w:p>
        </w:tc>
        <w:tc>
          <w:tcPr>
            <w:tcW w:w="1568"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spacing w:line="240" w:lineRule="auto"/>
              <w:rPr>
                <w:rFonts w:ascii="Times New Roman" w:hAnsi="Times New Roman" w:cs="Times New Roman"/>
                <w:b/>
                <w:sz w:val="18"/>
                <w:szCs w:val="18"/>
                <w:highlight w:val="white"/>
              </w:rPr>
            </w:pPr>
            <w:r>
              <w:rPr>
                <w:rFonts w:ascii="Times New Roman" w:hAnsi="Times New Roman" w:cs="Times New Roman"/>
                <w:b/>
                <w:sz w:val="18"/>
                <w:szCs w:val="18"/>
                <w:highlight w:val="white"/>
              </w:rPr>
              <w:t>Czy jest zdefiniowany raport ?</w:t>
            </w:r>
          </w:p>
        </w:tc>
      </w:tr>
      <w:tr w:rsidR="002C54E6">
        <w:tc>
          <w:tcPr>
            <w:tcW w:w="325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Informacja dotycząca liczby i zakresu ważnych zezwoleń, licencji i zaświadczeń na przewozy drogowe na potrzeby własne w krajowych przewozach drogowych</w:t>
            </w:r>
          </w:p>
        </w:tc>
        <w:tc>
          <w:tcPr>
            <w:tcW w:w="5011"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Ustawa o transporcie drogowym art. 83 ust. 3. Ustawa nie przewiduje wydania rozporządzenia.</w:t>
            </w:r>
          </w:p>
        </w:tc>
        <w:tc>
          <w:tcPr>
            <w:tcW w:w="1568"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Brak</w:t>
            </w:r>
          </w:p>
        </w:tc>
      </w:tr>
      <w:tr w:rsidR="002C54E6">
        <w:tc>
          <w:tcPr>
            <w:tcW w:w="325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Sprawozdanie wójta, burmistrza lub prezydenta miasta/związku międzygminnego z realizacji zadań z zakresu gospodarowania odpadami komunalnym</w:t>
            </w:r>
          </w:p>
        </w:tc>
        <w:tc>
          <w:tcPr>
            <w:tcW w:w="5011"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Ustawa utrzymaniu czystości i porządku w gminie art. 9q oraz rozporządzenia Ministra Klimatu z dnia 10 czerwca 2020 r. w sprawie funkcjonowania Bazy danych o produktach i opakowaniach oraz o gospodarce odpadami</w:t>
            </w:r>
          </w:p>
        </w:tc>
        <w:tc>
          <w:tcPr>
            <w:tcW w:w="1568"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 xml:space="preserve">Tak </w:t>
            </w:r>
          </w:p>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(sprawozdanie składa się poprzez Bazę Danych Odpadowych)</w:t>
            </w:r>
          </w:p>
        </w:tc>
      </w:tr>
      <w:tr w:rsidR="002C54E6">
        <w:tc>
          <w:tcPr>
            <w:tcW w:w="325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Oś-4g  Sprawozdanie z gospodarowania dochodami budżetu gminy pochodzącymi z opłat i kar środowiskowych przeznaczonymi na finansowanie ochrony środowiska i gospodarki wodnej</w:t>
            </w:r>
          </w:p>
        </w:tc>
        <w:tc>
          <w:tcPr>
            <w:tcW w:w="5011"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rPr>
            </w:pPr>
            <w:r>
              <w:rPr>
                <w:rFonts w:ascii="Times New Roman" w:hAnsi="Times New Roman" w:cs="Times New Roman"/>
                <w:sz w:val="18"/>
                <w:szCs w:val="18"/>
              </w:rPr>
              <w:t>Rozporządzenie Program Badań Statystycznych Statystyki Publicznej</w:t>
            </w:r>
          </w:p>
        </w:tc>
        <w:tc>
          <w:tcPr>
            <w:tcW w:w="1568"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Tak</w:t>
            </w:r>
          </w:p>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(wzór określony jako arkusz kalkulacyjny)</w:t>
            </w:r>
          </w:p>
          <w:p w:rsidR="002C54E6" w:rsidRDefault="002C54E6">
            <w:pPr>
              <w:pStyle w:val="Default"/>
              <w:spacing w:line="240" w:lineRule="auto"/>
              <w:jc w:val="both"/>
              <w:rPr>
                <w:rFonts w:ascii="Times New Roman" w:hAnsi="Times New Roman" w:cs="Times New Roman"/>
                <w:sz w:val="18"/>
                <w:szCs w:val="18"/>
                <w:highlight w:val="white"/>
              </w:rPr>
            </w:pPr>
          </w:p>
        </w:tc>
      </w:tr>
      <w:tr w:rsidR="002C54E6">
        <w:tc>
          <w:tcPr>
            <w:tcW w:w="325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Sprawozdanie o zaległościach przedsiębiorców w wypłatach świadczeń należności na rzecz sektora finansów publicznych</w:t>
            </w:r>
          </w:p>
        </w:tc>
        <w:tc>
          <w:tcPr>
            <w:tcW w:w="5011"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Rozporządzenie Rady Ministrów z dnia 7 sierpnia 2008 r.</w:t>
            </w:r>
          </w:p>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w sprawie sprawozdań o udzielonej pomocy publicznej, informacji o nieudzieleniu takiej pomocy oraz sprawozdań o zaległościach przedsiębiorców we wpłatach świadczeń należnych na rzecz sektora finansów publicznych</w:t>
            </w:r>
          </w:p>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 xml:space="preserve">Rozporządzenie wydano na podstawie art. 35 pkt 1 ustawy z dnia 30 kwietnia 2004 r. o postępowaniu w sprawach dotyczących pomocy publicznej </w:t>
            </w:r>
          </w:p>
        </w:tc>
        <w:tc>
          <w:tcPr>
            <w:tcW w:w="1568"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Tak</w:t>
            </w:r>
          </w:p>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(papierowy)</w:t>
            </w:r>
          </w:p>
        </w:tc>
      </w:tr>
      <w:tr w:rsidR="002C54E6">
        <w:tc>
          <w:tcPr>
            <w:tcW w:w="325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RRW-9 Sprawozdanie z wykonania prac scaleniowych</w:t>
            </w:r>
          </w:p>
        </w:tc>
        <w:tc>
          <w:tcPr>
            <w:tcW w:w="5011"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Rozporządzenie Program Badań Statystycznych Statystyki Publicznej</w:t>
            </w:r>
          </w:p>
        </w:tc>
        <w:tc>
          <w:tcPr>
            <w:tcW w:w="1568"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 xml:space="preserve">Tak </w:t>
            </w:r>
          </w:p>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(papierowy  z zagnieżdżonymi tabelami)</w:t>
            </w:r>
          </w:p>
          <w:p w:rsidR="002C54E6" w:rsidRDefault="002C54E6">
            <w:pPr>
              <w:pStyle w:val="Default"/>
              <w:spacing w:line="240" w:lineRule="auto"/>
              <w:jc w:val="both"/>
              <w:rPr>
                <w:rFonts w:ascii="Times New Roman" w:hAnsi="Times New Roman" w:cs="Times New Roman"/>
                <w:sz w:val="18"/>
                <w:szCs w:val="18"/>
                <w:highlight w:val="white"/>
              </w:rPr>
            </w:pPr>
          </w:p>
        </w:tc>
      </w:tr>
      <w:tr w:rsidR="002C54E6">
        <w:tc>
          <w:tcPr>
            <w:tcW w:w="325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Roczne sprawozdanie z gospodarowania nieruchomościami zasobu Skarbu Państwa</w:t>
            </w:r>
          </w:p>
        </w:tc>
        <w:tc>
          <w:tcPr>
            <w:tcW w:w="5011"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Ustawa o gospodarce nieruchomościami art. 23 ust. 1a. Ustawa nie przewiduje wydania rozporządzenia.</w:t>
            </w:r>
          </w:p>
        </w:tc>
        <w:tc>
          <w:tcPr>
            <w:tcW w:w="1568"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Brak</w:t>
            </w:r>
          </w:p>
        </w:tc>
      </w:tr>
    </w:tbl>
    <w:p w:rsidR="002C54E6" w:rsidRDefault="00880C21">
      <w:pPr>
        <w:pStyle w:val="Default"/>
        <w:spacing w:line="240" w:lineRule="auto"/>
        <w:jc w:val="both"/>
        <w:rPr>
          <w:rFonts w:ascii="Times New Roman" w:hAnsi="Times New Roman" w:cs="Times New Roman"/>
          <w:sz w:val="18"/>
          <w:szCs w:val="18"/>
          <w:highlight w:val="white"/>
        </w:rPr>
      </w:pPr>
      <w:r>
        <w:rPr>
          <w:rFonts w:ascii="Times New Roman" w:hAnsi="Times New Roman" w:cs="Times New Roman"/>
          <w:sz w:val="18"/>
          <w:szCs w:val="18"/>
          <w:highlight w:val="white"/>
        </w:rPr>
        <w:t>Tabela nr 7</w:t>
      </w:r>
      <w:r w:rsidR="00D752E7">
        <w:rPr>
          <w:rFonts w:ascii="Times New Roman" w:hAnsi="Times New Roman" w:cs="Times New Roman"/>
          <w:sz w:val="18"/>
          <w:szCs w:val="18"/>
          <w:highlight w:val="white"/>
        </w:rPr>
        <w:t xml:space="preserve">: Zestawienie przepisów dotyczących sprawozdań analizowanych w demonstratorze HUB </w:t>
      </w:r>
    </w:p>
    <w:p w:rsidR="002C54E6" w:rsidRDefault="002C54E6">
      <w:pPr>
        <w:pStyle w:val="Default"/>
        <w:spacing w:line="240" w:lineRule="auto"/>
        <w:jc w:val="both"/>
        <w:rPr>
          <w:rFonts w:ascii="Times New Roman" w:hAnsi="Times New Roman" w:cs="Times New Roman"/>
          <w:sz w:val="22"/>
          <w:szCs w:val="22"/>
          <w:highlight w:val="white"/>
        </w:rPr>
      </w:pPr>
    </w:p>
    <w:p w:rsidR="002C54E6" w:rsidRDefault="00D752E7">
      <w:pPr>
        <w:pStyle w:val="Default"/>
        <w:spacing w:line="240" w:lineRule="auto"/>
        <w:jc w:val="both"/>
        <w:rPr>
          <w:rFonts w:ascii="Times New Roman" w:hAnsi="Times New Roman" w:cs="Times New Roman"/>
          <w:sz w:val="22"/>
          <w:szCs w:val="22"/>
          <w:highlight w:val="white"/>
        </w:rPr>
      </w:pPr>
      <w:r>
        <w:rPr>
          <w:rFonts w:ascii="Times New Roman" w:hAnsi="Times New Roman" w:cs="Times New Roman"/>
          <w:sz w:val="22"/>
          <w:szCs w:val="22"/>
          <w:highlight w:val="white"/>
        </w:rPr>
        <w:t>Większość wymienionych powyżej sprawozdań to sprawozdania składane przez powiaty. Dla 9 z 13 analizowanych sprawozdań zostały zdefiniowane formularze, przy czym dla 6 z nich zdefiniowano formularze papierowe (które ewentualnie mogą być wysyłane poprzez ePUAP jako załączniki doc). Trzy z nich cechują się występowaniem zagnieżdżonych tabel, co utrudnia przerobienie ich na dokumenty elektroniczne. W przypadku 2 sprawozdań zdefiniowano je jako arkusze kalkulacyjne przesyłane drogą elektroniczną. Tylko w jednym przypadku sprawozdanie składane jest elektronicznie poprzez Bazę Danych Odpadowych. W pozostałych 4 przypadkach wzór sprawozdania nie został określony.</w:t>
      </w:r>
    </w:p>
    <w:p w:rsidR="002C54E6" w:rsidRDefault="002C54E6">
      <w:pPr>
        <w:pStyle w:val="Default"/>
        <w:spacing w:line="240" w:lineRule="auto"/>
        <w:jc w:val="both"/>
        <w:rPr>
          <w:rFonts w:ascii="Times New Roman" w:hAnsi="Times New Roman" w:cs="Times New Roman"/>
          <w:strike/>
          <w:sz w:val="22"/>
          <w:szCs w:val="22"/>
          <w:highlight w:val="white"/>
        </w:rPr>
      </w:pPr>
    </w:p>
    <w:p w:rsidR="002C54E6" w:rsidRDefault="00D752E7">
      <w:pPr>
        <w:pStyle w:val="Default"/>
        <w:spacing w:line="240" w:lineRule="auto"/>
        <w:jc w:val="both"/>
        <w:rPr>
          <w:rFonts w:ascii="Times New Roman" w:hAnsi="Times New Roman" w:cs="Times New Roman"/>
          <w:sz w:val="22"/>
          <w:szCs w:val="22"/>
          <w:highlight w:val="white"/>
        </w:rPr>
      </w:pPr>
      <w:r>
        <w:rPr>
          <w:rFonts w:ascii="Times New Roman" w:hAnsi="Times New Roman" w:cs="Times New Roman"/>
          <w:sz w:val="22"/>
          <w:szCs w:val="22"/>
          <w:highlight w:val="white"/>
        </w:rPr>
        <w:t>Należy podkreślić, że w większości przypadków brakuje unikalnych nazw sprawozdań (lub też ich skrótów czy też kodów, analogicznie jak np. w przypadku sprawozdań składanych do Urzędu Skarbowego) w celu jednoczącej identyfikacji danego sprawozdania i uniknięcia pomyłek.</w:t>
      </w:r>
    </w:p>
    <w:p w:rsidR="002C54E6" w:rsidRDefault="002C54E6">
      <w:pPr>
        <w:pStyle w:val="Default"/>
        <w:spacing w:line="240" w:lineRule="auto"/>
        <w:ind w:left="785"/>
        <w:jc w:val="both"/>
        <w:rPr>
          <w:rFonts w:ascii="Times New Roman" w:hAnsi="Times New Roman" w:cs="Times New Roman"/>
          <w:sz w:val="22"/>
          <w:szCs w:val="22"/>
          <w:highlight w:val="white"/>
        </w:rPr>
      </w:pPr>
    </w:p>
    <w:p w:rsidR="002C54E6" w:rsidRDefault="00D752E7">
      <w:pPr>
        <w:pStyle w:val="Default"/>
        <w:spacing w:line="240" w:lineRule="auto"/>
        <w:jc w:val="both"/>
        <w:rPr>
          <w:rFonts w:ascii="Times New Roman" w:hAnsi="Times New Roman" w:cs="Times New Roman"/>
          <w:sz w:val="22"/>
          <w:szCs w:val="22"/>
          <w:highlight w:val="white"/>
        </w:rPr>
      </w:pPr>
      <w:r>
        <w:rPr>
          <w:rFonts w:ascii="Times New Roman" w:hAnsi="Times New Roman" w:cs="Times New Roman"/>
          <w:sz w:val="22"/>
          <w:szCs w:val="22"/>
          <w:highlight w:val="white"/>
        </w:rPr>
        <w:t>Wskazane byłoby powołanie zespołu lub zlecenie zadania dokonania analizy potrzeb zmian legislacyjnych koniecznych do zmiany systemu zbierania danych z samorządów przez system pośredni jaki byłby HUB. Prace zespołu powinny obejmować:</w:t>
      </w:r>
    </w:p>
    <w:p w:rsidR="002C54E6" w:rsidRDefault="00D752E7">
      <w:pPr>
        <w:pStyle w:val="Default"/>
        <w:numPr>
          <w:ilvl w:val="0"/>
          <w:numId w:val="6"/>
        </w:numPr>
        <w:spacing w:line="240" w:lineRule="auto"/>
        <w:jc w:val="both"/>
        <w:rPr>
          <w:rFonts w:ascii="Times New Roman" w:hAnsi="Times New Roman" w:cs="Times New Roman"/>
          <w:sz w:val="22"/>
          <w:szCs w:val="22"/>
          <w:highlight w:val="white"/>
        </w:rPr>
      </w:pPr>
      <w:r>
        <w:rPr>
          <w:rFonts w:ascii="Times New Roman" w:hAnsi="Times New Roman" w:cs="Times New Roman"/>
          <w:sz w:val="22"/>
          <w:szCs w:val="22"/>
          <w:highlight w:val="white"/>
        </w:rPr>
        <w:t>porządkowanie istniejących sprawozdań, tak by zostały one zdefiniowane jako sprawozdania w postaci elektronicznej;</w:t>
      </w:r>
    </w:p>
    <w:p w:rsidR="002C54E6" w:rsidRDefault="00D752E7">
      <w:pPr>
        <w:pStyle w:val="Default"/>
        <w:numPr>
          <w:ilvl w:val="0"/>
          <w:numId w:val="6"/>
        </w:numPr>
        <w:spacing w:line="240" w:lineRule="auto"/>
        <w:jc w:val="both"/>
        <w:rPr>
          <w:rFonts w:ascii="Times New Roman" w:hAnsi="Times New Roman" w:cs="Times New Roman"/>
          <w:sz w:val="22"/>
          <w:szCs w:val="22"/>
          <w:highlight w:val="white"/>
        </w:rPr>
      </w:pPr>
      <w:r>
        <w:rPr>
          <w:rFonts w:ascii="Times New Roman" w:hAnsi="Times New Roman" w:cs="Times New Roman"/>
          <w:sz w:val="22"/>
          <w:szCs w:val="22"/>
          <w:highlight w:val="white"/>
        </w:rPr>
        <w:t>zmiany przepisów odnoszących się do systemów centralnych (CAS, SIO, etc)  umożliwiające przepływ danych do HUB;</w:t>
      </w:r>
    </w:p>
    <w:p w:rsidR="002C54E6" w:rsidRDefault="00D752E7">
      <w:pPr>
        <w:pStyle w:val="Default"/>
        <w:numPr>
          <w:ilvl w:val="0"/>
          <w:numId w:val="6"/>
        </w:numPr>
        <w:spacing w:line="240" w:lineRule="auto"/>
        <w:jc w:val="both"/>
        <w:rPr>
          <w:rFonts w:ascii="Times New Roman" w:hAnsi="Times New Roman" w:cs="Times New Roman"/>
          <w:sz w:val="22"/>
          <w:szCs w:val="22"/>
          <w:highlight w:val="white"/>
        </w:rPr>
      </w:pPr>
      <w:r>
        <w:rPr>
          <w:rFonts w:ascii="Times New Roman" w:hAnsi="Times New Roman" w:cs="Times New Roman"/>
          <w:sz w:val="22"/>
          <w:szCs w:val="22"/>
          <w:highlight w:val="white"/>
        </w:rPr>
        <w:t>wprowadzenie zasady, że nowo powstające systemy (po produkcyjnym uruchomieniu HUB’a) będą zasilane tylko z tego narzędzia, czyli ujednolicenie interfejsu sprawozdawczego z zastosowaniem odpowiedniego okresu przejściowego;</w:t>
      </w:r>
    </w:p>
    <w:p w:rsidR="002C54E6" w:rsidRDefault="00D752E7">
      <w:pPr>
        <w:pStyle w:val="Default"/>
        <w:numPr>
          <w:ilvl w:val="0"/>
          <w:numId w:val="6"/>
        </w:numPr>
        <w:spacing w:line="240" w:lineRule="auto"/>
        <w:jc w:val="both"/>
        <w:rPr>
          <w:rFonts w:ascii="Times New Roman" w:hAnsi="Times New Roman" w:cs="Times New Roman"/>
          <w:sz w:val="22"/>
          <w:szCs w:val="22"/>
        </w:rPr>
      </w:pPr>
      <w:r>
        <w:rPr>
          <w:rFonts w:ascii="Times New Roman" w:hAnsi="Times New Roman" w:cs="Times New Roman"/>
          <w:sz w:val="22"/>
          <w:szCs w:val="22"/>
          <w:highlight w:val="white"/>
        </w:rPr>
        <w:t xml:space="preserve">przygotowanie projektu ustawy/rozporządzenia określającego, że wszystkie nowo powstałe potrzeby w zakresie sprawozdawania powstają tylko i wyłącznie w oparciu o zaprojektowany system HUB i struktury w nich zapisane (oczywiście dopuszczalne jest budowanie/definiowanie </w:t>
      </w:r>
      <w:r>
        <w:rPr>
          <w:rFonts w:ascii="Times New Roman" w:hAnsi="Times New Roman" w:cs="Times New Roman"/>
          <w:sz w:val="22"/>
          <w:szCs w:val="22"/>
          <w:highlight w:val="white"/>
        </w:rPr>
        <w:lastRenderedPageBreak/>
        <w:t>nowych raportów). Był to jeden z postulatów zapisanych w Raporcie przedstawionym na posiedzenie Rady Statystyki;</w:t>
      </w:r>
    </w:p>
    <w:p w:rsidR="002C54E6" w:rsidRDefault="00D752E7">
      <w:pPr>
        <w:pStyle w:val="Default"/>
        <w:numPr>
          <w:ilvl w:val="0"/>
          <w:numId w:val="6"/>
        </w:numPr>
        <w:spacing w:line="240" w:lineRule="auto"/>
        <w:jc w:val="both"/>
        <w:rPr>
          <w:rFonts w:ascii="Times New Roman" w:hAnsi="Times New Roman" w:cs="Times New Roman"/>
          <w:sz w:val="22"/>
          <w:szCs w:val="22"/>
          <w:highlight w:val="white"/>
        </w:rPr>
      </w:pPr>
      <w:r>
        <w:rPr>
          <w:rFonts w:ascii="Times New Roman" w:hAnsi="Times New Roman" w:cs="Times New Roman"/>
          <w:sz w:val="22"/>
          <w:szCs w:val="22"/>
          <w:highlight w:val="white"/>
        </w:rPr>
        <w:t>nawiązanie ścisłej współpracy z ministerstwem odpowiedzialnym za cyfryzację, gdyż rolą tego ministerstwa jest kreowanie architektury informacyjnej państwa. Alternatywnie zespół mógłby funkcjonować w ramach ministerstwa;</w:t>
      </w:r>
    </w:p>
    <w:p w:rsidR="002C54E6" w:rsidRDefault="00D752E7">
      <w:pPr>
        <w:pStyle w:val="Default"/>
        <w:numPr>
          <w:ilvl w:val="0"/>
          <w:numId w:val="6"/>
        </w:numPr>
        <w:spacing w:line="240" w:lineRule="auto"/>
        <w:jc w:val="both"/>
        <w:rPr>
          <w:rFonts w:ascii="Times New Roman" w:hAnsi="Times New Roman" w:cs="Times New Roman"/>
          <w:sz w:val="22"/>
          <w:szCs w:val="22"/>
        </w:rPr>
      </w:pPr>
      <w:r>
        <w:rPr>
          <w:rFonts w:ascii="Times New Roman" w:hAnsi="Times New Roman" w:cs="Times New Roman"/>
          <w:sz w:val="22"/>
          <w:szCs w:val="22"/>
          <w:highlight w:val="white"/>
        </w:rPr>
        <w:t xml:space="preserve">przeanalizowanie, jako rozwiązania alternatywnego, możliwości zmiany ustawy o statystyce publicznej lub ustawy o informatyzacji działalności podmiotów realizujących zadania publiczne, w celu umocowania w systemie prawnym sprawozdawczości opartej o HUB. </w:t>
      </w:r>
    </w:p>
    <w:p w:rsidR="002C54E6" w:rsidRDefault="002C54E6">
      <w:pPr>
        <w:spacing w:line="240" w:lineRule="auto"/>
        <w:rPr>
          <w:rFonts w:cs="Times New Roman"/>
          <w:sz w:val="22"/>
          <w:szCs w:val="22"/>
        </w:rPr>
      </w:pPr>
    </w:p>
    <w:p w:rsidR="002C54E6" w:rsidRDefault="002C54E6">
      <w:pPr>
        <w:spacing w:line="240" w:lineRule="auto"/>
        <w:rPr>
          <w:rFonts w:cs="Times New Roman"/>
          <w:sz w:val="22"/>
          <w:szCs w:val="22"/>
        </w:rPr>
      </w:pPr>
    </w:p>
    <w:p w:rsidR="002C54E6" w:rsidRDefault="00D752E7">
      <w:pPr>
        <w:pStyle w:val="Akapitzlist"/>
        <w:numPr>
          <w:ilvl w:val="0"/>
          <w:numId w:val="11"/>
        </w:numPr>
        <w:spacing w:line="240" w:lineRule="auto"/>
        <w:outlineLvl w:val="0"/>
        <w:rPr>
          <w:rFonts w:ascii="Times New Roman" w:hAnsi="Times New Roman" w:cs="Times New Roman"/>
          <w:b/>
          <w:sz w:val="28"/>
          <w:szCs w:val="28"/>
        </w:rPr>
      </w:pPr>
      <w:bookmarkStart w:id="27" w:name="_Toc89935357"/>
      <w:r>
        <w:rPr>
          <w:rFonts w:ascii="Times New Roman" w:hAnsi="Times New Roman" w:cs="Times New Roman"/>
          <w:b/>
          <w:sz w:val="28"/>
          <w:szCs w:val="28"/>
        </w:rPr>
        <w:t>Działania na rzecz poszerzania wiedzy</w:t>
      </w:r>
      <w:bookmarkEnd w:id="27"/>
      <w:r>
        <w:rPr>
          <w:rFonts w:ascii="Times New Roman" w:hAnsi="Times New Roman" w:cs="Times New Roman"/>
          <w:b/>
          <w:sz w:val="28"/>
          <w:szCs w:val="28"/>
        </w:rPr>
        <w:t xml:space="preserve"> </w:t>
      </w:r>
      <w:r>
        <w:rPr>
          <w:rFonts w:ascii="Times New Roman" w:eastAsia="Calibri" w:hAnsi="Times New Roman" w:cs="Times New Roman"/>
          <w:b/>
          <w:bCs/>
          <w:color w:val="000000"/>
          <w:sz w:val="28"/>
          <w:szCs w:val="28"/>
        </w:rPr>
        <w:t>głównych interesariuszy, promocja rozwiązania</w:t>
      </w:r>
    </w:p>
    <w:p w:rsidR="002C54E6" w:rsidRDefault="002C54E6">
      <w:pPr>
        <w:rPr>
          <w:rFonts w:ascii="Fira Sans" w:eastAsia="Calibri" w:hAnsi="Fira Sans" w:cs="Fira Sans"/>
          <w:b/>
          <w:bCs/>
          <w:color w:val="000000"/>
          <w:sz w:val="20"/>
          <w:szCs w:val="20"/>
        </w:rPr>
      </w:pPr>
    </w:p>
    <w:p w:rsidR="002C54E6" w:rsidRDefault="00D752E7">
      <w:pPr>
        <w:jc w:val="both"/>
        <w:rPr>
          <w:rFonts w:cs="Times New Roman"/>
          <w:sz w:val="22"/>
          <w:szCs w:val="22"/>
        </w:rPr>
      </w:pPr>
      <w:r>
        <w:rPr>
          <w:rFonts w:eastAsia="Calibri" w:cs="Times New Roman"/>
          <w:sz w:val="22"/>
          <w:szCs w:val="22"/>
        </w:rPr>
        <w:t>W niniejszym raporcie wielokrotnie podkreślamy kluczową rolę przypisaną JST (gminom i powiatom) w planowanym projekcie HUB, decydującą o efektywnym wykorzystaniu HUB w przyszłości. JST będą mia</w:t>
      </w:r>
      <w:r w:rsidR="00BB462F">
        <w:rPr>
          <w:rFonts w:eastAsia="Calibri" w:cs="Times New Roman"/>
          <w:sz w:val="22"/>
          <w:szCs w:val="22"/>
        </w:rPr>
        <w:t>ły decydujący wpływ na jakość i dostępność  danych w systemie SMUP.</w:t>
      </w:r>
      <w:r>
        <w:rPr>
          <w:rFonts w:eastAsia="Calibri" w:cs="Times New Roman"/>
          <w:sz w:val="22"/>
          <w:szCs w:val="22"/>
        </w:rPr>
        <w:t xml:space="preserve"> Dodatkowo wsłuchując się w opinie przedstawicieli JST w trakcie szkoleń SMUP, spotkań, przy okazji inwentaryzacji sprawozdań (telespotkania, rozmowy telefoniczne), widzimy konieczność poświęcenia większej uwagi promocji i edukacji na poziomie JST (gmina i powiat) zarówno w obszarze planowanego projektu HUB, jak i już uruchomionego systemu SMUP. Pona</w:t>
      </w:r>
      <w:r w:rsidR="00BB462F">
        <w:rPr>
          <w:rFonts w:eastAsia="Calibri" w:cs="Times New Roman"/>
          <w:sz w:val="22"/>
          <w:szCs w:val="22"/>
        </w:rPr>
        <w:t>dto zidentyfikowaliśmy kluczowe</w:t>
      </w:r>
      <w:r>
        <w:rPr>
          <w:rFonts w:eastAsia="Calibri" w:cs="Times New Roman"/>
          <w:sz w:val="22"/>
          <w:szCs w:val="22"/>
        </w:rPr>
        <w:t xml:space="preserve"> oczekiwania, jakie zgłaszały samorządy w przypadku angażowania ich do prac przy projekcie HUB.  Należy w tym miejscu podkreślić, że generalnie osoby decyzyjne w samorządach są przychylne realizacji projektu, dostrzegają potencjalne korzyści i realistycznie oceniają zakres prac oraz czas trwania projektu, który to ich zdaniem musi być rozpisany na kilkuletnią perspektywę. </w:t>
      </w:r>
    </w:p>
    <w:p w:rsidR="002C54E6" w:rsidRDefault="00D752E7">
      <w:pPr>
        <w:jc w:val="both"/>
        <w:rPr>
          <w:rFonts w:eastAsia="Calibri" w:cs="Times New Roman"/>
          <w:sz w:val="22"/>
          <w:szCs w:val="22"/>
        </w:rPr>
      </w:pPr>
      <w:r>
        <w:rPr>
          <w:rFonts w:eastAsia="Calibri" w:cs="Times New Roman"/>
          <w:sz w:val="22"/>
          <w:szCs w:val="22"/>
        </w:rPr>
        <w:t>Kluczowe oczekiwania JST wobec projektu HUB są następujące:</w:t>
      </w:r>
    </w:p>
    <w:p w:rsidR="002C54E6" w:rsidRDefault="002C54E6">
      <w:pPr>
        <w:jc w:val="both"/>
        <w:rPr>
          <w:rFonts w:cs="Times New Roman"/>
          <w:sz w:val="22"/>
          <w:szCs w:val="22"/>
        </w:rPr>
      </w:pPr>
    </w:p>
    <w:p w:rsidR="002C54E6" w:rsidRDefault="00D752E7">
      <w:pPr>
        <w:numPr>
          <w:ilvl w:val="0"/>
          <w:numId w:val="15"/>
        </w:numPr>
        <w:jc w:val="both"/>
        <w:rPr>
          <w:rFonts w:eastAsia="Calibri" w:cs="Times New Roman"/>
          <w:sz w:val="22"/>
          <w:szCs w:val="22"/>
        </w:rPr>
      </w:pPr>
      <w:r>
        <w:rPr>
          <w:rFonts w:eastAsia="Calibri" w:cs="Times New Roman"/>
          <w:sz w:val="22"/>
          <w:szCs w:val="22"/>
        </w:rPr>
        <w:t>Sponsorem projektu HUB powinien być organ rządowy gwarantujący jego wdrożenie na wszystkich szczeblach administracji.</w:t>
      </w:r>
    </w:p>
    <w:p w:rsidR="002C54E6" w:rsidRDefault="00D752E7">
      <w:pPr>
        <w:numPr>
          <w:ilvl w:val="0"/>
          <w:numId w:val="15"/>
        </w:numPr>
        <w:jc w:val="both"/>
        <w:rPr>
          <w:rFonts w:cs="Times New Roman"/>
          <w:sz w:val="22"/>
          <w:szCs w:val="22"/>
        </w:rPr>
      </w:pPr>
      <w:r>
        <w:rPr>
          <w:rFonts w:eastAsia="Calibri" w:cs="Times New Roman"/>
          <w:sz w:val="22"/>
          <w:szCs w:val="22"/>
        </w:rPr>
        <w:t>Inwentaryzacja</w:t>
      </w:r>
      <w:r w:rsidR="00BB462F">
        <w:rPr>
          <w:rFonts w:eastAsia="Calibri" w:cs="Times New Roman"/>
          <w:sz w:val="22"/>
          <w:szCs w:val="22"/>
        </w:rPr>
        <w:t>,</w:t>
      </w:r>
      <w:r>
        <w:rPr>
          <w:rFonts w:eastAsia="Calibri" w:cs="Times New Roman"/>
          <w:sz w:val="22"/>
          <w:szCs w:val="22"/>
        </w:rPr>
        <w:t xml:space="preserve"> </w:t>
      </w:r>
      <w:r w:rsidR="00BB462F">
        <w:rPr>
          <w:rFonts w:eastAsia="Calibri" w:cs="Times New Roman"/>
          <w:sz w:val="22"/>
          <w:szCs w:val="22"/>
        </w:rPr>
        <w:t>której</w:t>
      </w:r>
      <w:r>
        <w:rPr>
          <w:rFonts w:eastAsia="Calibri" w:cs="Times New Roman"/>
          <w:sz w:val="22"/>
          <w:szCs w:val="22"/>
        </w:rPr>
        <w:t xml:space="preserve"> zostaną poddane sprawozdania, powinna uwzględnić przyszłe oczekiwania JST dotyczące zmiany sposobu prezentacji i użyteczności tych sprawozdań dla zarządzania JST (wielokrotnie podkreślano, że obecna sprawozdawczość nie jest użyteczna na poziomie gminy i powiatów, jest zbyt ogólna).</w:t>
      </w:r>
    </w:p>
    <w:p w:rsidR="002C54E6" w:rsidRDefault="00D752E7">
      <w:pPr>
        <w:numPr>
          <w:ilvl w:val="0"/>
          <w:numId w:val="15"/>
        </w:numPr>
        <w:jc w:val="both"/>
        <w:rPr>
          <w:rFonts w:cs="Times New Roman"/>
          <w:sz w:val="22"/>
          <w:szCs w:val="22"/>
        </w:rPr>
      </w:pPr>
      <w:r>
        <w:rPr>
          <w:rFonts w:eastAsia="Calibri" w:cs="Times New Roman"/>
          <w:sz w:val="22"/>
          <w:szCs w:val="22"/>
        </w:rPr>
        <w:t xml:space="preserve">Minimalizacja ryzyka, że projekt HUB zostanie zatrzymany na etapie PILOTA (wczesnym etapie budowy systemu), zapewnienie trwałości projektu na przestrzeni kilkuletniej. </w:t>
      </w:r>
    </w:p>
    <w:p w:rsidR="002C54E6" w:rsidRDefault="00D752E7">
      <w:pPr>
        <w:numPr>
          <w:ilvl w:val="0"/>
          <w:numId w:val="15"/>
        </w:numPr>
        <w:jc w:val="both"/>
        <w:rPr>
          <w:rFonts w:cs="Times New Roman"/>
          <w:sz w:val="22"/>
          <w:szCs w:val="22"/>
        </w:rPr>
      </w:pPr>
      <w:r>
        <w:rPr>
          <w:rFonts w:eastAsia="Calibri" w:cs="Times New Roman"/>
          <w:sz w:val="22"/>
          <w:szCs w:val="22"/>
        </w:rPr>
        <w:t xml:space="preserve">Ustawowe zabezpieczenie finansowania kosztów związanych z eksploatacją PILOTA i </w:t>
      </w:r>
      <w:r w:rsidR="00E2050D">
        <w:rPr>
          <w:rFonts w:eastAsia="Calibri" w:cs="Times New Roman"/>
          <w:sz w:val="22"/>
          <w:szCs w:val="22"/>
        </w:rPr>
        <w:t>dalsza praca nad</w:t>
      </w:r>
      <w:r>
        <w:rPr>
          <w:rFonts w:eastAsia="Calibri" w:cs="Times New Roman"/>
          <w:sz w:val="22"/>
          <w:szCs w:val="22"/>
        </w:rPr>
        <w:t xml:space="preserve"> rozwojem  rozwiązania docelowego systemu HUB.</w:t>
      </w:r>
    </w:p>
    <w:p w:rsidR="002C54E6" w:rsidRDefault="00D752E7">
      <w:pPr>
        <w:numPr>
          <w:ilvl w:val="0"/>
          <w:numId w:val="15"/>
        </w:numPr>
        <w:jc w:val="both"/>
        <w:rPr>
          <w:rFonts w:cs="Times New Roman"/>
          <w:sz w:val="22"/>
          <w:szCs w:val="22"/>
        </w:rPr>
      </w:pPr>
      <w:r>
        <w:rPr>
          <w:rFonts w:eastAsia="Calibri" w:cs="Times New Roman"/>
          <w:sz w:val="22"/>
          <w:szCs w:val="22"/>
        </w:rPr>
        <w:t>Zapewnienie dostępności do danych publicznych pomiędzy JST.</w:t>
      </w:r>
    </w:p>
    <w:p w:rsidR="002C54E6" w:rsidRDefault="00D752E7">
      <w:pPr>
        <w:numPr>
          <w:ilvl w:val="0"/>
          <w:numId w:val="15"/>
        </w:numPr>
        <w:jc w:val="both"/>
        <w:rPr>
          <w:rFonts w:cs="Times New Roman"/>
          <w:sz w:val="22"/>
          <w:szCs w:val="22"/>
        </w:rPr>
      </w:pPr>
      <w:r>
        <w:rPr>
          <w:rFonts w:eastAsia="Calibri" w:cs="Times New Roman"/>
          <w:sz w:val="22"/>
          <w:szCs w:val="22"/>
        </w:rPr>
        <w:t xml:space="preserve">Zabezpieczenie w projekcie finansowania prac prowadzonych przez pracowników JST uczestniczących w projekcie HUB, tj.: w PILOCIE HUB jak i w rozwiązaniu docelowym. </w:t>
      </w:r>
    </w:p>
    <w:p w:rsidR="002C54E6" w:rsidRDefault="00D752E7">
      <w:pPr>
        <w:numPr>
          <w:ilvl w:val="0"/>
          <w:numId w:val="15"/>
        </w:numPr>
        <w:jc w:val="both"/>
        <w:rPr>
          <w:rFonts w:cs="Times New Roman"/>
          <w:sz w:val="22"/>
          <w:szCs w:val="22"/>
        </w:rPr>
      </w:pPr>
      <w:r>
        <w:rPr>
          <w:rFonts w:eastAsia="Calibri" w:cs="Times New Roman"/>
          <w:sz w:val="22"/>
          <w:szCs w:val="22"/>
        </w:rPr>
        <w:t>Określenie technicznych potrzeb infrastruktury IT w urzędach JST i jednostkach podległych, niezbędnych dla realizacji projektu, szczególnie dotyczy to gmin o niskim potencjale, w tym gmin wiejskich.</w:t>
      </w:r>
    </w:p>
    <w:p w:rsidR="002C54E6" w:rsidRDefault="00D752E7">
      <w:pPr>
        <w:numPr>
          <w:ilvl w:val="0"/>
          <w:numId w:val="15"/>
        </w:numPr>
        <w:jc w:val="both"/>
        <w:rPr>
          <w:rFonts w:cs="Times New Roman"/>
          <w:sz w:val="22"/>
          <w:szCs w:val="22"/>
        </w:rPr>
      </w:pPr>
      <w:r>
        <w:rPr>
          <w:rFonts w:eastAsia="Calibri" w:cs="Times New Roman"/>
          <w:sz w:val="22"/>
          <w:szCs w:val="22"/>
        </w:rPr>
        <w:t>Minimalizacja ryzyka związanego z brakiem dostępu do danych w zamawianych systemach dziedzinowych eksploatowanych w JST.</w:t>
      </w:r>
    </w:p>
    <w:p w:rsidR="002C54E6" w:rsidRDefault="00D752E7">
      <w:pPr>
        <w:numPr>
          <w:ilvl w:val="0"/>
          <w:numId w:val="15"/>
        </w:numPr>
        <w:jc w:val="both"/>
        <w:rPr>
          <w:rFonts w:cs="Times New Roman"/>
          <w:sz w:val="22"/>
          <w:szCs w:val="22"/>
        </w:rPr>
      </w:pPr>
      <w:r>
        <w:rPr>
          <w:rFonts w:eastAsia="Calibri" w:cs="Times New Roman"/>
          <w:sz w:val="22"/>
          <w:szCs w:val="22"/>
        </w:rPr>
        <w:t>Zapewnienie narzędzi przetwarzania danych dla gmin o niskim potencjale, w szczególności gmin wiejskich, potencjalna funkcjonalność HUB.</w:t>
      </w:r>
    </w:p>
    <w:p w:rsidR="002C54E6" w:rsidRDefault="002C54E6">
      <w:pPr>
        <w:jc w:val="both"/>
        <w:rPr>
          <w:rFonts w:eastAsia="Calibri" w:cs="Times New Roman"/>
          <w:sz w:val="22"/>
          <w:szCs w:val="22"/>
        </w:rPr>
      </w:pPr>
    </w:p>
    <w:p w:rsidR="002C54E6" w:rsidRDefault="00D752E7">
      <w:pPr>
        <w:jc w:val="both"/>
        <w:rPr>
          <w:rFonts w:eastAsia="Calibri" w:cs="Times New Roman"/>
          <w:sz w:val="22"/>
          <w:szCs w:val="22"/>
        </w:rPr>
      </w:pPr>
      <w:r>
        <w:rPr>
          <w:rFonts w:eastAsia="Calibri" w:cs="Times New Roman"/>
          <w:sz w:val="22"/>
          <w:szCs w:val="22"/>
        </w:rPr>
        <w:t>Wyżej wymienione oczekiwania prawdopodobnie będą rozszerzone oraz zweryfikowane w miarę konsultowania założeń projektu w większej grupie JST.</w:t>
      </w:r>
    </w:p>
    <w:p w:rsidR="002C54E6" w:rsidRDefault="00D752E7">
      <w:pPr>
        <w:jc w:val="both"/>
        <w:rPr>
          <w:rFonts w:cs="Times New Roman"/>
          <w:sz w:val="22"/>
          <w:szCs w:val="22"/>
        </w:rPr>
      </w:pPr>
      <w:r>
        <w:rPr>
          <w:rFonts w:eastAsia="Calibri" w:cs="Times New Roman"/>
          <w:sz w:val="22"/>
          <w:szCs w:val="22"/>
        </w:rPr>
        <w:t xml:space="preserve">W trakcie rozmów z przedstawicielami samorządów, w tym osób decyzyjnych, dostrzeżono potrzebę pozyskania wiedzy i umiejętności w obszarze przetwarzania i gromadzenia danych tak w systemie SMUP jak i planowanym projekcie HUB. Zarządzający gminami czy powiatami, z braku czasu i innych obiektywnych ograniczeń, często nie mają wiedzy jakimi danymi dysponują w urzędach gmin i starostwach powiatowych oraz jakiego typu dane są przetwarzane w jednostkach podległych. Z drugiej </w:t>
      </w:r>
      <w:r>
        <w:rPr>
          <w:rFonts w:eastAsia="Calibri" w:cs="Times New Roman"/>
          <w:sz w:val="22"/>
          <w:szCs w:val="22"/>
        </w:rPr>
        <w:lastRenderedPageBreak/>
        <w:t>strony nie maja praktycznej wiedzy czy i jakie dane można pozyskać z dostępnych na rynku rozwiązań informatycznych, czy też z systemów zarządzanych przez jednostki rządowe – występuje tu znany problem silosów informacyjnych. Stąd też dla kierujących JST niezbędne jest by prowadzić działania obejmujące:</w:t>
      </w:r>
    </w:p>
    <w:p w:rsidR="002C54E6" w:rsidRDefault="002C54E6">
      <w:pPr>
        <w:jc w:val="both"/>
        <w:rPr>
          <w:rFonts w:eastAsia="Calibri" w:cs="Times New Roman"/>
          <w:sz w:val="22"/>
          <w:szCs w:val="22"/>
        </w:rPr>
      </w:pPr>
    </w:p>
    <w:p w:rsidR="002C54E6" w:rsidRDefault="00D752E7">
      <w:pPr>
        <w:numPr>
          <w:ilvl w:val="0"/>
          <w:numId w:val="16"/>
        </w:numPr>
        <w:jc w:val="both"/>
        <w:rPr>
          <w:rFonts w:cs="Times New Roman"/>
          <w:sz w:val="22"/>
          <w:szCs w:val="22"/>
        </w:rPr>
      </w:pPr>
      <w:r>
        <w:rPr>
          <w:rFonts w:eastAsia="Calibri" w:cs="Times New Roman"/>
          <w:sz w:val="22"/>
          <w:szCs w:val="22"/>
        </w:rPr>
        <w:t xml:space="preserve">promocję planowanych centralnych rozwiązań informatycznych powiązaną ze szkoleniami dotyczącymi możliwości wykorzystania danych gromadzonych w tych systemach, </w:t>
      </w:r>
    </w:p>
    <w:p w:rsidR="002C54E6" w:rsidRDefault="00D752E7">
      <w:pPr>
        <w:numPr>
          <w:ilvl w:val="0"/>
          <w:numId w:val="16"/>
        </w:numPr>
        <w:jc w:val="both"/>
        <w:rPr>
          <w:rFonts w:cs="Times New Roman"/>
          <w:sz w:val="22"/>
          <w:szCs w:val="22"/>
        </w:rPr>
      </w:pPr>
      <w:r>
        <w:rPr>
          <w:rFonts w:eastAsia="Calibri" w:cs="Times New Roman"/>
          <w:sz w:val="22"/>
          <w:szCs w:val="22"/>
        </w:rPr>
        <w:t>organizację wymiany doświadczeń w obszarze przetwarzania danych przez JST,</w:t>
      </w:r>
    </w:p>
    <w:p w:rsidR="002C54E6" w:rsidRDefault="00D752E7">
      <w:pPr>
        <w:numPr>
          <w:ilvl w:val="0"/>
          <w:numId w:val="16"/>
        </w:numPr>
        <w:jc w:val="both"/>
        <w:rPr>
          <w:rFonts w:cs="Times New Roman"/>
          <w:sz w:val="22"/>
          <w:szCs w:val="22"/>
        </w:rPr>
      </w:pPr>
      <w:r>
        <w:rPr>
          <w:rFonts w:eastAsia="Calibri" w:cs="Times New Roman"/>
          <w:sz w:val="22"/>
          <w:szCs w:val="22"/>
        </w:rPr>
        <w:t>informowania o użyteczności technologii informatycznych w różnych dziedzinach życia (transport, edukacja, służba zdrowia),</w:t>
      </w:r>
    </w:p>
    <w:p w:rsidR="002C54E6" w:rsidRDefault="00D752E7">
      <w:pPr>
        <w:numPr>
          <w:ilvl w:val="0"/>
          <w:numId w:val="16"/>
        </w:numPr>
        <w:jc w:val="both"/>
        <w:rPr>
          <w:rFonts w:cs="Times New Roman"/>
          <w:sz w:val="22"/>
          <w:szCs w:val="22"/>
        </w:rPr>
      </w:pPr>
      <w:r>
        <w:rPr>
          <w:rFonts w:eastAsia="Calibri" w:cs="Times New Roman"/>
          <w:sz w:val="22"/>
          <w:szCs w:val="22"/>
        </w:rPr>
        <w:t>informowania o dostępnych pakietach dofinansowania (np. NCBIR), które wpisują się w strategie lepszego pozyskiwania danych,</w:t>
      </w:r>
    </w:p>
    <w:p w:rsidR="002C54E6" w:rsidRDefault="002C54E6">
      <w:pPr>
        <w:ind w:left="360"/>
        <w:jc w:val="both"/>
        <w:rPr>
          <w:rFonts w:eastAsia="Calibri" w:cs="Times New Roman"/>
          <w:sz w:val="22"/>
          <w:szCs w:val="22"/>
        </w:rPr>
      </w:pPr>
    </w:p>
    <w:p w:rsidR="002C54E6" w:rsidRDefault="00D752E7">
      <w:pPr>
        <w:jc w:val="both"/>
        <w:rPr>
          <w:rFonts w:cs="Times New Roman"/>
          <w:sz w:val="22"/>
          <w:szCs w:val="22"/>
        </w:rPr>
      </w:pPr>
      <w:r>
        <w:rPr>
          <w:rFonts w:eastAsia="Calibri" w:cs="Times New Roman"/>
          <w:sz w:val="22"/>
          <w:szCs w:val="22"/>
        </w:rPr>
        <w:t>Należy podkreślić, że samorządy są otwarte na wprowadzanie  nowych rozwiązań IT umożliwiających lepsze zarządzanie jednostką, jednak obecna wiedza i umiejętności większości zarządzających jest zbyt mała, by wykorzystywać takie rozwiązania efektywnie. Konieczne jest zatem wdrożenie, w ramach projektu, w pełni zaplanowanego systemu szkoleń i warsztatów, dopasowanego do indywidualnych potrzeb danych JST i ich pracowników. Szkolenia te muszą uwzględniać specyfikę danych JST, ich możliwości finansowe i organizacyjne. Szkolenia i warsztaty powinny być ukierunkowane na rozwiązywanie problemów występujących w różnych typach JST. Celowym byłoby organizowanie warsztatów wymiany doświadczeń, które pozwoliłyby na przekazywanie wiedzy z jednostek o wyższym stopniu zaawansowania w zarządzaniu z wykorzystaniem danych do jednostek o niższym potencjale i możliwościach.</w:t>
      </w:r>
    </w:p>
    <w:p w:rsidR="002C54E6" w:rsidRDefault="00D752E7">
      <w:pPr>
        <w:jc w:val="both"/>
        <w:rPr>
          <w:rFonts w:cs="Times New Roman"/>
          <w:sz w:val="22"/>
          <w:szCs w:val="22"/>
        </w:rPr>
      </w:pPr>
      <w:r>
        <w:rPr>
          <w:rFonts w:eastAsia="Calibri" w:cs="Times New Roman"/>
          <w:sz w:val="22"/>
          <w:szCs w:val="22"/>
        </w:rPr>
        <w:t>Podsumowując pragniemy podkreślić niezbędność działań promocyjnych i edukacyjnych w planowanym projekcie. W szczególności działania te muszą zostać skierowane do przedstawicieli JST, którzy są kluczowymi interesariuszami projektu. Konieczne jest zatem zabezpieczenie adekwatnych środków na te działania w ramach budżetu projektu.</w:t>
      </w:r>
    </w:p>
    <w:p w:rsidR="002C54E6" w:rsidRDefault="002C54E6">
      <w:pPr>
        <w:pStyle w:val="Akapitzlist"/>
        <w:spacing w:line="240" w:lineRule="auto"/>
        <w:ind w:left="420"/>
        <w:rPr>
          <w:rFonts w:ascii="Times New Roman" w:hAnsi="Times New Roman" w:cs="Times New Roman"/>
          <w:b/>
          <w:sz w:val="28"/>
          <w:szCs w:val="28"/>
        </w:rPr>
      </w:pPr>
    </w:p>
    <w:p w:rsidR="002C54E6" w:rsidRPr="00365000" w:rsidRDefault="00D752E7">
      <w:pPr>
        <w:pStyle w:val="Nagwek1"/>
        <w:numPr>
          <w:ilvl w:val="0"/>
          <w:numId w:val="2"/>
        </w:numPr>
        <w:rPr>
          <w:rFonts w:ascii="Times New Roman" w:hAnsi="Times New Roman" w:cs="Times New Roman"/>
          <w:sz w:val="28"/>
          <w:szCs w:val="28"/>
        </w:rPr>
      </w:pPr>
      <w:bookmarkStart w:id="28" w:name="_Toc89935358"/>
      <w:bookmarkEnd w:id="28"/>
      <w:r w:rsidRPr="00365000">
        <w:rPr>
          <w:rFonts w:ascii="Times New Roman" w:hAnsi="Times New Roman" w:cs="Times New Roman"/>
          <w:sz w:val="28"/>
          <w:szCs w:val="28"/>
        </w:rPr>
        <w:t>10. Proponowana Mapa Drogowa realizacji projektu HUB</w:t>
      </w:r>
    </w:p>
    <w:p w:rsidR="002C54E6" w:rsidRDefault="002C54E6">
      <w:pPr>
        <w:pStyle w:val="Default"/>
        <w:rPr>
          <w:sz w:val="20"/>
          <w:szCs w:val="20"/>
        </w:rPr>
      </w:pPr>
    </w:p>
    <w:p w:rsidR="002C54E6" w:rsidRDefault="00D752E7">
      <w:pPr>
        <w:jc w:val="both"/>
        <w:rPr>
          <w:rFonts w:cs="Times New Roman"/>
          <w:sz w:val="22"/>
          <w:szCs w:val="22"/>
        </w:rPr>
      </w:pPr>
      <w:r>
        <w:rPr>
          <w:rFonts w:eastAsia="Calibri" w:cs="Times New Roman"/>
          <w:sz w:val="22"/>
          <w:szCs w:val="22"/>
        </w:rPr>
        <w:t xml:space="preserve">Proponowana Mapa Drogowa przedstawia wizję zaprojektowania i wykonania docelowego rozwiązania HUB. Przedstawiona propozycja jest jedną (kolejną - drugą) z możliwych wybraną przez autorów niniejszego raportu, propozycja została zmodyfikowana w stosunku do pierwotnej koncepcji przedstawionej w raporcie z marca 2021. Przyczyną modyfikacji są rozmowy z kierującymi JST (gminy i powiaty) i ich oczekiwaniami zarówno wobec proponowanego projektu realizacji systemu HUB jaki i samego sytemu HUB, który powinien spełniać oczekiwania głównych interesariuszy jakim są powiat i gminy.  </w:t>
      </w:r>
    </w:p>
    <w:p w:rsidR="002C54E6" w:rsidRDefault="00D752E7">
      <w:pPr>
        <w:jc w:val="both"/>
        <w:rPr>
          <w:rFonts w:eastAsia="Calibri" w:cs="Times New Roman"/>
          <w:sz w:val="22"/>
          <w:szCs w:val="22"/>
        </w:rPr>
      </w:pPr>
      <w:r>
        <w:rPr>
          <w:rFonts w:eastAsia="Calibri" w:cs="Times New Roman"/>
          <w:sz w:val="22"/>
          <w:szCs w:val="22"/>
        </w:rPr>
        <w:t xml:space="preserve">Mapa zawiera kluczowe zadania jakie powinny zostać zrealizowane, niemniej ostateczna forma będzie zależna od doboru głównych interesariuszy jaki i sposobu realizacji. </w:t>
      </w:r>
    </w:p>
    <w:p w:rsidR="002C54E6" w:rsidRDefault="00D752E7">
      <w:pPr>
        <w:jc w:val="both"/>
        <w:rPr>
          <w:rFonts w:cs="Times New Roman"/>
          <w:sz w:val="22"/>
          <w:szCs w:val="22"/>
        </w:rPr>
      </w:pPr>
      <w:r>
        <w:rPr>
          <w:rFonts w:eastAsia="Calibri" w:cs="Times New Roman"/>
          <w:sz w:val="22"/>
          <w:szCs w:val="22"/>
        </w:rPr>
        <w:t>Istotnym założeniem do proponowanej  mapy jest przyjęcie, ze projekt systemu HUB jest w głównej mierze projektem organizacyjnym realizującym zadanie porządkowania danych i ich ponownego (re)definiowania. Kluczowym wyzwaniem w projekcie będzie opracowanie i przyjęcie stosownych zapisów prawnych regulujących w przyszłości zmiany i dostęp do danych obszaru HUB. Obszar informatyczny jest tutaj wtórnym, niemniej istotnym elementem, ale nie jest krytycznym dla powodzenia całości przedsięwzięcia.</w:t>
      </w:r>
    </w:p>
    <w:p w:rsidR="002C54E6" w:rsidRDefault="00D752E7">
      <w:pPr>
        <w:jc w:val="both"/>
        <w:rPr>
          <w:rFonts w:cs="Times New Roman"/>
          <w:sz w:val="22"/>
          <w:szCs w:val="22"/>
        </w:rPr>
      </w:pPr>
      <w:r>
        <w:rPr>
          <w:rFonts w:eastAsia="Calibri" w:cs="Times New Roman"/>
          <w:sz w:val="22"/>
          <w:szCs w:val="22"/>
        </w:rPr>
        <w:t>Wstępnie oszacowano ramy czasowe projektu - 4 lata, jednak należy mieć na uwadze, że ze względu na obecną sytuację związana z potencjalnymi ograniczeniami komunikacyjnymi (COVID) oraz nieznanymi zasobami jakie mogą być przypisane do projektu, zakres czasowy projektu należy traktować jako przykładowy. Kolejne przybliżenie Mapy Drogowej będzie możliwe po przyjęciu kluczowych założeń makro – ile samorządów będzie realizowało Pilota oraz w jaki sposób poszczególni pracownicy JST będą finansowani.</w:t>
      </w:r>
    </w:p>
    <w:p w:rsidR="002C54E6" w:rsidRDefault="00D752E7">
      <w:pPr>
        <w:jc w:val="both"/>
        <w:rPr>
          <w:rFonts w:eastAsia="Calibri" w:cs="Times New Roman"/>
          <w:sz w:val="22"/>
          <w:szCs w:val="22"/>
        </w:rPr>
      </w:pPr>
      <w:r>
        <w:rPr>
          <w:rFonts w:eastAsia="Calibri" w:cs="Times New Roman"/>
          <w:sz w:val="22"/>
          <w:szCs w:val="22"/>
        </w:rPr>
        <w:t>Przy realizacji projektu zakładamy ścisłą współpracę z GUS w obszarach wymiany danych i wspólnym definiowaniu zmiennych (projekt SMS).</w:t>
      </w:r>
    </w:p>
    <w:p w:rsidR="002C54E6" w:rsidRDefault="00D752E7">
      <w:pPr>
        <w:jc w:val="both"/>
        <w:rPr>
          <w:rFonts w:cs="Times New Roman"/>
          <w:sz w:val="22"/>
          <w:szCs w:val="22"/>
        </w:rPr>
      </w:pPr>
      <w:r>
        <w:rPr>
          <w:rFonts w:eastAsia="Calibri" w:cs="Times New Roman"/>
          <w:sz w:val="22"/>
          <w:szCs w:val="22"/>
        </w:rPr>
        <w:lastRenderedPageBreak/>
        <w:t xml:space="preserve">Zaprezentowana poniżej Mapa Drogowa składa się z dwóch powiązanych ze sobą elementów:  </w:t>
      </w:r>
    </w:p>
    <w:p w:rsidR="002C54E6" w:rsidRDefault="00D752E7">
      <w:pPr>
        <w:jc w:val="both"/>
        <w:rPr>
          <w:rFonts w:cs="Times New Roman"/>
          <w:sz w:val="22"/>
          <w:szCs w:val="22"/>
        </w:rPr>
      </w:pPr>
      <w:r>
        <w:rPr>
          <w:rFonts w:eastAsia="Calibri" w:cs="Times New Roman"/>
          <w:sz w:val="22"/>
          <w:szCs w:val="22"/>
        </w:rPr>
        <w:t>1) Mapa Drogowa HUB – kalendarz,</w:t>
      </w:r>
    </w:p>
    <w:p w:rsidR="002C54E6" w:rsidRDefault="00D752E7">
      <w:pPr>
        <w:jc w:val="both"/>
        <w:rPr>
          <w:rFonts w:cs="Times New Roman"/>
          <w:sz w:val="22"/>
          <w:szCs w:val="22"/>
        </w:rPr>
      </w:pPr>
      <w:r>
        <w:rPr>
          <w:rFonts w:eastAsia="Calibri" w:cs="Times New Roman"/>
          <w:sz w:val="22"/>
          <w:szCs w:val="22"/>
        </w:rPr>
        <w:t xml:space="preserve">2) tabela podzielona na trzy obszary (ścieżki): </w:t>
      </w:r>
    </w:p>
    <w:p w:rsidR="002C54E6" w:rsidRDefault="00D752E7">
      <w:pPr>
        <w:numPr>
          <w:ilvl w:val="0"/>
          <w:numId w:val="14"/>
        </w:numPr>
        <w:jc w:val="both"/>
        <w:rPr>
          <w:rFonts w:eastAsia="Calibri" w:cs="Times New Roman"/>
          <w:sz w:val="22"/>
          <w:szCs w:val="22"/>
        </w:rPr>
      </w:pPr>
      <w:r>
        <w:rPr>
          <w:rFonts w:eastAsia="Calibri" w:cs="Times New Roman"/>
          <w:sz w:val="22"/>
          <w:szCs w:val="22"/>
        </w:rPr>
        <w:t>organizacyjny,</w:t>
      </w:r>
    </w:p>
    <w:p w:rsidR="002C54E6" w:rsidRDefault="00D752E7">
      <w:pPr>
        <w:numPr>
          <w:ilvl w:val="0"/>
          <w:numId w:val="14"/>
        </w:numPr>
        <w:jc w:val="both"/>
        <w:rPr>
          <w:rFonts w:eastAsia="Calibri" w:cs="Times New Roman"/>
          <w:sz w:val="22"/>
          <w:szCs w:val="22"/>
        </w:rPr>
      </w:pPr>
      <w:r>
        <w:rPr>
          <w:rFonts w:eastAsia="Calibri" w:cs="Times New Roman"/>
          <w:sz w:val="22"/>
          <w:szCs w:val="22"/>
        </w:rPr>
        <w:t>technologiczny,</w:t>
      </w:r>
    </w:p>
    <w:p w:rsidR="002C54E6" w:rsidRDefault="00D752E7">
      <w:pPr>
        <w:numPr>
          <w:ilvl w:val="0"/>
          <w:numId w:val="14"/>
        </w:numPr>
        <w:jc w:val="both"/>
        <w:rPr>
          <w:rFonts w:cs="Times New Roman"/>
          <w:sz w:val="22"/>
          <w:szCs w:val="22"/>
        </w:rPr>
      </w:pPr>
      <w:r>
        <w:rPr>
          <w:rFonts w:eastAsia="Calibri" w:cs="Times New Roman"/>
          <w:sz w:val="22"/>
          <w:szCs w:val="22"/>
        </w:rPr>
        <w:t xml:space="preserve">prawny.  </w:t>
      </w:r>
    </w:p>
    <w:p w:rsidR="002C54E6" w:rsidRDefault="00D752E7">
      <w:pPr>
        <w:jc w:val="both"/>
        <w:rPr>
          <w:rFonts w:eastAsia="Calibri" w:cs="Times New Roman"/>
          <w:sz w:val="22"/>
          <w:szCs w:val="22"/>
        </w:rPr>
      </w:pPr>
      <w:r>
        <w:rPr>
          <w:rFonts w:eastAsia="Calibri" w:cs="Times New Roman"/>
          <w:sz w:val="22"/>
          <w:szCs w:val="22"/>
        </w:rPr>
        <w:t>Każda ścieżka zawiera opis kluczowych zadań jakie powinny zostać zrealizowane,  aby osiągnąć zakładany cel – system HUB. Zadania, których czas realizacji szacujemy na czas dłuższy niż jeden kwartał zaznaczono dodatkowo kolorem.</w:t>
      </w:r>
    </w:p>
    <w:p w:rsidR="002C54E6" w:rsidRDefault="00D752E7">
      <w:pPr>
        <w:jc w:val="both"/>
        <w:rPr>
          <w:rFonts w:eastAsia="Calibri" w:cs="Times New Roman"/>
          <w:sz w:val="22"/>
          <w:szCs w:val="22"/>
        </w:rPr>
      </w:pPr>
      <w:r>
        <w:rPr>
          <w:rFonts w:eastAsia="Calibri" w:cs="Times New Roman"/>
          <w:sz w:val="22"/>
          <w:szCs w:val="22"/>
        </w:rPr>
        <w:t xml:space="preserve">Drugim elementem Mapy Drogowej jest tabelaryczne ujęcie zadań z nazwą i kodem zadania, krótkim opisem oraz wyspecyfikowanym produktem danego zadania. </w:t>
      </w:r>
    </w:p>
    <w:p w:rsidR="002C54E6" w:rsidRDefault="00D752E7">
      <w:pPr>
        <w:jc w:val="both"/>
        <w:rPr>
          <w:rFonts w:cs="Times New Roman"/>
          <w:sz w:val="22"/>
          <w:szCs w:val="22"/>
        </w:rPr>
      </w:pPr>
      <w:r>
        <w:rPr>
          <w:rFonts w:eastAsia="Calibri" w:cs="Times New Roman"/>
          <w:sz w:val="22"/>
          <w:szCs w:val="22"/>
        </w:rPr>
        <w:t>Zadania dla Mapy Drogowej pogrupowane zostały w podziale na Obszary zgodne z zapisem tabeli Mapa Drogowa HUB – kalendarz.</w:t>
      </w:r>
    </w:p>
    <w:p w:rsidR="002C54E6" w:rsidRDefault="002C54E6">
      <w:pPr>
        <w:jc w:val="both"/>
        <w:rPr>
          <w:rFonts w:eastAsia="Calibri" w:cs="Times New Roman"/>
          <w:sz w:val="22"/>
          <w:szCs w:val="22"/>
        </w:rPr>
      </w:pPr>
    </w:p>
    <w:p w:rsidR="002C54E6" w:rsidRDefault="00D752E7">
      <w:pPr>
        <w:jc w:val="both"/>
        <w:rPr>
          <w:rFonts w:eastAsia="Calibri" w:cs="Times New Roman"/>
          <w:sz w:val="18"/>
          <w:szCs w:val="18"/>
        </w:rPr>
      </w:pPr>
      <w:r>
        <w:rPr>
          <w:rFonts w:eastAsia="Calibri" w:cs="Times New Roman"/>
          <w:sz w:val="18"/>
          <w:szCs w:val="18"/>
        </w:rPr>
        <w:t>Tabela</w:t>
      </w:r>
      <w:r w:rsidR="00DE6E60">
        <w:rPr>
          <w:rFonts w:eastAsia="Calibri" w:cs="Times New Roman"/>
          <w:sz w:val="18"/>
          <w:szCs w:val="18"/>
        </w:rPr>
        <w:t xml:space="preserve"> 8</w:t>
      </w:r>
      <w:r>
        <w:rPr>
          <w:rFonts w:eastAsia="Calibri" w:cs="Times New Roman"/>
          <w:sz w:val="18"/>
          <w:szCs w:val="18"/>
        </w:rPr>
        <w:t>:  Mapa Drogowa HUB – kalendarz</w:t>
      </w:r>
    </w:p>
    <w:tbl>
      <w:tblPr>
        <w:tblW w:w="9338"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771"/>
        <w:gridCol w:w="904"/>
        <w:gridCol w:w="2396"/>
        <w:gridCol w:w="2677"/>
        <w:gridCol w:w="2590"/>
      </w:tblGrid>
      <w:tr w:rsidR="002C54E6">
        <w:tc>
          <w:tcPr>
            <w:tcW w:w="771"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Rok</w:t>
            </w:r>
          </w:p>
        </w:tc>
        <w:tc>
          <w:tcPr>
            <w:tcW w:w="90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 xml:space="preserve">Kwartał </w:t>
            </w:r>
          </w:p>
        </w:tc>
        <w:tc>
          <w:tcPr>
            <w:tcW w:w="2396"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 xml:space="preserve">Obszar Organizacyjny </w:t>
            </w:r>
          </w:p>
        </w:tc>
        <w:tc>
          <w:tcPr>
            <w:tcW w:w="2677"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 xml:space="preserve">Obszar Technologiczny </w:t>
            </w:r>
          </w:p>
        </w:tc>
        <w:tc>
          <w:tcPr>
            <w:tcW w:w="2590"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 xml:space="preserve">Obszar Prawny </w:t>
            </w:r>
          </w:p>
        </w:tc>
      </w:tr>
      <w:tr w:rsidR="002C54E6">
        <w:tc>
          <w:tcPr>
            <w:tcW w:w="771"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Rok_1</w:t>
            </w:r>
          </w:p>
        </w:tc>
        <w:tc>
          <w:tcPr>
            <w:tcW w:w="90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I</w:t>
            </w:r>
          </w:p>
        </w:tc>
        <w:tc>
          <w:tcPr>
            <w:tcW w:w="2396"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Wytypowanie Głównych Interesariuszy (Org_1)</w:t>
            </w:r>
          </w:p>
        </w:tc>
        <w:tc>
          <w:tcPr>
            <w:tcW w:w="2677"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snapToGrid w:val="0"/>
              <w:rPr>
                <w:rFonts w:cs="Times New Roman"/>
                <w:sz w:val="18"/>
                <w:szCs w:val="18"/>
              </w:rPr>
            </w:pPr>
          </w:p>
        </w:tc>
        <w:tc>
          <w:tcPr>
            <w:tcW w:w="2590"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2C54E6">
            <w:pPr>
              <w:snapToGrid w:val="0"/>
              <w:rPr>
                <w:rFonts w:cs="Times New Roman"/>
                <w:sz w:val="18"/>
                <w:szCs w:val="18"/>
              </w:rPr>
            </w:pPr>
          </w:p>
        </w:tc>
      </w:tr>
      <w:tr w:rsidR="002C54E6">
        <w:tc>
          <w:tcPr>
            <w:tcW w:w="771"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snapToGrid w:val="0"/>
              <w:rPr>
                <w:rFonts w:cs="Times New Roman"/>
                <w:sz w:val="18"/>
                <w:szCs w:val="18"/>
              </w:rPr>
            </w:pPr>
          </w:p>
        </w:tc>
        <w:tc>
          <w:tcPr>
            <w:tcW w:w="90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II</w:t>
            </w:r>
          </w:p>
        </w:tc>
        <w:tc>
          <w:tcPr>
            <w:tcW w:w="2396"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Model Realizacji Projektu (Org_2)</w:t>
            </w:r>
          </w:p>
          <w:p w:rsidR="002C54E6" w:rsidRDefault="00D752E7">
            <w:pPr>
              <w:rPr>
                <w:rFonts w:cs="Times New Roman"/>
                <w:sz w:val="18"/>
                <w:szCs w:val="18"/>
              </w:rPr>
            </w:pPr>
            <w:r>
              <w:rPr>
                <w:rFonts w:cs="Times New Roman"/>
                <w:sz w:val="18"/>
                <w:szCs w:val="18"/>
              </w:rPr>
              <w:t>Zespół uczestniczący w  Pilocie w tym jednostki organizacyjne JST  (Org_3)</w:t>
            </w:r>
          </w:p>
        </w:tc>
        <w:tc>
          <w:tcPr>
            <w:tcW w:w="2677"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rPr>
                <w:rFonts w:cs="Times New Roman"/>
                <w:sz w:val="18"/>
                <w:szCs w:val="18"/>
              </w:rPr>
            </w:pPr>
          </w:p>
        </w:tc>
        <w:tc>
          <w:tcPr>
            <w:tcW w:w="2590"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2C54E6">
            <w:pPr>
              <w:rPr>
                <w:rFonts w:cs="Times New Roman"/>
                <w:sz w:val="18"/>
                <w:szCs w:val="18"/>
              </w:rPr>
            </w:pPr>
          </w:p>
        </w:tc>
      </w:tr>
      <w:tr w:rsidR="002C54E6">
        <w:tc>
          <w:tcPr>
            <w:tcW w:w="771"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snapToGrid w:val="0"/>
              <w:rPr>
                <w:rFonts w:cs="Times New Roman"/>
                <w:sz w:val="18"/>
                <w:szCs w:val="18"/>
              </w:rPr>
            </w:pPr>
          </w:p>
        </w:tc>
        <w:tc>
          <w:tcPr>
            <w:tcW w:w="90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III</w:t>
            </w:r>
          </w:p>
        </w:tc>
        <w:tc>
          <w:tcPr>
            <w:tcW w:w="2396"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Inwentaryzacja zasobów informacyjnych (sprawozdań), wytypowanie kolejności obszarów tematycznych implementowanych w Pilot HUB (Org_4)</w:t>
            </w:r>
          </w:p>
        </w:tc>
        <w:tc>
          <w:tcPr>
            <w:tcW w:w="2677"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snapToGrid w:val="0"/>
              <w:rPr>
                <w:rFonts w:cs="Times New Roman"/>
                <w:sz w:val="18"/>
                <w:szCs w:val="18"/>
              </w:rPr>
            </w:pPr>
            <w:r>
              <w:rPr>
                <w:rFonts w:cs="Times New Roman"/>
                <w:sz w:val="18"/>
                <w:szCs w:val="18"/>
              </w:rPr>
              <w:t>Analiza technologii (Tech_1)</w:t>
            </w:r>
          </w:p>
        </w:tc>
        <w:tc>
          <w:tcPr>
            <w:tcW w:w="2590" w:type="dxa"/>
            <w:tcBorders>
              <w:top w:val="single" w:sz="4" w:space="0" w:color="000001"/>
              <w:left w:val="single" w:sz="4" w:space="0" w:color="000001"/>
              <w:bottom w:val="single" w:sz="4" w:space="0" w:color="000001"/>
              <w:right w:val="single" w:sz="4" w:space="0" w:color="000001"/>
            </w:tcBorders>
            <w:shd w:val="clear" w:color="auto" w:fill="A6A6A6" w:themeFill="background1" w:themeFillShade="A6"/>
            <w:tcMar>
              <w:left w:w="73" w:type="dxa"/>
            </w:tcMar>
          </w:tcPr>
          <w:p w:rsidR="002C54E6" w:rsidRDefault="00D752E7">
            <w:pPr>
              <w:snapToGrid w:val="0"/>
              <w:rPr>
                <w:rFonts w:cs="Times New Roman"/>
                <w:sz w:val="18"/>
                <w:szCs w:val="18"/>
              </w:rPr>
            </w:pPr>
            <w:r>
              <w:rPr>
                <w:rFonts w:cs="Times New Roman"/>
                <w:sz w:val="18"/>
                <w:szCs w:val="18"/>
              </w:rPr>
              <w:t>Inwentaryzacja przepisów prawa dotyczących sprawozdań  (Lex_1) realizacja na poziomie gminy i powiatów</w:t>
            </w:r>
          </w:p>
        </w:tc>
      </w:tr>
      <w:tr w:rsidR="002C54E6">
        <w:tc>
          <w:tcPr>
            <w:tcW w:w="771"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snapToGrid w:val="0"/>
              <w:rPr>
                <w:rFonts w:cs="Times New Roman"/>
                <w:sz w:val="18"/>
                <w:szCs w:val="18"/>
              </w:rPr>
            </w:pPr>
          </w:p>
        </w:tc>
        <w:tc>
          <w:tcPr>
            <w:tcW w:w="90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III</w:t>
            </w:r>
          </w:p>
        </w:tc>
        <w:tc>
          <w:tcPr>
            <w:tcW w:w="2396"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Specyfikacja Pilota HUB (Org_5)</w:t>
            </w:r>
          </w:p>
        </w:tc>
        <w:tc>
          <w:tcPr>
            <w:tcW w:w="2677"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snapToGrid w:val="0"/>
              <w:rPr>
                <w:rFonts w:cs="Times New Roman"/>
                <w:sz w:val="18"/>
                <w:szCs w:val="18"/>
              </w:rPr>
            </w:pPr>
          </w:p>
        </w:tc>
        <w:tc>
          <w:tcPr>
            <w:tcW w:w="2590"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2C54E6">
            <w:pPr>
              <w:snapToGrid w:val="0"/>
              <w:rPr>
                <w:rFonts w:cs="Times New Roman"/>
                <w:sz w:val="18"/>
                <w:szCs w:val="18"/>
              </w:rPr>
            </w:pPr>
          </w:p>
        </w:tc>
      </w:tr>
      <w:tr w:rsidR="002C54E6">
        <w:tc>
          <w:tcPr>
            <w:tcW w:w="771"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snapToGrid w:val="0"/>
              <w:rPr>
                <w:rFonts w:cs="Times New Roman"/>
                <w:sz w:val="18"/>
                <w:szCs w:val="18"/>
              </w:rPr>
            </w:pPr>
          </w:p>
        </w:tc>
        <w:tc>
          <w:tcPr>
            <w:tcW w:w="90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IV</w:t>
            </w:r>
          </w:p>
        </w:tc>
        <w:tc>
          <w:tcPr>
            <w:tcW w:w="2396" w:type="dxa"/>
            <w:tcBorders>
              <w:top w:val="single" w:sz="4" w:space="0" w:color="000001"/>
              <w:left w:val="single" w:sz="4" w:space="0" w:color="000001"/>
              <w:bottom w:val="single" w:sz="4" w:space="0" w:color="000001"/>
            </w:tcBorders>
            <w:shd w:val="clear" w:color="auto" w:fill="FFFFFF"/>
            <w:tcMar>
              <w:left w:w="73" w:type="dxa"/>
            </w:tcMar>
          </w:tcPr>
          <w:p w:rsidR="002C54E6" w:rsidRDefault="002C54E6">
            <w:pPr>
              <w:snapToGrid w:val="0"/>
              <w:rPr>
                <w:rFonts w:cs="Times New Roman"/>
                <w:sz w:val="18"/>
                <w:szCs w:val="18"/>
              </w:rPr>
            </w:pPr>
          </w:p>
        </w:tc>
        <w:tc>
          <w:tcPr>
            <w:tcW w:w="2677" w:type="dxa"/>
            <w:tcBorders>
              <w:top w:val="single" w:sz="4" w:space="0" w:color="000001"/>
              <w:left w:val="single" w:sz="4" w:space="0" w:color="000001"/>
              <w:bottom w:val="single" w:sz="4" w:space="0" w:color="000001"/>
            </w:tcBorders>
            <w:shd w:val="clear" w:color="auto" w:fill="AEAAAA"/>
            <w:tcMar>
              <w:left w:w="73" w:type="dxa"/>
            </w:tcMar>
          </w:tcPr>
          <w:p w:rsidR="002C54E6" w:rsidRDefault="00D752E7">
            <w:pPr>
              <w:rPr>
                <w:rFonts w:cs="Times New Roman"/>
                <w:sz w:val="18"/>
                <w:szCs w:val="18"/>
              </w:rPr>
            </w:pPr>
            <w:r>
              <w:rPr>
                <w:rFonts w:cs="Times New Roman"/>
                <w:sz w:val="18"/>
                <w:szCs w:val="18"/>
              </w:rPr>
              <w:t>Implementacja  Pilota HUB_1 – moduł JST (założenie, że realizacja będzie metodą przyrostową (Tech_2)</w:t>
            </w:r>
          </w:p>
        </w:tc>
        <w:tc>
          <w:tcPr>
            <w:tcW w:w="2590"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2C54E6">
            <w:pPr>
              <w:snapToGrid w:val="0"/>
              <w:rPr>
                <w:rFonts w:cs="Times New Roman"/>
                <w:sz w:val="18"/>
                <w:szCs w:val="18"/>
              </w:rPr>
            </w:pPr>
          </w:p>
        </w:tc>
      </w:tr>
      <w:tr w:rsidR="002C54E6">
        <w:tc>
          <w:tcPr>
            <w:tcW w:w="771"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Rok_2</w:t>
            </w:r>
          </w:p>
        </w:tc>
        <w:tc>
          <w:tcPr>
            <w:tcW w:w="90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I</w:t>
            </w:r>
          </w:p>
        </w:tc>
        <w:tc>
          <w:tcPr>
            <w:tcW w:w="2396" w:type="dxa"/>
            <w:tcBorders>
              <w:top w:val="single" w:sz="4" w:space="0" w:color="000001"/>
              <w:left w:val="single" w:sz="4" w:space="0" w:color="000001"/>
              <w:bottom w:val="single" w:sz="4" w:space="0" w:color="000001"/>
            </w:tcBorders>
            <w:shd w:val="clear" w:color="auto" w:fill="AEAAAA"/>
            <w:tcMar>
              <w:left w:w="73" w:type="dxa"/>
            </w:tcMar>
          </w:tcPr>
          <w:p w:rsidR="002C54E6" w:rsidRDefault="00D752E7">
            <w:pPr>
              <w:rPr>
                <w:rFonts w:cs="Times New Roman"/>
                <w:sz w:val="18"/>
                <w:szCs w:val="18"/>
              </w:rPr>
            </w:pPr>
            <w:r>
              <w:rPr>
                <w:rFonts w:cs="Times New Roman"/>
                <w:sz w:val="18"/>
                <w:szCs w:val="18"/>
              </w:rPr>
              <w:t xml:space="preserve">Eksploatacja PILOTA poziom JST (Org_6) </w:t>
            </w:r>
          </w:p>
        </w:tc>
        <w:tc>
          <w:tcPr>
            <w:tcW w:w="2677" w:type="dxa"/>
            <w:tcBorders>
              <w:top w:val="single" w:sz="4" w:space="0" w:color="000001"/>
              <w:left w:val="single" w:sz="4" w:space="0" w:color="000001"/>
              <w:bottom w:val="single" w:sz="4" w:space="0" w:color="000001"/>
            </w:tcBorders>
            <w:shd w:val="clear" w:color="auto" w:fill="AEAAAA"/>
            <w:tcMar>
              <w:left w:w="73" w:type="dxa"/>
            </w:tcMar>
          </w:tcPr>
          <w:p w:rsidR="002C54E6" w:rsidRDefault="002C54E6">
            <w:pPr>
              <w:snapToGrid w:val="0"/>
              <w:rPr>
                <w:rFonts w:cs="Times New Roman"/>
                <w:sz w:val="18"/>
                <w:szCs w:val="18"/>
              </w:rPr>
            </w:pPr>
          </w:p>
        </w:tc>
        <w:tc>
          <w:tcPr>
            <w:tcW w:w="2590"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2C54E6">
            <w:pPr>
              <w:snapToGrid w:val="0"/>
              <w:rPr>
                <w:rFonts w:cs="Times New Roman"/>
                <w:sz w:val="18"/>
                <w:szCs w:val="18"/>
              </w:rPr>
            </w:pPr>
          </w:p>
        </w:tc>
      </w:tr>
      <w:tr w:rsidR="002C54E6">
        <w:tc>
          <w:tcPr>
            <w:tcW w:w="771"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snapToGrid w:val="0"/>
              <w:rPr>
                <w:rFonts w:cs="Times New Roman"/>
                <w:sz w:val="18"/>
                <w:szCs w:val="18"/>
              </w:rPr>
            </w:pPr>
          </w:p>
        </w:tc>
        <w:tc>
          <w:tcPr>
            <w:tcW w:w="90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II</w:t>
            </w:r>
          </w:p>
        </w:tc>
        <w:tc>
          <w:tcPr>
            <w:tcW w:w="2396" w:type="dxa"/>
            <w:tcBorders>
              <w:top w:val="single" w:sz="4" w:space="0" w:color="000001"/>
              <w:left w:val="single" w:sz="4" w:space="0" w:color="000001"/>
              <w:bottom w:val="single" w:sz="4" w:space="0" w:color="000001"/>
            </w:tcBorders>
            <w:shd w:val="clear" w:color="auto" w:fill="AEAAAA"/>
            <w:tcMar>
              <w:left w:w="73" w:type="dxa"/>
            </w:tcMar>
          </w:tcPr>
          <w:p w:rsidR="002C54E6" w:rsidRDefault="002C54E6">
            <w:pPr>
              <w:snapToGrid w:val="0"/>
              <w:rPr>
                <w:rFonts w:cs="Times New Roman"/>
                <w:sz w:val="18"/>
                <w:szCs w:val="18"/>
              </w:rPr>
            </w:pPr>
          </w:p>
        </w:tc>
        <w:tc>
          <w:tcPr>
            <w:tcW w:w="2677" w:type="dxa"/>
            <w:tcBorders>
              <w:top w:val="single" w:sz="4" w:space="0" w:color="000001"/>
              <w:left w:val="single" w:sz="4" w:space="0" w:color="000001"/>
              <w:bottom w:val="single" w:sz="4" w:space="0" w:color="000001"/>
            </w:tcBorders>
            <w:shd w:val="clear" w:color="auto" w:fill="AEAAAA"/>
            <w:tcMar>
              <w:left w:w="73" w:type="dxa"/>
            </w:tcMar>
          </w:tcPr>
          <w:p w:rsidR="002C54E6" w:rsidRDefault="00D752E7">
            <w:pPr>
              <w:snapToGrid w:val="0"/>
              <w:rPr>
                <w:rFonts w:cs="Times New Roman"/>
                <w:sz w:val="18"/>
                <w:szCs w:val="18"/>
              </w:rPr>
            </w:pPr>
            <w:r>
              <w:rPr>
                <w:rFonts w:cs="Times New Roman"/>
                <w:sz w:val="18"/>
                <w:szCs w:val="18"/>
              </w:rPr>
              <w:t>Implementacja  Pilota HUB_2 – moduły zarządcze  (założenie, że realizacja będzie metodą przyrostową (Tech_3)</w:t>
            </w:r>
          </w:p>
        </w:tc>
        <w:tc>
          <w:tcPr>
            <w:tcW w:w="2590" w:type="dxa"/>
            <w:tcBorders>
              <w:top w:val="single" w:sz="4" w:space="0" w:color="000001"/>
              <w:left w:val="single" w:sz="4" w:space="0" w:color="000001"/>
              <w:bottom w:val="single" w:sz="4" w:space="0" w:color="000001"/>
              <w:right w:val="single" w:sz="4" w:space="0" w:color="000001"/>
            </w:tcBorders>
            <w:shd w:val="clear" w:color="auto" w:fill="AEAAAA"/>
            <w:tcMar>
              <w:left w:w="73" w:type="dxa"/>
            </w:tcMar>
          </w:tcPr>
          <w:p w:rsidR="002C54E6" w:rsidRDefault="00D752E7">
            <w:pPr>
              <w:rPr>
                <w:rFonts w:cs="Times New Roman"/>
                <w:sz w:val="18"/>
                <w:szCs w:val="18"/>
              </w:rPr>
            </w:pPr>
            <w:r>
              <w:rPr>
                <w:rFonts w:cs="Times New Roman"/>
                <w:sz w:val="18"/>
                <w:szCs w:val="18"/>
              </w:rPr>
              <w:t>Projekt Dostosowanie Prawa cz.I  projekt (Lex_2)</w:t>
            </w:r>
          </w:p>
        </w:tc>
      </w:tr>
      <w:tr w:rsidR="002C54E6">
        <w:tc>
          <w:tcPr>
            <w:tcW w:w="771"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snapToGrid w:val="0"/>
              <w:rPr>
                <w:rFonts w:cs="Times New Roman"/>
                <w:sz w:val="18"/>
                <w:szCs w:val="18"/>
              </w:rPr>
            </w:pPr>
          </w:p>
        </w:tc>
        <w:tc>
          <w:tcPr>
            <w:tcW w:w="90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III</w:t>
            </w:r>
          </w:p>
        </w:tc>
        <w:tc>
          <w:tcPr>
            <w:tcW w:w="2396" w:type="dxa"/>
            <w:tcBorders>
              <w:top w:val="single" w:sz="4" w:space="0" w:color="000001"/>
              <w:left w:val="single" w:sz="4" w:space="0" w:color="000001"/>
              <w:bottom w:val="single" w:sz="4" w:space="0" w:color="000001"/>
            </w:tcBorders>
            <w:shd w:val="clear" w:color="auto" w:fill="AEAAAA"/>
            <w:tcMar>
              <w:left w:w="73" w:type="dxa"/>
            </w:tcMar>
          </w:tcPr>
          <w:p w:rsidR="002C54E6" w:rsidRDefault="00D752E7">
            <w:pPr>
              <w:snapToGrid w:val="0"/>
              <w:rPr>
                <w:rFonts w:cs="Times New Roman"/>
                <w:sz w:val="18"/>
                <w:szCs w:val="18"/>
              </w:rPr>
            </w:pPr>
            <w:r>
              <w:rPr>
                <w:rFonts w:cs="Times New Roman"/>
                <w:sz w:val="18"/>
                <w:szCs w:val="18"/>
              </w:rPr>
              <w:t>Eksploatacja PILOTA poziom Centralny i Wojewódzki  (Org_7)</w:t>
            </w:r>
          </w:p>
          <w:p w:rsidR="002C54E6" w:rsidRDefault="00D752E7">
            <w:pPr>
              <w:snapToGrid w:val="0"/>
              <w:rPr>
                <w:rFonts w:cs="Times New Roman"/>
                <w:sz w:val="18"/>
                <w:szCs w:val="18"/>
              </w:rPr>
            </w:pPr>
            <w:r>
              <w:rPr>
                <w:rFonts w:cs="Times New Roman"/>
                <w:sz w:val="18"/>
                <w:szCs w:val="18"/>
              </w:rPr>
              <w:t>Kontynuacja  eksploatacji poziom JST (Org_6)</w:t>
            </w:r>
          </w:p>
        </w:tc>
        <w:tc>
          <w:tcPr>
            <w:tcW w:w="2677"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snapToGrid w:val="0"/>
              <w:rPr>
                <w:rFonts w:cs="Times New Roman"/>
                <w:sz w:val="18"/>
                <w:szCs w:val="18"/>
              </w:rPr>
            </w:pPr>
          </w:p>
        </w:tc>
        <w:tc>
          <w:tcPr>
            <w:tcW w:w="2590"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2C54E6">
            <w:pPr>
              <w:snapToGrid w:val="0"/>
              <w:rPr>
                <w:rFonts w:cs="Times New Roman"/>
                <w:sz w:val="18"/>
                <w:szCs w:val="18"/>
              </w:rPr>
            </w:pPr>
          </w:p>
        </w:tc>
      </w:tr>
      <w:tr w:rsidR="002C54E6">
        <w:tc>
          <w:tcPr>
            <w:tcW w:w="771"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snapToGrid w:val="0"/>
              <w:rPr>
                <w:rFonts w:cs="Times New Roman"/>
                <w:sz w:val="18"/>
                <w:szCs w:val="18"/>
              </w:rPr>
            </w:pPr>
          </w:p>
        </w:tc>
        <w:tc>
          <w:tcPr>
            <w:tcW w:w="90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IV</w:t>
            </w:r>
          </w:p>
        </w:tc>
        <w:tc>
          <w:tcPr>
            <w:tcW w:w="2396" w:type="dxa"/>
            <w:tcBorders>
              <w:top w:val="single" w:sz="4" w:space="0" w:color="000001"/>
              <w:left w:val="single" w:sz="4" w:space="0" w:color="000001"/>
              <w:bottom w:val="single" w:sz="4" w:space="0" w:color="000001"/>
            </w:tcBorders>
            <w:shd w:val="clear" w:color="auto" w:fill="A6A6A6" w:themeFill="background1" w:themeFillShade="A6"/>
            <w:tcMar>
              <w:left w:w="73" w:type="dxa"/>
            </w:tcMar>
          </w:tcPr>
          <w:p w:rsidR="002C54E6" w:rsidRDefault="002C54E6">
            <w:pPr>
              <w:rPr>
                <w:rFonts w:cs="Times New Roman"/>
                <w:sz w:val="18"/>
                <w:szCs w:val="18"/>
                <w:highlight w:val="yellow"/>
              </w:rPr>
            </w:pPr>
          </w:p>
        </w:tc>
        <w:tc>
          <w:tcPr>
            <w:tcW w:w="2677"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snapToGrid w:val="0"/>
              <w:rPr>
                <w:rFonts w:cs="Times New Roman"/>
                <w:sz w:val="18"/>
                <w:szCs w:val="18"/>
              </w:rPr>
            </w:pPr>
            <w:r>
              <w:rPr>
                <w:rFonts w:cs="Times New Roman"/>
                <w:sz w:val="18"/>
                <w:szCs w:val="18"/>
              </w:rPr>
              <w:t>Implementacja  Pilota HUB_3 – uwzględnienie uwag (Org_6) i (Org_7) + funkcjonalność dla gmin wiejskich, funkcjonalność poziom centralny (Tech_4)</w:t>
            </w:r>
          </w:p>
        </w:tc>
        <w:tc>
          <w:tcPr>
            <w:tcW w:w="2590"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2C54E6">
            <w:pPr>
              <w:snapToGrid w:val="0"/>
              <w:rPr>
                <w:rFonts w:cs="Times New Roman"/>
                <w:sz w:val="18"/>
                <w:szCs w:val="18"/>
              </w:rPr>
            </w:pPr>
          </w:p>
        </w:tc>
      </w:tr>
      <w:tr w:rsidR="002C54E6">
        <w:tc>
          <w:tcPr>
            <w:tcW w:w="771"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Rok_3</w:t>
            </w:r>
          </w:p>
        </w:tc>
        <w:tc>
          <w:tcPr>
            <w:tcW w:w="90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I</w:t>
            </w:r>
          </w:p>
        </w:tc>
        <w:tc>
          <w:tcPr>
            <w:tcW w:w="2396" w:type="dxa"/>
            <w:tcBorders>
              <w:top w:val="single" w:sz="4" w:space="0" w:color="000001"/>
              <w:left w:val="single" w:sz="4" w:space="0" w:color="000001"/>
              <w:bottom w:val="single" w:sz="4" w:space="0" w:color="000001"/>
            </w:tcBorders>
            <w:shd w:val="clear" w:color="auto" w:fill="7F7F7F"/>
            <w:tcMar>
              <w:left w:w="73" w:type="dxa"/>
            </w:tcMar>
          </w:tcPr>
          <w:p w:rsidR="002C54E6" w:rsidRDefault="00D752E7">
            <w:pPr>
              <w:snapToGrid w:val="0"/>
              <w:rPr>
                <w:rFonts w:cs="Times New Roman"/>
                <w:sz w:val="18"/>
                <w:szCs w:val="18"/>
                <w:highlight w:val="yellow"/>
              </w:rPr>
            </w:pPr>
            <w:r>
              <w:rPr>
                <w:rFonts w:cs="Times New Roman"/>
                <w:sz w:val="18"/>
                <w:szCs w:val="18"/>
              </w:rPr>
              <w:t>Kontynuacja (Org_6) (Org_7)</w:t>
            </w:r>
          </w:p>
        </w:tc>
        <w:tc>
          <w:tcPr>
            <w:tcW w:w="2677"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snapToGrid w:val="0"/>
              <w:rPr>
                <w:rFonts w:cs="Times New Roman"/>
                <w:sz w:val="18"/>
                <w:szCs w:val="18"/>
              </w:rPr>
            </w:pPr>
          </w:p>
        </w:tc>
        <w:tc>
          <w:tcPr>
            <w:tcW w:w="2590" w:type="dxa"/>
            <w:tcBorders>
              <w:top w:val="single" w:sz="4" w:space="0" w:color="000001"/>
              <w:left w:val="single" w:sz="4" w:space="0" w:color="000001"/>
              <w:bottom w:val="single" w:sz="4" w:space="0" w:color="000001"/>
              <w:right w:val="single" w:sz="4" w:space="0" w:color="000001"/>
            </w:tcBorders>
            <w:shd w:val="clear" w:color="auto" w:fill="AEAAAA"/>
            <w:tcMar>
              <w:left w:w="73" w:type="dxa"/>
            </w:tcMar>
          </w:tcPr>
          <w:p w:rsidR="002C54E6" w:rsidRDefault="00D752E7">
            <w:pPr>
              <w:snapToGrid w:val="0"/>
              <w:rPr>
                <w:rFonts w:cs="Times New Roman"/>
                <w:sz w:val="18"/>
                <w:szCs w:val="18"/>
              </w:rPr>
            </w:pPr>
            <w:r>
              <w:rPr>
                <w:rFonts w:cs="Times New Roman"/>
                <w:sz w:val="18"/>
                <w:szCs w:val="18"/>
              </w:rPr>
              <w:t xml:space="preserve">Projekt Dostosowanie Prawa cz.II – uwzględnienie Systemów Centralnych projekt( Lex_3) </w:t>
            </w:r>
          </w:p>
        </w:tc>
      </w:tr>
      <w:tr w:rsidR="002C54E6">
        <w:tc>
          <w:tcPr>
            <w:tcW w:w="771"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snapToGrid w:val="0"/>
              <w:rPr>
                <w:rFonts w:cs="Times New Roman"/>
                <w:sz w:val="18"/>
                <w:szCs w:val="18"/>
              </w:rPr>
            </w:pPr>
          </w:p>
        </w:tc>
        <w:tc>
          <w:tcPr>
            <w:tcW w:w="90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II</w:t>
            </w:r>
          </w:p>
        </w:tc>
        <w:tc>
          <w:tcPr>
            <w:tcW w:w="2396"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snapToGrid w:val="0"/>
              <w:rPr>
                <w:rFonts w:cs="Times New Roman"/>
                <w:sz w:val="18"/>
                <w:szCs w:val="18"/>
              </w:rPr>
            </w:pPr>
            <w:r>
              <w:rPr>
                <w:rFonts w:cs="Times New Roman"/>
                <w:sz w:val="18"/>
                <w:szCs w:val="18"/>
              </w:rPr>
              <w:t>Specyfikacja wymagań HUB (Org_8);</w:t>
            </w:r>
          </w:p>
          <w:p w:rsidR="002C54E6" w:rsidRDefault="00D752E7">
            <w:pPr>
              <w:snapToGrid w:val="0"/>
              <w:rPr>
                <w:rFonts w:cs="Times New Roman"/>
                <w:sz w:val="18"/>
                <w:szCs w:val="18"/>
                <w:highlight w:val="yellow"/>
              </w:rPr>
            </w:pPr>
            <w:r>
              <w:rPr>
                <w:rFonts w:cs="Times New Roman"/>
                <w:sz w:val="18"/>
                <w:szCs w:val="18"/>
              </w:rPr>
              <w:t>Specyfikacja wymagań integracji z Systemami Centralnymi (Org_9)</w:t>
            </w:r>
          </w:p>
        </w:tc>
        <w:tc>
          <w:tcPr>
            <w:tcW w:w="2677" w:type="dxa"/>
            <w:tcBorders>
              <w:top w:val="single" w:sz="4" w:space="0" w:color="000001"/>
              <w:left w:val="single" w:sz="4" w:space="0" w:color="000001"/>
              <w:bottom w:val="single" w:sz="4" w:space="0" w:color="000001"/>
            </w:tcBorders>
            <w:shd w:val="clear" w:color="auto" w:fill="548DD4"/>
            <w:tcMar>
              <w:left w:w="73" w:type="dxa"/>
            </w:tcMar>
          </w:tcPr>
          <w:p w:rsidR="002C54E6" w:rsidRDefault="00D752E7">
            <w:pPr>
              <w:rPr>
                <w:rFonts w:cs="Times New Roman"/>
                <w:sz w:val="18"/>
                <w:szCs w:val="18"/>
              </w:rPr>
            </w:pPr>
            <w:r>
              <w:rPr>
                <w:rFonts w:cs="Times New Roman"/>
                <w:sz w:val="18"/>
                <w:szCs w:val="18"/>
              </w:rPr>
              <w:t>Implementacja HUB (Tech_5)</w:t>
            </w:r>
          </w:p>
        </w:tc>
        <w:tc>
          <w:tcPr>
            <w:tcW w:w="2590"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2C54E6">
            <w:pPr>
              <w:snapToGrid w:val="0"/>
              <w:rPr>
                <w:rFonts w:cs="Times New Roman"/>
                <w:sz w:val="18"/>
                <w:szCs w:val="18"/>
              </w:rPr>
            </w:pPr>
          </w:p>
        </w:tc>
      </w:tr>
      <w:tr w:rsidR="002C54E6">
        <w:tc>
          <w:tcPr>
            <w:tcW w:w="771"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snapToGrid w:val="0"/>
              <w:rPr>
                <w:rFonts w:cs="Times New Roman"/>
                <w:sz w:val="18"/>
                <w:szCs w:val="18"/>
              </w:rPr>
            </w:pPr>
          </w:p>
        </w:tc>
        <w:tc>
          <w:tcPr>
            <w:tcW w:w="90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III</w:t>
            </w:r>
          </w:p>
        </w:tc>
        <w:tc>
          <w:tcPr>
            <w:tcW w:w="2396"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snapToGrid w:val="0"/>
              <w:rPr>
                <w:rFonts w:cs="Times New Roman"/>
                <w:sz w:val="18"/>
                <w:szCs w:val="18"/>
              </w:rPr>
            </w:pPr>
          </w:p>
        </w:tc>
        <w:tc>
          <w:tcPr>
            <w:tcW w:w="2677" w:type="dxa"/>
            <w:tcBorders>
              <w:top w:val="single" w:sz="4" w:space="0" w:color="000001"/>
              <w:left w:val="single" w:sz="4" w:space="0" w:color="000001"/>
              <w:bottom w:val="single" w:sz="4" w:space="0" w:color="000001"/>
            </w:tcBorders>
            <w:shd w:val="clear" w:color="auto" w:fill="8496B0" w:themeFill="text2" w:themeFillTint="99"/>
            <w:tcMar>
              <w:left w:w="73" w:type="dxa"/>
            </w:tcMar>
          </w:tcPr>
          <w:p w:rsidR="002C54E6" w:rsidRDefault="002C54E6">
            <w:pPr>
              <w:snapToGrid w:val="0"/>
              <w:rPr>
                <w:rFonts w:cs="Times New Roman"/>
                <w:sz w:val="18"/>
                <w:szCs w:val="18"/>
              </w:rPr>
            </w:pPr>
          </w:p>
        </w:tc>
        <w:tc>
          <w:tcPr>
            <w:tcW w:w="2590"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2C54E6">
            <w:pPr>
              <w:snapToGrid w:val="0"/>
              <w:rPr>
                <w:rFonts w:cs="Times New Roman"/>
                <w:sz w:val="18"/>
                <w:szCs w:val="18"/>
              </w:rPr>
            </w:pPr>
          </w:p>
        </w:tc>
      </w:tr>
      <w:tr w:rsidR="002C54E6">
        <w:tc>
          <w:tcPr>
            <w:tcW w:w="771"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snapToGrid w:val="0"/>
              <w:rPr>
                <w:rFonts w:cs="Times New Roman"/>
                <w:sz w:val="18"/>
                <w:szCs w:val="18"/>
              </w:rPr>
            </w:pPr>
          </w:p>
        </w:tc>
        <w:tc>
          <w:tcPr>
            <w:tcW w:w="90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IV</w:t>
            </w:r>
          </w:p>
        </w:tc>
        <w:tc>
          <w:tcPr>
            <w:tcW w:w="2396"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 xml:space="preserve">Przejście z eksploatacji PILOTA do docelowego rozwiązania HUB w </w:t>
            </w:r>
            <w:r>
              <w:rPr>
                <w:rFonts w:cs="Times New Roman"/>
                <w:sz w:val="18"/>
                <w:szCs w:val="18"/>
              </w:rPr>
              <w:lastRenderedPageBreak/>
              <w:t>jednostkach, które eksploatowały PILOTA  (Org_10)</w:t>
            </w:r>
          </w:p>
        </w:tc>
        <w:tc>
          <w:tcPr>
            <w:tcW w:w="2677" w:type="dxa"/>
            <w:tcBorders>
              <w:top w:val="single" w:sz="4" w:space="0" w:color="000001"/>
              <w:left w:val="single" w:sz="4" w:space="0" w:color="000001"/>
              <w:bottom w:val="single" w:sz="4" w:space="0" w:color="000001"/>
            </w:tcBorders>
            <w:shd w:val="clear" w:color="auto" w:fill="8496B0" w:themeFill="text2" w:themeFillTint="99"/>
            <w:tcMar>
              <w:left w:w="73" w:type="dxa"/>
            </w:tcMar>
          </w:tcPr>
          <w:p w:rsidR="002C54E6" w:rsidRDefault="002C54E6">
            <w:pPr>
              <w:snapToGrid w:val="0"/>
              <w:rPr>
                <w:rFonts w:cs="Times New Roman"/>
                <w:sz w:val="18"/>
                <w:szCs w:val="18"/>
              </w:rPr>
            </w:pPr>
          </w:p>
        </w:tc>
        <w:tc>
          <w:tcPr>
            <w:tcW w:w="2590"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2C54E6">
            <w:pPr>
              <w:snapToGrid w:val="0"/>
              <w:rPr>
                <w:rFonts w:cs="Times New Roman"/>
                <w:sz w:val="18"/>
                <w:szCs w:val="18"/>
              </w:rPr>
            </w:pPr>
          </w:p>
        </w:tc>
      </w:tr>
      <w:tr w:rsidR="002C54E6">
        <w:tc>
          <w:tcPr>
            <w:tcW w:w="771"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Rok_4</w:t>
            </w:r>
          </w:p>
        </w:tc>
        <w:tc>
          <w:tcPr>
            <w:tcW w:w="90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I</w:t>
            </w:r>
          </w:p>
        </w:tc>
        <w:tc>
          <w:tcPr>
            <w:tcW w:w="2396" w:type="dxa"/>
            <w:tcBorders>
              <w:top w:val="single" w:sz="4" w:space="0" w:color="000001"/>
              <w:left w:val="single" w:sz="4" w:space="0" w:color="000001"/>
              <w:bottom w:val="single" w:sz="4" w:space="0" w:color="000001"/>
            </w:tcBorders>
            <w:shd w:val="clear" w:color="auto" w:fill="00B050"/>
            <w:tcMar>
              <w:left w:w="73" w:type="dxa"/>
            </w:tcMar>
          </w:tcPr>
          <w:p w:rsidR="002C54E6" w:rsidRDefault="00D752E7">
            <w:pPr>
              <w:rPr>
                <w:rFonts w:cs="Times New Roman"/>
                <w:sz w:val="18"/>
                <w:szCs w:val="18"/>
              </w:rPr>
            </w:pPr>
            <w:r>
              <w:rPr>
                <w:rFonts w:cs="Times New Roman"/>
                <w:sz w:val="18"/>
                <w:szCs w:val="18"/>
              </w:rPr>
              <w:t>Faza początkowej eksploatacji w skali całego kraju z podziałem na wcześniej przyjęte etapy  (Org_11)</w:t>
            </w:r>
          </w:p>
        </w:tc>
        <w:tc>
          <w:tcPr>
            <w:tcW w:w="2677" w:type="dxa"/>
            <w:tcBorders>
              <w:top w:val="single" w:sz="4" w:space="0" w:color="000001"/>
              <w:left w:val="single" w:sz="4" w:space="0" w:color="000001"/>
              <w:bottom w:val="single" w:sz="4" w:space="0" w:color="000001"/>
            </w:tcBorders>
            <w:shd w:val="clear" w:color="auto" w:fill="00B050"/>
            <w:tcMar>
              <w:left w:w="73" w:type="dxa"/>
            </w:tcMar>
          </w:tcPr>
          <w:p w:rsidR="002C54E6" w:rsidRDefault="00D752E7">
            <w:pPr>
              <w:rPr>
                <w:rFonts w:cs="Times New Roman"/>
                <w:sz w:val="18"/>
                <w:szCs w:val="18"/>
              </w:rPr>
            </w:pPr>
            <w:r>
              <w:rPr>
                <w:rFonts w:cs="Times New Roman"/>
                <w:sz w:val="18"/>
                <w:szCs w:val="18"/>
              </w:rPr>
              <w:t>Faza początkowej eksploatacji HUB_1 (Tech_6)</w:t>
            </w:r>
          </w:p>
        </w:tc>
        <w:tc>
          <w:tcPr>
            <w:tcW w:w="2590" w:type="dxa"/>
            <w:tcBorders>
              <w:top w:val="single" w:sz="4" w:space="0" w:color="000001"/>
              <w:left w:val="single" w:sz="4" w:space="0" w:color="000001"/>
              <w:bottom w:val="single" w:sz="4" w:space="0" w:color="000001"/>
              <w:right w:val="single" w:sz="4" w:space="0" w:color="000001"/>
            </w:tcBorders>
            <w:shd w:val="clear" w:color="auto" w:fill="AEAAAA"/>
            <w:tcMar>
              <w:left w:w="73" w:type="dxa"/>
            </w:tcMar>
          </w:tcPr>
          <w:p w:rsidR="002C54E6" w:rsidRDefault="00D752E7">
            <w:pPr>
              <w:snapToGrid w:val="0"/>
              <w:rPr>
                <w:rFonts w:cs="Times New Roman"/>
                <w:sz w:val="18"/>
                <w:szCs w:val="18"/>
              </w:rPr>
            </w:pPr>
            <w:r>
              <w:rPr>
                <w:rFonts w:cs="Times New Roman"/>
                <w:sz w:val="18"/>
                <w:szCs w:val="18"/>
              </w:rPr>
              <w:t>Zmiana przepisów prawa wynikająca z eksploatacji HUB (Lex_4)</w:t>
            </w:r>
          </w:p>
        </w:tc>
      </w:tr>
      <w:tr w:rsidR="002C54E6">
        <w:tc>
          <w:tcPr>
            <w:tcW w:w="771"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rPr>
                <w:rFonts w:cs="Times New Roman"/>
                <w:sz w:val="18"/>
                <w:szCs w:val="18"/>
              </w:rPr>
            </w:pPr>
          </w:p>
        </w:tc>
        <w:tc>
          <w:tcPr>
            <w:tcW w:w="90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II</w:t>
            </w:r>
          </w:p>
        </w:tc>
        <w:tc>
          <w:tcPr>
            <w:tcW w:w="2396" w:type="dxa"/>
            <w:tcBorders>
              <w:top w:val="single" w:sz="4" w:space="0" w:color="000001"/>
              <w:left w:val="single" w:sz="4" w:space="0" w:color="000001"/>
              <w:bottom w:val="single" w:sz="4" w:space="0" w:color="000001"/>
            </w:tcBorders>
            <w:shd w:val="clear" w:color="auto" w:fill="00B050"/>
            <w:tcMar>
              <w:left w:w="73" w:type="dxa"/>
            </w:tcMar>
          </w:tcPr>
          <w:p w:rsidR="002C54E6" w:rsidRDefault="002C54E6">
            <w:pPr>
              <w:rPr>
                <w:rFonts w:cs="Times New Roman"/>
                <w:sz w:val="18"/>
                <w:szCs w:val="18"/>
              </w:rPr>
            </w:pPr>
          </w:p>
        </w:tc>
        <w:tc>
          <w:tcPr>
            <w:tcW w:w="2677" w:type="dxa"/>
            <w:tcBorders>
              <w:top w:val="single" w:sz="4" w:space="0" w:color="000001"/>
              <w:left w:val="single" w:sz="4" w:space="0" w:color="000001"/>
              <w:bottom w:val="single" w:sz="4" w:space="0" w:color="000001"/>
            </w:tcBorders>
            <w:shd w:val="clear" w:color="auto" w:fill="00B050"/>
            <w:tcMar>
              <w:left w:w="73" w:type="dxa"/>
            </w:tcMar>
          </w:tcPr>
          <w:p w:rsidR="002C54E6" w:rsidRDefault="00D752E7">
            <w:pPr>
              <w:rPr>
                <w:rFonts w:cs="Times New Roman"/>
                <w:sz w:val="18"/>
                <w:szCs w:val="18"/>
              </w:rPr>
            </w:pPr>
            <w:r>
              <w:rPr>
                <w:rFonts w:cs="Times New Roman"/>
                <w:sz w:val="18"/>
                <w:szCs w:val="18"/>
              </w:rPr>
              <w:t xml:space="preserve">Rozpoczęcie integracji z Systemami Centralnymi HUB_2 (Tech_7) </w:t>
            </w:r>
          </w:p>
        </w:tc>
        <w:tc>
          <w:tcPr>
            <w:tcW w:w="2590" w:type="dxa"/>
            <w:tcBorders>
              <w:top w:val="single" w:sz="4" w:space="0" w:color="000001"/>
              <w:left w:val="single" w:sz="4" w:space="0" w:color="000001"/>
              <w:bottom w:val="single" w:sz="4" w:space="0" w:color="000001"/>
              <w:right w:val="single" w:sz="4" w:space="0" w:color="000001"/>
            </w:tcBorders>
            <w:shd w:val="clear" w:color="auto" w:fill="AEAAAA"/>
            <w:tcMar>
              <w:left w:w="73" w:type="dxa"/>
            </w:tcMar>
          </w:tcPr>
          <w:p w:rsidR="002C54E6" w:rsidRDefault="002C54E6">
            <w:pPr>
              <w:snapToGrid w:val="0"/>
              <w:rPr>
                <w:rFonts w:cs="Times New Roman"/>
                <w:sz w:val="18"/>
                <w:szCs w:val="18"/>
              </w:rPr>
            </w:pPr>
          </w:p>
        </w:tc>
      </w:tr>
      <w:tr w:rsidR="002C54E6">
        <w:tc>
          <w:tcPr>
            <w:tcW w:w="771"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snapToGrid w:val="0"/>
              <w:rPr>
                <w:rFonts w:cs="Times New Roman"/>
                <w:sz w:val="18"/>
                <w:szCs w:val="18"/>
              </w:rPr>
            </w:pPr>
          </w:p>
        </w:tc>
        <w:tc>
          <w:tcPr>
            <w:tcW w:w="90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rPr>
                <w:rFonts w:cs="Times New Roman"/>
                <w:sz w:val="18"/>
                <w:szCs w:val="18"/>
              </w:rPr>
            </w:pPr>
            <w:r>
              <w:rPr>
                <w:rFonts w:cs="Times New Roman"/>
                <w:sz w:val="18"/>
                <w:szCs w:val="18"/>
              </w:rPr>
              <w:t>III</w:t>
            </w:r>
          </w:p>
        </w:tc>
        <w:tc>
          <w:tcPr>
            <w:tcW w:w="2396" w:type="dxa"/>
            <w:tcBorders>
              <w:top w:val="single" w:sz="4" w:space="0" w:color="000001"/>
              <w:left w:val="single" w:sz="4" w:space="0" w:color="000001"/>
              <w:bottom w:val="single" w:sz="4" w:space="0" w:color="000001"/>
            </w:tcBorders>
            <w:shd w:val="clear" w:color="auto" w:fill="00B050"/>
            <w:tcMar>
              <w:left w:w="73" w:type="dxa"/>
            </w:tcMar>
          </w:tcPr>
          <w:p w:rsidR="002C54E6" w:rsidRDefault="002C54E6">
            <w:pPr>
              <w:snapToGrid w:val="0"/>
              <w:rPr>
                <w:rFonts w:cs="Times New Roman"/>
                <w:sz w:val="18"/>
                <w:szCs w:val="18"/>
              </w:rPr>
            </w:pPr>
          </w:p>
        </w:tc>
        <w:tc>
          <w:tcPr>
            <w:tcW w:w="2677" w:type="dxa"/>
            <w:tcBorders>
              <w:top w:val="single" w:sz="4" w:space="0" w:color="000001"/>
              <w:left w:val="single" w:sz="4" w:space="0" w:color="000001"/>
              <w:bottom w:val="single" w:sz="4" w:space="0" w:color="000001"/>
            </w:tcBorders>
            <w:shd w:val="clear" w:color="auto" w:fill="00B050"/>
            <w:tcMar>
              <w:left w:w="73" w:type="dxa"/>
            </w:tcMar>
          </w:tcPr>
          <w:p w:rsidR="002C54E6" w:rsidRDefault="00D752E7">
            <w:pPr>
              <w:snapToGrid w:val="0"/>
            </w:pPr>
            <w:r>
              <w:rPr>
                <w:rFonts w:cs="Times New Roman"/>
                <w:sz w:val="18"/>
                <w:szCs w:val="18"/>
              </w:rPr>
              <w:t>Integracja z Systemami Centralnymi HUB_2 (Tech_7_cd)</w:t>
            </w:r>
          </w:p>
        </w:tc>
        <w:tc>
          <w:tcPr>
            <w:tcW w:w="2590" w:type="dxa"/>
            <w:tcBorders>
              <w:top w:val="single" w:sz="4" w:space="0" w:color="000001"/>
              <w:left w:val="single" w:sz="4" w:space="0" w:color="000001"/>
              <w:bottom w:val="single" w:sz="4" w:space="0" w:color="000001"/>
              <w:right w:val="single" w:sz="4" w:space="0" w:color="000001"/>
            </w:tcBorders>
            <w:shd w:val="clear" w:color="auto" w:fill="A6A6A6" w:themeFill="background1" w:themeFillShade="A6"/>
            <w:tcMar>
              <w:left w:w="73" w:type="dxa"/>
            </w:tcMar>
          </w:tcPr>
          <w:p w:rsidR="002C54E6" w:rsidRDefault="002C54E6">
            <w:pPr>
              <w:snapToGrid w:val="0"/>
              <w:rPr>
                <w:rFonts w:cs="Times New Roman"/>
                <w:sz w:val="18"/>
                <w:szCs w:val="18"/>
              </w:rPr>
            </w:pPr>
          </w:p>
        </w:tc>
      </w:tr>
    </w:tbl>
    <w:p w:rsidR="002C54E6" w:rsidRDefault="002C54E6">
      <w:pPr>
        <w:jc w:val="both"/>
        <w:rPr>
          <w:rFonts w:eastAsia="Calibri" w:cs="Times New Roman"/>
          <w:sz w:val="22"/>
          <w:szCs w:val="22"/>
        </w:rPr>
      </w:pPr>
    </w:p>
    <w:p w:rsidR="002C54E6" w:rsidRDefault="002C54E6">
      <w:pPr>
        <w:jc w:val="both"/>
        <w:rPr>
          <w:rFonts w:eastAsia="Calibri" w:cs="Times New Roman"/>
          <w:sz w:val="22"/>
          <w:szCs w:val="22"/>
        </w:rPr>
      </w:pPr>
      <w:bookmarkStart w:id="29" w:name="Bookmark"/>
      <w:bookmarkEnd w:id="29"/>
    </w:p>
    <w:p w:rsidR="002C54E6" w:rsidRDefault="00D752E7">
      <w:pPr>
        <w:jc w:val="both"/>
        <w:rPr>
          <w:rFonts w:cs="Times New Roman"/>
          <w:sz w:val="22"/>
          <w:szCs w:val="22"/>
        </w:rPr>
      </w:pPr>
      <w:r>
        <w:rPr>
          <w:rFonts w:eastAsia="Calibri" w:cs="Times New Roman"/>
          <w:sz w:val="22"/>
          <w:szCs w:val="22"/>
        </w:rPr>
        <w:t>Eksploatacja PILOTA w wybranym województwie obejmuje zaznaczony okres 2 lat (odpowiednio drugi trzeci rok projektu), jest to czas, który jak zakładamy, pozwala na osiągniecie pełnej funkcjonalności czyli zaimplementowanie sprawozdań we wszystkich 10 obszarach tematycznych oraz wypracowanie zakresu integracji z Systemami Centralnymi.</w:t>
      </w:r>
    </w:p>
    <w:p w:rsidR="002C54E6" w:rsidRDefault="00D752E7">
      <w:pPr>
        <w:jc w:val="both"/>
        <w:rPr>
          <w:rFonts w:cs="Times New Roman"/>
          <w:sz w:val="22"/>
          <w:szCs w:val="22"/>
        </w:rPr>
      </w:pPr>
      <w:r>
        <w:rPr>
          <w:rFonts w:eastAsia="Calibri" w:cs="Times New Roman"/>
          <w:sz w:val="22"/>
          <w:szCs w:val="22"/>
        </w:rPr>
        <w:t xml:space="preserve">Zakładamy, że w okresie od Rok_2_kw_III (nie jest zaznaczony kolorem w tabelce w celu zachowania przejrzystości) Pilot będzie eksploatowany w wybranym województwie i kolejnym etapem będzie włączenie się wybranych jednostek centralnych do definiowania/weryfikacji sprawozdań. Ponadto przyjęto założenie, że  sposób ciągły i płynnie system zostanie „przełączony” na system docelowy (zarówno aplikacja JST jak i HUB). </w:t>
      </w:r>
    </w:p>
    <w:p w:rsidR="002C54E6" w:rsidRDefault="00D752E7">
      <w:pPr>
        <w:jc w:val="both"/>
        <w:rPr>
          <w:rFonts w:cs="Times New Roman"/>
          <w:sz w:val="22"/>
          <w:szCs w:val="22"/>
        </w:rPr>
      </w:pPr>
      <w:r>
        <w:rPr>
          <w:rFonts w:eastAsia="Calibri" w:cs="Times New Roman"/>
          <w:sz w:val="22"/>
          <w:szCs w:val="22"/>
        </w:rPr>
        <w:t xml:space="preserve">Dwuletnia eksploatacja Pilota oraz budowa metodą przyrostową pozwoli na ocenę jego przydatności w trakcie pełnego cyklu pracy – dla sprawozdawczości to rok, ponadto pozwoli na wprowadzenie odpowiednich korekt i optymalizacji. </w:t>
      </w:r>
    </w:p>
    <w:p w:rsidR="002C54E6" w:rsidRDefault="00D752E7">
      <w:pPr>
        <w:jc w:val="both"/>
        <w:rPr>
          <w:rFonts w:eastAsia="Calibri" w:cs="Times New Roman"/>
          <w:sz w:val="22"/>
          <w:szCs w:val="22"/>
        </w:rPr>
      </w:pPr>
      <w:r>
        <w:rPr>
          <w:rFonts w:eastAsia="Calibri" w:cs="Times New Roman"/>
          <w:sz w:val="22"/>
          <w:szCs w:val="22"/>
        </w:rPr>
        <w:t>W układzie graficznym Mapa Drogowa prezentowana jest na poniższym rysunku:</w:t>
      </w:r>
    </w:p>
    <w:p w:rsidR="002C54E6" w:rsidRDefault="00D752E7">
      <w:pPr>
        <w:jc w:val="both"/>
        <w:rPr>
          <w:rFonts w:eastAsia="Calibri" w:cs="Times New Roman"/>
          <w:sz w:val="22"/>
          <w:szCs w:val="22"/>
        </w:rPr>
      </w:pPr>
      <w:r>
        <w:rPr>
          <w:rFonts w:eastAsia="Calibri" w:cs="Times New Roman"/>
          <w:sz w:val="22"/>
          <w:szCs w:val="22"/>
        </w:rPr>
        <w:t xml:space="preserve"> </w:t>
      </w:r>
    </w:p>
    <w:p w:rsidR="002C54E6" w:rsidRDefault="00D752E7">
      <w:pPr>
        <w:jc w:val="both"/>
        <w:rPr>
          <w:rFonts w:ascii="Fira Sans" w:eastAsia="Calibri" w:hAnsi="Fira Sans" w:cs="Fira Sans"/>
          <w:sz w:val="20"/>
          <w:szCs w:val="20"/>
        </w:rPr>
      </w:pPr>
      <w:r>
        <w:rPr>
          <w:noProof/>
          <w:lang w:eastAsia="pl-PL" w:bidi="ar-SA"/>
        </w:rPr>
        <w:drawing>
          <wp:inline distT="0" distB="0" distL="0" distR="0" wp14:anchorId="7BEC8541" wp14:editId="3BC10321">
            <wp:extent cx="6123940" cy="3580765"/>
            <wp:effectExtent l="0" t="0" r="0" b="0"/>
            <wp:docPr id="23" name="Obraz3" descr="C:\Users\Jacek\Desktop\2019_ZMP\2019_ZMP_new\2019_ZMP\2021_12_grudzien\HUB\shem_mapa_drogow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braz3" descr="C:\Users\Jacek\Desktop\2019_ZMP\2019_ZMP_new\2019_ZMP\2021_12_grudzien\HUB\shem_mapa_drogowa.png"/>
                    <pic:cNvPicPr>
                      <a:picLocks noChangeAspect="1" noChangeArrowheads="1"/>
                    </pic:cNvPicPr>
                  </pic:nvPicPr>
                  <pic:blipFill>
                    <a:blip r:embed="rId33"/>
                    <a:srcRect t="9786" b="18039"/>
                    <a:stretch>
                      <a:fillRect/>
                    </a:stretch>
                  </pic:blipFill>
                  <pic:spPr bwMode="auto">
                    <a:xfrm>
                      <a:off x="0" y="0"/>
                      <a:ext cx="6123940" cy="3580765"/>
                    </a:xfrm>
                    <a:prstGeom prst="rect">
                      <a:avLst/>
                    </a:prstGeom>
                  </pic:spPr>
                </pic:pic>
              </a:graphicData>
            </a:graphic>
          </wp:inline>
        </w:drawing>
      </w:r>
    </w:p>
    <w:p w:rsidR="002C54E6" w:rsidRDefault="002C54E6">
      <w:pPr>
        <w:jc w:val="both"/>
        <w:rPr>
          <w:rFonts w:ascii="Fira Sans" w:eastAsia="Calibri" w:hAnsi="Fira Sans" w:cs="Fira Sans"/>
          <w:sz w:val="20"/>
          <w:szCs w:val="20"/>
        </w:rPr>
      </w:pPr>
    </w:p>
    <w:p w:rsidR="002C54E6" w:rsidRDefault="002C54E6">
      <w:pPr>
        <w:jc w:val="both"/>
        <w:rPr>
          <w:rFonts w:ascii="Fira Sans" w:eastAsia="Calibri" w:hAnsi="Fira Sans" w:cs="Fira Sans"/>
          <w:sz w:val="20"/>
          <w:szCs w:val="20"/>
        </w:rPr>
      </w:pPr>
    </w:p>
    <w:p w:rsidR="002C54E6" w:rsidRDefault="00D752E7">
      <w:pPr>
        <w:jc w:val="both"/>
        <w:rPr>
          <w:rFonts w:eastAsia="Calibri" w:cs="Times New Roman"/>
          <w:sz w:val="22"/>
          <w:szCs w:val="22"/>
        </w:rPr>
      </w:pPr>
      <w:r>
        <w:rPr>
          <w:rFonts w:eastAsia="Calibri" w:cs="Times New Roman"/>
          <w:sz w:val="22"/>
          <w:szCs w:val="22"/>
        </w:rPr>
        <w:t>Poniżej przedstawiona jest szczegółowa specyfikacja poszczególnych zadań mapy drogowej wraz z proponowanymi produktami w porządku odpowiednio dla obszarów: organizacyjny, technologiczny, prawny.</w:t>
      </w:r>
    </w:p>
    <w:p w:rsidR="002C54E6" w:rsidRDefault="002C54E6">
      <w:pPr>
        <w:jc w:val="both"/>
        <w:rPr>
          <w:rFonts w:eastAsia="Calibri" w:cs="Times New Roman"/>
          <w:sz w:val="22"/>
          <w:szCs w:val="22"/>
        </w:rPr>
      </w:pPr>
    </w:p>
    <w:p w:rsidR="002C54E6" w:rsidRPr="00DE6E60" w:rsidRDefault="00D752E7" w:rsidP="00DE6E60">
      <w:pPr>
        <w:pStyle w:val="Default"/>
        <w:jc w:val="both"/>
        <w:rPr>
          <w:rFonts w:ascii="Times New Roman" w:hAnsi="Times New Roman" w:cs="Times New Roman"/>
          <w:b/>
          <w:sz w:val="22"/>
          <w:szCs w:val="22"/>
          <w:highlight w:val="white"/>
        </w:rPr>
      </w:pPr>
      <w:r>
        <w:rPr>
          <w:rFonts w:ascii="Times New Roman" w:hAnsi="Times New Roman" w:cs="Times New Roman"/>
          <w:b/>
          <w:sz w:val="22"/>
          <w:szCs w:val="22"/>
          <w:shd w:val="clear" w:color="auto" w:fill="FFFFFF"/>
        </w:rPr>
        <w:t xml:space="preserve">Zadania dla Obszaru Organizacyjnego </w:t>
      </w:r>
    </w:p>
    <w:tbl>
      <w:tblPr>
        <w:tblW w:w="9261"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88"/>
        <w:gridCol w:w="2124"/>
        <w:gridCol w:w="6749"/>
      </w:tblGrid>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lastRenderedPageBreak/>
              <w:t>1</w:t>
            </w: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Nazwa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Wytypowanie Głównych Interesariuszy (Org_1)</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Opis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Zdefiniowanie  głównych  interesariuszy przy projektowaniu HUB; celowa i niezbędna  jest współpraca z administracją rządową w tym w szczególności z MC (obecnie KPRM)  jako ministerstwem odpowiedzialnym za Architekturę Informacyjną Państwa oraz MSWiA  jako odpowiedzialnym za rządową administrację wojewódzką  głównego odbiorcę sprawozdawczości z JST. Powyższe ministerstwa powinny w przyszłości nadzorować zadanie jakim powinno być zmiany w systemie prawnym.</w:t>
            </w:r>
          </w:p>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Drugim elementem zadania jest wybranie reprezentatywnej grupy JST (gmin/powiatów) uczestniczących w PILOCIE, wskazane jest aby grupy JST pochodziły z co najwyżej dwóch województw w celu optymalizacji prac na szczeblu województwa.</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Produkt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Dokument przyjmujący strategiczną koncepcję realizacji projektu HUB.</w:t>
            </w:r>
          </w:p>
        </w:tc>
      </w:tr>
    </w:tbl>
    <w:p w:rsidR="002C54E6" w:rsidRDefault="002C54E6">
      <w:pPr>
        <w:pStyle w:val="Default"/>
        <w:jc w:val="both"/>
        <w:rPr>
          <w:rFonts w:ascii="Times New Roman" w:hAnsi="Times New Roman" w:cs="Times New Roman"/>
          <w:sz w:val="22"/>
          <w:szCs w:val="22"/>
          <w:shd w:val="clear" w:color="auto" w:fill="FFFFFF"/>
        </w:rPr>
      </w:pPr>
    </w:p>
    <w:tbl>
      <w:tblPr>
        <w:tblW w:w="9261"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88"/>
        <w:gridCol w:w="2124"/>
        <w:gridCol w:w="6749"/>
      </w:tblGrid>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rPr>
              <w:t>2</w:t>
            </w: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Nazwa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Model Realizacji Projektu (Org_2)</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Opis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highlight w:val="white"/>
              </w:rPr>
            </w:pPr>
            <w:r>
              <w:rPr>
                <w:rFonts w:ascii="Times New Roman" w:hAnsi="Times New Roman" w:cs="Times New Roman"/>
                <w:sz w:val="18"/>
                <w:szCs w:val="18"/>
                <w:shd w:val="clear" w:color="auto" w:fill="FFFFFF"/>
              </w:rPr>
              <w:t>Przyjęcie modelu realizacji projektu docelowego rozwiązania HUB przez głównych interesariuszy, wytypowanie sponsorów i aktywnych uczestników projektu. Przyjęte decyzje w tym zadaniu  mogą mieć istotne i kluczowe znaczenie dla pozostałych etapów opracowanej przykładowej  Mapy Drogowej.</w:t>
            </w:r>
          </w:p>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 xml:space="preserve">Istotne dla tego zadania jest zdefiniowanie finasowania JST oraz założenie budowy Pilota metodą przyrostową, analogicznie jak w Demonstratorze HUB powinny być uruchamiane kolejne obszary tematyczne (zgodne z TGR)  </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Produkt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Dokument Inicjujący Projekt (DIP zgodnie z metodyką PRINCE 2)</w:t>
            </w:r>
          </w:p>
        </w:tc>
      </w:tr>
    </w:tbl>
    <w:p w:rsidR="002C54E6" w:rsidRDefault="002C54E6">
      <w:pPr>
        <w:pStyle w:val="Default"/>
        <w:jc w:val="both"/>
        <w:rPr>
          <w:rFonts w:ascii="Times New Roman" w:hAnsi="Times New Roman" w:cs="Times New Roman"/>
          <w:sz w:val="22"/>
          <w:szCs w:val="22"/>
          <w:shd w:val="clear" w:color="auto" w:fill="FFFFFF"/>
        </w:rPr>
      </w:pPr>
    </w:p>
    <w:tbl>
      <w:tblPr>
        <w:tblW w:w="9261"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88"/>
        <w:gridCol w:w="2124"/>
        <w:gridCol w:w="6749"/>
      </w:tblGrid>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3</w:t>
            </w: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Nazwa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Zespół Uczestniczący w  Pilocie (Org_3)</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Opis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Wytypowanie interesariuszy uczestniczących w fazie realizacji Pilota, przypisanie zespołom zadań i odpowiedzialności. Grupami jakie w tym zadaniu powinny zostać wybrane są wszystkie szczeble administracji dla wybranego województwa (max 2) i dodatkowo szczebel centralny eksploatujący systemy zaplanowane do integracji  na etapie Pilota.</w:t>
            </w:r>
          </w:p>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 xml:space="preserve">Kluczowym będzie dobór odpowiednich JST, </w:t>
            </w:r>
            <w:r>
              <w:rPr>
                <w:rFonts w:ascii="Times New Roman" w:hAnsi="Times New Roman" w:cs="Times New Roman"/>
                <w:sz w:val="18"/>
                <w:szCs w:val="18"/>
              </w:rPr>
              <w:t>proponuje się r</w:t>
            </w:r>
            <w:r>
              <w:rPr>
                <w:rFonts w:ascii="Times New Roman" w:hAnsi="Times New Roman" w:cs="Times New Roman"/>
                <w:sz w:val="18"/>
                <w:szCs w:val="18"/>
                <w:shd w:val="clear" w:color="auto" w:fill="FFFFFF"/>
              </w:rPr>
              <w:t xml:space="preserve">ozważyć udział Śląskiego Związku Gmin i Powiatów. </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Produkt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Dokument opisujący strukturę zespołu wraz z rolami w tym zespole, zakresem odpowiedzialności zgodnie z wytycznymi Org_2.</w:t>
            </w:r>
          </w:p>
        </w:tc>
      </w:tr>
    </w:tbl>
    <w:p w:rsidR="002C54E6" w:rsidRDefault="002C54E6">
      <w:pPr>
        <w:pStyle w:val="Default"/>
        <w:rPr>
          <w:rFonts w:ascii="Times New Roman" w:hAnsi="Times New Roman" w:cs="Times New Roman"/>
          <w:sz w:val="22"/>
          <w:szCs w:val="22"/>
          <w:shd w:val="clear" w:color="auto" w:fill="FFFFFF"/>
        </w:rPr>
      </w:pPr>
    </w:p>
    <w:tbl>
      <w:tblPr>
        <w:tblW w:w="9261"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88"/>
        <w:gridCol w:w="2124"/>
        <w:gridCol w:w="6749"/>
      </w:tblGrid>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rPr>
                <w:rFonts w:ascii="Times New Roman" w:hAnsi="Times New Roman" w:cs="Times New Roman"/>
                <w:sz w:val="18"/>
                <w:szCs w:val="18"/>
                <w:highlight w:val="white"/>
              </w:rPr>
            </w:pPr>
            <w:r>
              <w:rPr>
                <w:rFonts w:ascii="Times New Roman" w:hAnsi="Times New Roman" w:cs="Times New Roman"/>
                <w:sz w:val="18"/>
                <w:szCs w:val="18"/>
                <w:shd w:val="clear" w:color="auto" w:fill="FFFFFF"/>
              </w:rPr>
              <w:t>4</w:t>
            </w: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rPr>
                <w:rFonts w:ascii="Times New Roman" w:hAnsi="Times New Roman" w:cs="Times New Roman"/>
                <w:sz w:val="18"/>
                <w:szCs w:val="18"/>
                <w:highlight w:val="white"/>
              </w:rPr>
            </w:pPr>
            <w:r>
              <w:rPr>
                <w:rFonts w:ascii="Times New Roman" w:hAnsi="Times New Roman" w:cs="Times New Roman"/>
                <w:sz w:val="18"/>
                <w:szCs w:val="18"/>
                <w:shd w:val="clear" w:color="auto" w:fill="FFFFFF"/>
              </w:rPr>
              <w:t>Nazwa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rPr>
                <w:rFonts w:ascii="Times New Roman" w:hAnsi="Times New Roman" w:cs="Times New Roman"/>
                <w:sz w:val="18"/>
                <w:szCs w:val="18"/>
                <w:highlight w:val="white"/>
              </w:rPr>
            </w:pPr>
            <w:r>
              <w:rPr>
                <w:rFonts w:ascii="Times New Roman" w:hAnsi="Times New Roman" w:cs="Times New Roman"/>
                <w:sz w:val="18"/>
                <w:szCs w:val="18"/>
                <w:shd w:val="clear" w:color="auto" w:fill="FFFFFF"/>
              </w:rPr>
              <w:t>Inwentaryzacja zasobów informacyjnych (sprawozdań), wytypowanie kolejności obszarów tematycznych implementowanych w Pilot HUB (Org_4)</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rPr>
                <w:rFonts w:ascii="Times New Roman" w:hAnsi="Times New Roman" w:cs="Times New Roman"/>
                <w:sz w:val="18"/>
                <w:szCs w:val="18"/>
                <w:shd w:val="clear" w:color="auto" w:fill="FFFFFF"/>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rPr>
                <w:rFonts w:ascii="Times New Roman" w:hAnsi="Times New Roman" w:cs="Times New Roman"/>
                <w:sz w:val="18"/>
                <w:szCs w:val="18"/>
                <w:highlight w:val="white"/>
              </w:rPr>
            </w:pPr>
            <w:r>
              <w:rPr>
                <w:rFonts w:ascii="Times New Roman" w:hAnsi="Times New Roman" w:cs="Times New Roman"/>
                <w:sz w:val="18"/>
                <w:szCs w:val="18"/>
                <w:shd w:val="clear" w:color="auto" w:fill="FFFFFF"/>
              </w:rPr>
              <w:t>Opis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rPr>
                <w:rFonts w:ascii="Times New Roman" w:hAnsi="Times New Roman" w:cs="Times New Roman"/>
                <w:sz w:val="18"/>
                <w:szCs w:val="18"/>
              </w:rPr>
            </w:pPr>
            <w:r>
              <w:rPr>
                <w:rFonts w:ascii="Times New Roman" w:hAnsi="Times New Roman" w:cs="Times New Roman"/>
                <w:sz w:val="18"/>
                <w:szCs w:val="18"/>
                <w:shd w:val="clear" w:color="auto" w:fill="FFFFFF"/>
              </w:rPr>
              <w:t xml:space="preserve">Inwentaryzacja zasobów informacyjnych (sprawozdań), wytypowanie kolejności obszarów tematycznych implementowanych w Pilot HUB (Org_4). Istotne jest, aby zweryfikować kompletną </w:t>
            </w:r>
            <w:r>
              <w:rPr>
                <w:rFonts w:ascii="Times New Roman" w:hAnsi="Times New Roman" w:cs="Times New Roman"/>
                <w:sz w:val="18"/>
                <w:szCs w:val="18"/>
              </w:rPr>
              <w:t>ścieżkę</w:t>
            </w:r>
            <w:r>
              <w:rPr>
                <w:rFonts w:ascii="Times New Roman" w:hAnsi="Times New Roman" w:cs="Times New Roman"/>
                <w:sz w:val="18"/>
                <w:szCs w:val="18"/>
                <w:shd w:val="clear" w:color="auto" w:fill="FFFFFF"/>
              </w:rPr>
              <w:t xml:space="preserve"> każdego z raportów od jednostki organizacyjnej JST, aż do szczebla centralnego ( Ministerstwo lub GUS) </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rPr>
                <w:rFonts w:ascii="Times New Roman" w:hAnsi="Times New Roman" w:cs="Times New Roman"/>
                <w:sz w:val="18"/>
                <w:szCs w:val="18"/>
                <w:shd w:val="clear" w:color="auto" w:fill="FFFFFF"/>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rPr>
                <w:rFonts w:ascii="Times New Roman" w:hAnsi="Times New Roman" w:cs="Times New Roman"/>
                <w:sz w:val="18"/>
                <w:szCs w:val="18"/>
                <w:highlight w:val="white"/>
              </w:rPr>
            </w:pPr>
            <w:r>
              <w:rPr>
                <w:rFonts w:ascii="Times New Roman" w:hAnsi="Times New Roman" w:cs="Times New Roman"/>
                <w:sz w:val="18"/>
                <w:szCs w:val="18"/>
                <w:shd w:val="clear" w:color="auto" w:fill="FFFFFF"/>
              </w:rPr>
              <w:t>Produkt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rPr>
                <w:rFonts w:ascii="Times New Roman" w:hAnsi="Times New Roman" w:cs="Times New Roman"/>
                <w:sz w:val="18"/>
                <w:szCs w:val="18"/>
                <w:highlight w:val="white"/>
              </w:rPr>
            </w:pPr>
            <w:r>
              <w:rPr>
                <w:rFonts w:ascii="Times New Roman" w:hAnsi="Times New Roman" w:cs="Times New Roman"/>
                <w:sz w:val="18"/>
                <w:szCs w:val="18"/>
                <w:shd w:val="clear" w:color="auto" w:fill="FFFFFF"/>
              </w:rPr>
              <w:t>Dokument opisujący strukturę przepływu sprawozdań (zapisany w narzędziu informatycznym)</w:t>
            </w:r>
          </w:p>
        </w:tc>
      </w:tr>
    </w:tbl>
    <w:p w:rsidR="002C54E6" w:rsidRDefault="002C54E6">
      <w:pPr>
        <w:pStyle w:val="Default"/>
        <w:jc w:val="both"/>
        <w:rPr>
          <w:rFonts w:ascii="Times New Roman" w:hAnsi="Times New Roman" w:cs="Times New Roman"/>
          <w:sz w:val="22"/>
          <w:szCs w:val="22"/>
          <w:shd w:val="clear" w:color="auto" w:fill="FFFFFF"/>
        </w:rPr>
      </w:pPr>
    </w:p>
    <w:tbl>
      <w:tblPr>
        <w:tblW w:w="9261"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88"/>
        <w:gridCol w:w="2124"/>
        <w:gridCol w:w="6749"/>
      </w:tblGrid>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rPr>
              <w:t>5</w:t>
            </w: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Nazwa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Specyfikacja wymagań Pilota HUB (Org_5)</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Opis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 xml:space="preserve">W zależności od przyjętego sposobu realizacji Pilota, poziomu wsparcia przez firmy komercyjne (lub nie), należy przewidzieć czas na specyfikację funkcjonalną oraz przygotowanie wymagań organizacyjnych dla  niezbędnej infrastruktury technologicznej  do realizacji przedsięwzięcia.    </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Produkt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Dokumentacja wymagań funkcjonalnych HUB, wytyczne dla Obszaru Technologicznego zgodnie z wytycznymi Org_2.</w:t>
            </w:r>
          </w:p>
        </w:tc>
      </w:tr>
    </w:tbl>
    <w:p w:rsidR="002C54E6" w:rsidRDefault="002C54E6">
      <w:pPr>
        <w:pStyle w:val="Default"/>
        <w:jc w:val="both"/>
        <w:rPr>
          <w:rFonts w:ascii="Times New Roman" w:hAnsi="Times New Roman" w:cs="Times New Roman"/>
          <w:sz w:val="22"/>
          <w:szCs w:val="22"/>
          <w:shd w:val="clear" w:color="auto" w:fill="FFFFFF"/>
        </w:rPr>
      </w:pPr>
    </w:p>
    <w:tbl>
      <w:tblPr>
        <w:tblW w:w="9261"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88"/>
        <w:gridCol w:w="2124"/>
        <w:gridCol w:w="6749"/>
      </w:tblGrid>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6</w:t>
            </w: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Nazwa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Eksploatacja PILOTA pierwsza iteracja (Org_6)</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Opis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highlight w:val="white"/>
              </w:rPr>
            </w:pPr>
            <w:r>
              <w:rPr>
                <w:rFonts w:ascii="Times New Roman" w:hAnsi="Times New Roman" w:cs="Times New Roman"/>
                <w:sz w:val="18"/>
                <w:szCs w:val="18"/>
                <w:shd w:val="clear" w:color="auto" w:fill="FFFFFF"/>
              </w:rPr>
              <w:t>Eksploatacja systemu Pilot przez wybraną grupę uczestników, zdobywanie doświadczeń, uczestniczenie w warsztatach, których celem jest zbudowanie bazy wiedzy – dobrych praktyk dla docelowego rozwiązania.</w:t>
            </w:r>
          </w:p>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 xml:space="preserve">Zakładamy, że w pierwszej iteracji etapie głównym beneficjentem rozwiązania będzie poziom JST (gminy i powiaty) </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Produkt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highlight w:val="white"/>
              </w:rPr>
            </w:pPr>
            <w:r>
              <w:rPr>
                <w:rFonts w:ascii="Times New Roman" w:hAnsi="Times New Roman" w:cs="Times New Roman"/>
                <w:sz w:val="18"/>
                <w:szCs w:val="18"/>
                <w:shd w:val="clear" w:color="auto" w:fill="FFFFFF"/>
              </w:rPr>
              <w:t xml:space="preserve">Szkolenia dla użytkowników systemu PILOT </w:t>
            </w:r>
          </w:p>
          <w:p w:rsidR="002C54E6" w:rsidRDefault="00D752E7">
            <w:pPr>
              <w:pStyle w:val="Default"/>
              <w:jc w:val="both"/>
              <w:rPr>
                <w:rFonts w:ascii="Times New Roman" w:hAnsi="Times New Roman" w:cs="Times New Roman"/>
                <w:sz w:val="18"/>
                <w:szCs w:val="18"/>
                <w:highlight w:val="white"/>
              </w:rPr>
            </w:pPr>
            <w:r>
              <w:rPr>
                <w:rFonts w:ascii="Times New Roman" w:hAnsi="Times New Roman" w:cs="Times New Roman"/>
                <w:sz w:val="18"/>
                <w:szCs w:val="18"/>
                <w:shd w:val="clear" w:color="auto" w:fill="FFFFFF"/>
              </w:rPr>
              <w:t xml:space="preserve">Pilot HUB wypełniony danymi </w:t>
            </w:r>
          </w:p>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Dokumentacja – rejestr uwag/problemów/oczekiwań</w:t>
            </w:r>
          </w:p>
        </w:tc>
      </w:tr>
    </w:tbl>
    <w:p w:rsidR="002C54E6" w:rsidRDefault="002C54E6">
      <w:pPr>
        <w:pStyle w:val="Default"/>
        <w:jc w:val="both"/>
        <w:rPr>
          <w:rFonts w:ascii="Times New Roman" w:hAnsi="Times New Roman" w:cs="Times New Roman"/>
          <w:sz w:val="22"/>
          <w:szCs w:val="22"/>
          <w:shd w:val="clear" w:color="auto" w:fill="FFFFFF"/>
        </w:rPr>
      </w:pPr>
    </w:p>
    <w:tbl>
      <w:tblPr>
        <w:tblW w:w="9261"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88"/>
        <w:gridCol w:w="2124"/>
        <w:gridCol w:w="6749"/>
      </w:tblGrid>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7</w:t>
            </w: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Nazwa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Eksploatacja PILOTA poziom centralny i wojewódzki  (Org_7)</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Opis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highlight w:val="white"/>
              </w:rPr>
            </w:pPr>
            <w:r>
              <w:rPr>
                <w:rFonts w:ascii="Times New Roman" w:hAnsi="Times New Roman" w:cs="Times New Roman"/>
                <w:sz w:val="18"/>
                <w:szCs w:val="18"/>
                <w:shd w:val="clear" w:color="auto" w:fill="FFFFFF"/>
              </w:rPr>
              <w:t>Eksploatacja systemu Pilot przez wybraną grupę uczestników w zadaniu Org_3 na poziomie wojewódzkim i centralnym, zdobywanie doświadczeń, uczestniczenie w warsztatach, których celem jest zbudowanie bazy wiedzy – dobrych praktyk dla docelowego rozwiązania.</w:t>
            </w:r>
          </w:p>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lastRenderedPageBreak/>
              <w:t xml:space="preserve">Uruchomione zostaną moduły zarządcze, zgodne z Demonstratorem HUB oraz moduł definiowania raportów dla szczebla centralnego </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Produkt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highlight w:val="white"/>
              </w:rPr>
            </w:pPr>
            <w:r>
              <w:rPr>
                <w:rFonts w:ascii="Times New Roman" w:hAnsi="Times New Roman" w:cs="Times New Roman"/>
                <w:sz w:val="18"/>
                <w:szCs w:val="18"/>
                <w:shd w:val="clear" w:color="auto" w:fill="FFFFFF"/>
              </w:rPr>
              <w:t>Szkolenia dla użytkowników systemu PILOT</w:t>
            </w:r>
          </w:p>
          <w:p w:rsidR="002C54E6" w:rsidRDefault="00D752E7">
            <w:pPr>
              <w:pStyle w:val="Default"/>
              <w:jc w:val="both"/>
              <w:rPr>
                <w:rFonts w:ascii="Times New Roman" w:hAnsi="Times New Roman" w:cs="Times New Roman"/>
                <w:sz w:val="18"/>
                <w:szCs w:val="18"/>
                <w:highlight w:val="white"/>
              </w:rPr>
            </w:pPr>
            <w:r>
              <w:rPr>
                <w:rFonts w:ascii="Times New Roman" w:hAnsi="Times New Roman" w:cs="Times New Roman"/>
                <w:sz w:val="18"/>
                <w:szCs w:val="18"/>
                <w:shd w:val="clear" w:color="auto" w:fill="FFFFFF"/>
              </w:rPr>
              <w:t>Pilot HUB wypełniony danymi (kolejne iteracje)</w:t>
            </w:r>
          </w:p>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Dokumentacja – rejestr uwag/problemów/oczekiwań/uruchomionych poprawek</w:t>
            </w:r>
          </w:p>
        </w:tc>
      </w:tr>
    </w:tbl>
    <w:p w:rsidR="002C54E6" w:rsidRDefault="002C54E6">
      <w:pPr>
        <w:pStyle w:val="Default"/>
        <w:jc w:val="both"/>
        <w:rPr>
          <w:rFonts w:ascii="Times New Roman" w:hAnsi="Times New Roman" w:cs="Times New Roman"/>
          <w:sz w:val="22"/>
          <w:szCs w:val="22"/>
          <w:shd w:val="clear" w:color="auto" w:fill="FFFFFF"/>
        </w:rPr>
      </w:pPr>
    </w:p>
    <w:tbl>
      <w:tblPr>
        <w:tblW w:w="9261"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88"/>
        <w:gridCol w:w="2124"/>
        <w:gridCol w:w="6749"/>
      </w:tblGrid>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8</w:t>
            </w: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Nazwa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Specyfikacja wymagań HUB (Org_8)</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Opis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Wyspecyfikowanie docelowego rozwiązania wraz z przypisaniem interesariuszy odpowiedzialnych za realizację (częściowo zadanie powinno zostać zdefiniowane w zadaniu Model Realizacji Projektu). Specyfikacja projektu Infrastruktury (częściowo zadanie technologiczne).</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Produkt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Dokumentacja wymagań funkcjonalnych HUB kierunkowo  zgodna z Org_2 oraz  zgodna  z:  rejestr uwag/problemów/oczekiwań/uruchomionych poprawek PILOTA</w:t>
            </w:r>
          </w:p>
        </w:tc>
      </w:tr>
    </w:tbl>
    <w:p w:rsidR="002C54E6" w:rsidRDefault="002C54E6">
      <w:pPr>
        <w:pStyle w:val="Default"/>
        <w:jc w:val="both"/>
        <w:rPr>
          <w:rFonts w:ascii="Times New Roman" w:hAnsi="Times New Roman" w:cs="Times New Roman"/>
          <w:sz w:val="22"/>
          <w:szCs w:val="22"/>
          <w:shd w:val="clear" w:color="auto" w:fill="FFFFFF"/>
        </w:rPr>
      </w:pPr>
    </w:p>
    <w:tbl>
      <w:tblPr>
        <w:tblW w:w="9261"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88"/>
        <w:gridCol w:w="2124"/>
        <w:gridCol w:w="6749"/>
      </w:tblGrid>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9</w:t>
            </w: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Nazwa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rPr>
              <w:t>Specyfikacja wymagań integracji z Systemami Centralnymi (Org_9)</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Opis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Zadanie polegające na zdefiniowaniu przepływu danych pomiędzy poszczególnymi  systemami centralnymi. Zadanie może zostać rozpoczęte bezpośrednio po rozpoczęciu eksploatacji PILOTA</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Produkt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Dokumentacja interfejsów.</w:t>
            </w:r>
          </w:p>
        </w:tc>
      </w:tr>
    </w:tbl>
    <w:p w:rsidR="002C54E6" w:rsidRDefault="002C54E6">
      <w:pPr>
        <w:pStyle w:val="Default"/>
        <w:jc w:val="both"/>
        <w:rPr>
          <w:rFonts w:ascii="Times New Roman" w:hAnsi="Times New Roman" w:cs="Times New Roman"/>
          <w:sz w:val="22"/>
          <w:szCs w:val="22"/>
          <w:shd w:val="clear" w:color="auto" w:fill="FFFFFF"/>
        </w:rPr>
      </w:pPr>
    </w:p>
    <w:tbl>
      <w:tblPr>
        <w:tblW w:w="9261"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559"/>
        <w:gridCol w:w="1957"/>
        <w:gridCol w:w="6745"/>
      </w:tblGrid>
      <w:tr w:rsidR="002C54E6">
        <w:tc>
          <w:tcPr>
            <w:tcW w:w="559"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10</w:t>
            </w:r>
          </w:p>
        </w:tc>
        <w:tc>
          <w:tcPr>
            <w:tcW w:w="1957"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Nazwa zadania</w:t>
            </w:r>
          </w:p>
        </w:tc>
        <w:tc>
          <w:tcPr>
            <w:tcW w:w="6745"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Przejście z eksploatacji PILOTA do docelowego rozwiązania HUB w jednostkach, które eksploatowały PILOTA  (Org_10)</w:t>
            </w:r>
          </w:p>
        </w:tc>
      </w:tr>
      <w:tr w:rsidR="002C54E6">
        <w:tc>
          <w:tcPr>
            <w:tcW w:w="559"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1957"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Opis zadania</w:t>
            </w:r>
          </w:p>
        </w:tc>
        <w:tc>
          <w:tcPr>
            <w:tcW w:w="6745"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highlight w:val="white"/>
              </w:rPr>
            </w:pPr>
            <w:r>
              <w:rPr>
                <w:rFonts w:ascii="Times New Roman" w:hAnsi="Times New Roman" w:cs="Times New Roman"/>
                <w:sz w:val="18"/>
                <w:szCs w:val="18"/>
                <w:shd w:val="clear" w:color="auto" w:fill="FFFFFF"/>
              </w:rPr>
              <w:t xml:space="preserve">Zadanie polegające na nadzorowanej eksploatacji, głównie polegającej na eliminacji błędów/usterek i wsparcia eksploatacyjnego. </w:t>
            </w:r>
          </w:p>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Przygotowanie i przeprowadzenie szkoleń dla jednostek organizacyjnych w skali kraju oraz ankietowe zebranie opinii w celu zaplanowania optymalizacji systemu.</w:t>
            </w:r>
          </w:p>
        </w:tc>
      </w:tr>
      <w:tr w:rsidR="002C54E6">
        <w:tc>
          <w:tcPr>
            <w:tcW w:w="559"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1957"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Produkt zadania</w:t>
            </w:r>
          </w:p>
        </w:tc>
        <w:tc>
          <w:tcPr>
            <w:tcW w:w="6745"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Szkolenia, wsparcie użytkownika.</w:t>
            </w:r>
          </w:p>
        </w:tc>
      </w:tr>
    </w:tbl>
    <w:p w:rsidR="002C54E6" w:rsidRDefault="002C54E6">
      <w:pPr>
        <w:pStyle w:val="Default"/>
        <w:jc w:val="both"/>
        <w:rPr>
          <w:rFonts w:ascii="Times New Roman" w:hAnsi="Times New Roman" w:cs="Times New Roman"/>
          <w:sz w:val="22"/>
          <w:szCs w:val="22"/>
          <w:shd w:val="clear" w:color="auto" w:fill="FFFFFF"/>
        </w:rPr>
      </w:pPr>
    </w:p>
    <w:tbl>
      <w:tblPr>
        <w:tblW w:w="9261"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559"/>
        <w:gridCol w:w="1957"/>
        <w:gridCol w:w="6745"/>
      </w:tblGrid>
      <w:tr w:rsidR="002C54E6">
        <w:tc>
          <w:tcPr>
            <w:tcW w:w="559"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11</w:t>
            </w:r>
          </w:p>
        </w:tc>
        <w:tc>
          <w:tcPr>
            <w:tcW w:w="1957"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Nazwa zadania</w:t>
            </w:r>
          </w:p>
        </w:tc>
        <w:tc>
          <w:tcPr>
            <w:tcW w:w="6745"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rPr>
              <w:t>Faza początkowej eksploatacji w skali całego kraju z podziałem na wcześniej przyjęte etapy  (Org_11)</w:t>
            </w:r>
          </w:p>
        </w:tc>
      </w:tr>
      <w:tr w:rsidR="002C54E6">
        <w:tc>
          <w:tcPr>
            <w:tcW w:w="559"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1957"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Opis zadania</w:t>
            </w:r>
          </w:p>
        </w:tc>
        <w:tc>
          <w:tcPr>
            <w:tcW w:w="6745"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highlight w:val="white"/>
              </w:rPr>
            </w:pPr>
            <w:r>
              <w:rPr>
                <w:rFonts w:ascii="Times New Roman" w:hAnsi="Times New Roman" w:cs="Times New Roman"/>
                <w:sz w:val="18"/>
                <w:szCs w:val="18"/>
                <w:shd w:val="clear" w:color="auto" w:fill="FFFFFF"/>
              </w:rPr>
              <w:t xml:space="preserve">Zadanie polegające na nadzorowanej eksploatacji, głównie polegającej na eliminacji błędów/usterek i wsparcia dla jednostek organizacyjnych w skali kraju. </w:t>
            </w:r>
          </w:p>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Przygotowanie i przeprowadzenie szkoleń uzupełniających oraz ankietowe zebranie opinii w celu zaplanowania optymalizacji systemu.</w:t>
            </w:r>
          </w:p>
        </w:tc>
      </w:tr>
      <w:tr w:rsidR="002C54E6">
        <w:tc>
          <w:tcPr>
            <w:tcW w:w="559"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1957"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Produkt zadania</w:t>
            </w:r>
          </w:p>
        </w:tc>
        <w:tc>
          <w:tcPr>
            <w:tcW w:w="6745"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Szkolenia, wsparcie użytkownika.</w:t>
            </w:r>
          </w:p>
        </w:tc>
      </w:tr>
    </w:tbl>
    <w:p w:rsidR="002C54E6" w:rsidRDefault="002C54E6">
      <w:pPr>
        <w:pStyle w:val="Default"/>
        <w:jc w:val="both"/>
        <w:rPr>
          <w:rFonts w:ascii="Times New Roman" w:hAnsi="Times New Roman" w:cs="Times New Roman"/>
          <w:b/>
          <w:sz w:val="22"/>
          <w:szCs w:val="22"/>
          <w:shd w:val="clear" w:color="auto" w:fill="FFFFFF"/>
        </w:rPr>
      </w:pPr>
    </w:p>
    <w:p w:rsidR="002C54E6" w:rsidRDefault="00D752E7">
      <w:pPr>
        <w:pStyle w:val="Default"/>
        <w:jc w:val="both"/>
        <w:rPr>
          <w:rFonts w:ascii="Times New Roman" w:hAnsi="Times New Roman" w:cs="Times New Roman"/>
          <w:b/>
          <w:sz w:val="22"/>
          <w:szCs w:val="22"/>
          <w:highlight w:val="white"/>
        </w:rPr>
      </w:pPr>
      <w:r>
        <w:rPr>
          <w:rFonts w:ascii="Times New Roman" w:hAnsi="Times New Roman" w:cs="Times New Roman"/>
          <w:b/>
          <w:sz w:val="22"/>
          <w:szCs w:val="22"/>
          <w:shd w:val="clear" w:color="auto" w:fill="FFFFFF"/>
        </w:rPr>
        <w:t xml:space="preserve">Zadania dla Obszaru Technologicznego </w:t>
      </w:r>
    </w:p>
    <w:p w:rsidR="002C54E6" w:rsidRDefault="002C54E6">
      <w:pPr>
        <w:pStyle w:val="Default"/>
        <w:jc w:val="both"/>
        <w:rPr>
          <w:rFonts w:ascii="Times New Roman" w:hAnsi="Times New Roman" w:cs="Times New Roman"/>
          <w:b/>
          <w:sz w:val="22"/>
          <w:szCs w:val="22"/>
          <w:shd w:val="clear" w:color="auto" w:fill="FFFFFF"/>
        </w:rPr>
      </w:pPr>
    </w:p>
    <w:tbl>
      <w:tblPr>
        <w:tblW w:w="9261"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88"/>
        <w:gridCol w:w="2124"/>
        <w:gridCol w:w="6749"/>
      </w:tblGrid>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1</w:t>
            </w: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Nazwa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Analiza technologii (Tech_1)</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Opis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Przegląd i analiza istniejących narzędzi informatycznych zapewniających elastyczność realizowanego systemu. Dla powodzenia projektu istotnym będzie  aby z poziomu wybranych użytkowników można dodawać nowe zmienne oraz definiować nowe sprawozdania. Rozważyć należy wybór narzędzi korespondujących z założeniem, że system będzie ewoluował, nie będzie systemem zamkniętym na rozszerzanie funkcjonalności. Istotnym elementem powinna być ocena dostępności i rozwoju narzędzia w długiej  perspektywie czasowej (5-7 lat).</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Produkt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Dokument porównujący badane technologie.</w:t>
            </w:r>
          </w:p>
        </w:tc>
      </w:tr>
    </w:tbl>
    <w:p w:rsidR="002C54E6" w:rsidRDefault="002C54E6">
      <w:pPr>
        <w:pStyle w:val="Default"/>
        <w:jc w:val="both"/>
        <w:rPr>
          <w:rFonts w:ascii="Times New Roman" w:hAnsi="Times New Roman" w:cs="Times New Roman"/>
          <w:sz w:val="22"/>
          <w:szCs w:val="22"/>
          <w:shd w:val="clear" w:color="auto" w:fill="FFFFFF"/>
        </w:rPr>
      </w:pPr>
    </w:p>
    <w:tbl>
      <w:tblPr>
        <w:tblW w:w="9261"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88"/>
        <w:gridCol w:w="2124"/>
        <w:gridCol w:w="6749"/>
      </w:tblGrid>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2</w:t>
            </w: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Nazwa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Implementacja  Pilota HUB</w:t>
            </w:r>
            <w:r>
              <w:rPr>
                <w:rFonts w:ascii="Times New Roman" w:hAnsi="Times New Roman" w:cs="Times New Roman"/>
                <w:sz w:val="18"/>
                <w:szCs w:val="18"/>
              </w:rPr>
              <w:t xml:space="preserve">_1 </w:t>
            </w:r>
            <w:r>
              <w:rPr>
                <w:rFonts w:ascii="Times New Roman" w:hAnsi="Times New Roman" w:cs="Times New Roman"/>
                <w:sz w:val="18"/>
                <w:szCs w:val="18"/>
                <w:shd w:val="clear" w:color="auto" w:fill="FFFFFF"/>
              </w:rPr>
              <w:t>(Tech_2)</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Opis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Wytworzenie pilotowego rozwiązania dla wybranego województwa. Realizacja metodą adaptacyjną polegającą na etapowym dołączaniu raportów zgodnych z obszarami tematycznymi przyjętymi w projekcie SMUP).  Oprogramowanie równolegle podlega procesowi testowania przez wybranych uczestników projektu</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Produkt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System Pilot wraz z infrastrukturą</w:t>
            </w:r>
          </w:p>
        </w:tc>
      </w:tr>
    </w:tbl>
    <w:p w:rsidR="002C54E6" w:rsidRDefault="002C54E6">
      <w:pPr>
        <w:pStyle w:val="Default"/>
        <w:jc w:val="both"/>
        <w:rPr>
          <w:rFonts w:ascii="Times New Roman" w:hAnsi="Times New Roman" w:cs="Times New Roman"/>
          <w:sz w:val="22"/>
          <w:szCs w:val="22"/>
          <w:shd w:val="clear" w:color="auto" w:fill="FFFFFF"/>
        </w:rPr>
      </w:pPr>
    </w:p>
    <w:tbl>
      <w:tblPr>
        <w:tblW w:w="9261"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88"/>
        <w:gridCol w:w="2124"/>
        <w:gridCol w:w="6749"/>
      </w:tblGrid>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rPr>
              <w:t>3</w:t>
            </w: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Nazwa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rPr>
              <w:t>Implementacja  Pilota HUB_2 – moduły zarządcze  (założenie, że realizacja będzie metodą przyrostową (Tech_3)</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Opis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Wytworzenie pilotowego rozwiązania dla wybranego województwa. Realizacja metodą adaptacyjną polegającą na etapowym dołączaniu raportów zgodnych z obszarami tematycznymi przyjętymi w projekcie SMUP, uruchomienie modułów zarządczych i definiowania nowych raportów, integracja (opcja) z wybranymi systemami zewnętrznym (centralnymi). Oprogramowanie równolegle podlega procesowi testowania przez wybranych uczestników projektu szczebla wojewódzkiego i centralnego</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Produkt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System Pilot wraz z infrastrukturą</w:t>
            </w:r>
          </w:p>
        </w:tc>
      </w:tr>
    </w:tbl>
    <w:p w:rsidR="002C54E6" w:rsidRDefault="002C54E6">
      <w:pPr>
        <w:pStyle w:val="Default"/>
        <w:jc w:val="both"/>
        <w:rPr>
          <w:rFonts w:ascii="Times New Roman" w:hAnsi="Times New Roman" w:cs="Times New Roman"/>
          <w:sz w:val="22"/>
          <w:szCs w:val="22"/>
          <w:shd w:val="clear" w:color="auto" w:fill="FFFFFF"/>
        </w:rPr>
      </w:pPr>
    </w:p>
    <w:tbl>
      <w:tblPr>
        <w:tblW w:w="9261"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88"/>
        <w:gridCol w:w="2124"/>
        <w:gridCol w:w="6749"/>
      </w:tblGrid>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rPr>
              <w:t>4</w:t>
            </w: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Nazwa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rPr>
              <w:t>Implementacja  Pilota HUB_3 (Tech_4)</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Opis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rPr>
              <w:t>Implementacja  Pilota HUB_3 – uwzględnienie uwag (Org_6) i (Org_7) + funkcjonalność dla gmin wiejskich, funkcjonalność poziom centralny (Tech_4) – kontynuacja.</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Produkt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System HUB wraz z infrastrukturą.</w:t>
            </w:r>
          </w:p>
        </w:tc>
      </w:tr>
    </w:tbl>
    <w:p w:rsidR="002C54E6" w:rsidRDefault="002C54E6">
      <w:pPr>
        <w:pStyle w:val="Default"/>
        <w:jc w:val="both"/>
        <w:rPr>
          <w:rFonts w:ascii="Times New Roman" w:hAnsi="Times New Roman" w:cs="Times New Roman"/>
          <w:sz w:val="22"/>
          <w:szCs w:val="22"/>
          <w:shd w:val="clear" w:color="auto" w:fill="FFFFFF"/>
        </w:rPr>
      </w:pPr>
    </w:p>
    <w:tbl>
      <w:tblPr>
        <w:tblW w:w="9261"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88"/>
        <w:gridCol w:w="2124"/>
        <w:gridCol w:w="6749"/>
      </w:tblGrid>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rPr>
              <w:t>5</w:t>
            </w: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Nazwa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Implementacja HUB (Tech_5)</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Opis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Wytworzenie docelowego rozwiązania bazującego na doświadczeniach Pilota. Wybranie narzędzi informatycznych adekwatnych do skali projektu. Przygotowanie odpowiedniej infrastruktury teleinformatycznej  w oparciu o doświadczenia z Pilota. Wybranie modelu przetwarzania danych w oparciu o wytyczne Model Realizacji Projektu (Org_2).</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Produkt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System HUB wraz z infrastrukturą.</w:t>
            </w:r>
          </w:p>
        </w:tc>
      </w:tr>
    </w:tbl>
    <w:p w:rsidR="002C54E6" w:rsidRDefault="002C54E6">
      <w:pPr>
        <w:pStyle w:val="Default"/>
        <w:jc w:val="both"/>
        <w:rPr>
          <w:rFonts w:ascii="Times New Roman" w:hAnsi="Times New Roman" w:cs="Times New Roman"/>
          <w:sz w:val="22"/>
          <w:szCs w:val="22"/>
          <w:shd w:val="clear" w:color="auto" w:fill="FFFFFF"/>
        </w:rPr>
      </w:pPr>
    </w:p>
    <w:tbl>
      <w:tblPr>
        <w:tblW w:w="9261"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88"/>
        <w:gridCol w:w="2124"/>
        <w:gridCol w:w="6749"/>
      </w:tblGrid>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6</w:t>
            </w: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Nazwa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Faza początkowej eksploatacji HUB_1 (Tech_6)</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Opis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 xml:space="preserve">Zadanie polegające na nadzorowanej eksploatacji, głównie polegającej na eliminacji błędów/usterek i wsparciu dla jednostek organizacyjnych w skali kraju. Weryfikacja narzędzi typu FAQ ułatwiających eksploatację. </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Produkt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Elektroniczna ewidencja problemów i usterek wraz z ich obsługą.</w:t>
            </w:r>
          </w:p>
        </w:tc>
      </w:tr>
    </w:tbl>
    <w:p w:rsidR="002C54E6" w:rsidRDefault="002C54E6">
      <w:pPr>
        <w:pStyle w:val="Default"/>
        <w:jc w:val="both"/>
        <w:rPr>
          <w:rFonts w:ascii="Times New Roman" w:hAnsi="Times New Roman" w:cs="Times New Roman"/>
          <w:sz w:val="22"/>
          <w:szCs w:val="22"/>
          <w:shd w:val="clear" w:color="auto" w:fill="FFFFFF"/>
        </w:rPr>
      </w:pPr>
    </w:p>
    <w:tbl>
      <w:tblPr>
        <w:tblW w:w="9261"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88"/>
        <w:gridCol w:w="2124"/>
        <w:gridCol w:w="6749"/>
      </w:tblGrid>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7</w:t>
            </w: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Nazwa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Rozpoczęcie integracji z Systemami Centralnymi HUB_2(Tech_7)</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Opis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highlight w:val="white"/>
              </w:rPr>
            </w:pPr>
            <w:r>
              <w:rPr>
                <w:rFonts w:ascii="Times New Roman" w:hAnsi="Times New Roman" w:cs="Times New Roman"/>
                <w:sz w:val="18"/>
                <w:szCs w:val="18"/>
                <w:shd w:val="clear" w:color="auto" w:fill="FFFFFF"/>
              </w:rPr>
              <w:t>Zadanie polegające na integracji z poszczególnymi Systemami Centralnymi. Zadanie to może zostać (z)realizowane na etapie eksploatacji PILOTA.</w:t>
            </w:r>
          </w:p>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 xml:space="preserve">Zadanie musi być skorelowane z </w:t>
            </w:r>
            <w:r>
              <w:rPr>
                <w:rFonts w:ascii="Times New Roman" w:hAnsi="Times New Roman" w:cs="Times New Roman"/>
                <w:sz w:val="18"/>
                <w:szCs w:val="18"/>
              </w:rPr>
              <w:t xml:space="preserve">Specyfikacja wymagań integracji z Systemami Centralnymi (Org_9) i jest zależne od woli współpracy gestorów systemów centralnych </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Produkt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Interfejsy systemów centralnych.</w:t>
            </w:r>
          </w:p>
        </w:tc>
      </w:tr>
    </w:tbl>
    <w:p w:rsidR="002C54E6" w:rsidRDefault="002C54E6">
      <w:pPr>
        <w:pStyle w:val="Default"/>
        <w:jc w:val="both"/>
        <w:rPr>
          <w:rFonts w:ascii="Times New Roman" w:hAnsi="Times New Roman" w:cs="Times New Roman"/>
          <w:b/>
          <w:sz w:val="22"/>
          <w:szCs w:val="22"/>
          <w:shd w:val="clear" w:color="auto" w:fill="FFFFFF"/>
        </w:rPr>
      </w:pPr>
    </w:p>
    <w:p w:rsidR="002C54E6" w:rsidRDefault="00D752E7">
      <w:pPr>
        <w:pStyle w:val="Default"/>
        <w:jc w:val="both"/>
        <w:rPr>
          <w:rFonts w:ascii="Times New Roman" w:hAnsi="Times New Roman" w:cs="Times New Roman"/>
          <w:b/>
          <w:sz w:val="22"/>
          <w:szCs w:val="22"/>
        </w:rPr>
      </w:pPr>
      <w:r w:rsidRPr="00DE6E60">
        <w:rPr>
          <w:rFonts w:ascii="Times New Roman" w:hAnsi="Times New Roman" w:cs="Times New Roman"/>
          <w:b/>
          <w:sz w:val="22"/>
          <w:szCs w:val="22"/>
        </w:rPr>
        <w:t>Zadania dla Obszaru Prawnego</w:t>
      </w:r>
    </w:p>
    <w:p w:rsidR="00DE6E60" w:rsidRPr="00DE6E60" w:rsidRDefault="00DE6E60">
      <w:pPr>
        <w:pStyle w:val="Default"/>
        <w:jc w:val="both"/>
        <w:rPr>
          <w:rFonts w:ascii="Times New Roman" w:hAnsi="Times New Roman" w:cs="Times New Roman"/>
          <w:b/>
          <w:sz w:val="22"/>
          <w:szCs w:val="22"/>
          <w:highlight w:val="white"/>
        </w:rPr>
      </w:pPr>
    </w:p>
    <w:tbl>
      <w:tblPr>
        <w:tblW w:w="9261"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88"/>
        <w:gridCol w:w="2124"/>
        <w:gridCol w:w="6749"/>
      </w:tblGrid>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1</w:t>
            </w: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Nazwa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rPr>
              <w:t xml:space="preserve">Inwentaryzacja prawa dotycząca sprawozdań  (Lex_1) </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Opis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rPr>
              <w:t>Inwentaryzacja prawa dotycząca sprawozdań – realizacja na poziomie gminy i powiatów.</w:t>
            </w:r>
            <w:r>
              <w:rPr>
                <w:rFonts w:ascii="Times New Roman" w:hAnsi="Times New Roman" w:cs="Times New Roman"/>
                <w:sz w:val="18"/>
                <w:szCs w:val="18"/>
                <w:shd w:val="clear" w:color="auto" w:fill="FFFFFF"/>
              </w:rPr>
              <w:t xml:space="preserve"> W ramach tego zadania powinna zostać zrealizowana inwentaryzacja przepisów prawa powiązanych z docelowym systemem HUB.</w:t>
            </w:r>
          </w:p>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Dokument powinien zostać przekazany do komórki odpowiedzialnej za całościowe przygotowanie zmian legislacyjnych.</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Produkt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highlight w:val="white"/>
              </w:rPr>
            </w:pPr>
            <w:r>
              <w:rPr>
                <w:rFonts w:ascii="Times New Roman" w:hAnsi="Times New Roman" w:cs="Times New Roman"/>
                <w:sz w:val="18"/>
                <w:szCs w:val="18"/>
                <w:shd w:val="clear" w:color="auto" w:fill="FFFFFF"/>
              </w:rPr>
              <w:t>Wykaz dokumentów podlegających zmianom.</w:t>
            </w:r>
          </w:p>
          <w:p w:rsidR="002C54E6" w:rsidRDefault="002C54E6">
            <w:pPr>
              <w:pStyle w:val="Default"/>
              <w:jc w:val="both"/>
              <w:rPr>
                <w:rFonts w:ascii="Times New Roman" w:hAnsi="Times New Roman" w:cs="Times New Roman"/>
                <w:sz w:val="18"/>
                <w:szCs w:val="18"/>
              </w:rPr>
            </w:pPr>
          </w:p>
        </w:tc>
      </w:tr>
    </w:tbl>
    <w:p w:rsidR="002C54E6" w:rsidRDefault="002C54E6">
      <w:pPr>
        <w:pStyle w:val="Default"/>
        <w:jc w:val="both"/>
        <w:rPr>
          <w:rFonts w:ascii="Times New Roman" w:hAnsi="Times New Roman" w:cs="Times New Roman"/>
          <w:sz w:val="22"/>
          <w:szCs w:val="22"/>
          <w:shd w:val="clear" w:color="auto" w:fill="FFFFFF"/>
        </w:rPr>
      </w:pPr>
    </w:p>
    <w:tbl>
      <w:tblPr>
        <w:tblW w:w="9261"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88"/>
        <w:gridCol w:w="2124"/>
        <w:gridCol w:w="6749"/>
      </w:tblGrid>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2</w:t>
            </w: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Nazwa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Dostosowanie Prawa cz. I (Lex_2)</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Opis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Zaprojektowanie  zmian w przepisach prawa umocowujących HUB w systemie sprawozdawczości w Polsce – Etap I. W ramach tego zadania powinna zostać zrealizowana pełna inwentaryzacja przepisów prawa powiązanych z docelowym systemem HUB, w tym (opcjonalnie) zmian ustawy o statystyce publicznej  uwzględniających nowe zadania.</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Produkt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highlight w:val="white"/>
              </w:rPr>
            </w:pPr>
            <w:r>
              <w:rPr>
                <w:rFonts w:ascii="Times New Roman" w:hAnsi="Times New Roman" w:cs="Times New Roman"/>
                <w:sz w:val="18"/>
                <w:szCs w:val="18"/>
                <w:shd w:val="clear" w:color="auto" w:fill="FFFFFF"/>
              </w:rPr>
              <w:t>Wykaz dokumentów podlegających zmianom.</w:t>
            </w:r>
          </w:p>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 xml:space="preserve">Projekty stosownych aktów prawnych. </w:t>
            </w:r>
          </w:p>
        </w:tc>
      </w:tr>
    </w:tbl>
    <w:p w:rsidR="002C54E6" w:rsidRDefault="002C54E6">
      <w:pPr>
        <w:pStyle w:val="Default"/>
        <w:jc w:val="both"/>
        <w:rPr>
          <w:rFonts w:ascii="Times New Roman" w:hAnsi="Times New Roman" w:cs="Times New Roman"/>
          <w:sz w:val="22"/>
          <w:szCs w:val="22"/>
          <w:shd w:val="clear" w:color="auto" w:fill="FFFFFF"/>
        </w:rPr>
      </w:pPr>
    </w:p>
    <w:tbl>
      <w:tblPr>
        <w:tblW w:w="9308"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60"/>
        <w:gridCol w:w="1659"/>
        <w:gridCol w:w="1794"/>
        <w:gridCol w:w="5495"/>
      </w:tblGrid>
      <w:tr w:rsidR="00DE6E60" w:rsidTr="00DE6E60">
        <w:tc>
          <w:tcPr>
            <w:tcW w:w="360" w:type="dxa"/>
            <w:tcBorders>
              <w:top w:val="single" w:sz="4" w:space="0" w:color="000001"/>
              <w:left w:val="single" w:sz="4" w:space="0" w:color="000001"/>
              <w:bottom w:val="single" w:sz="4" w:space="0" w:color="000001"/>
            </w:tcBorders>
            <w:shd w:val="clear" w:color="auto" w:fill="auto"/>
            <w:tcMar>
              <w:left w:w="73" w:type="dxa"/>
            </w:tcMar>
          </w:tcPr>
          <w:p w:rsidR="00DE6E60" w:rsidRDefault="00DE6E60">
            <w:pPr>
              <w:pStyle w:val="Default"/>
              <w:jc w:val="both"/>
              <w:rPr>
                <w:rFonts w:ascii="Times New Roman" w:hAnsi="Times New Roman" w:cs="Times New Roman"/>
                <w:sz w:val="18"/>
                <w:szCs w:val="18"/>
              </w:rPr>
            </w:pPr>
            <w:r>
              <w:rPr>
                <w:rFonts w:ascii="Times New Roman" w:hAnsi="Times New Roman" w:cs="Times New Roman"/>
                <w:sz w:val="18"/>
                <w:szCs w:val="18"/>
              </w:rPr>
              <w:t>3</w:t>
            </w:r>
          </w:p>
        </w:tc>
        <w:tc>
          <w:tcPr>
            <w:tcW w:w="1659" w:type="dxa"/>
            <w:tcBorders>
              <w:top w:val="single" w:sz="4" w:space="0" w:color="000001"/>
              <w:left w:val="single" w:sz="4" w:space="0" w:color="000001"/>
              <w:bottom w:val="single" w:sz="4" w:space="0" w:color="000001"/>
              <w:right w:val="single" w:sz="4" w:space="0" w:color="000001"/>
            </w:tcBorders>
          </w:tcPr>
          <w:p w:rsidR="00DE6E60" w:rsidRDefault="00DE6E60">
            <w:pPr>
              <w:pStyle w:val="Default"/>
              <w:jc w:val="both"/>
              <w:rPr>
                <w:rFonts w:ascii="Times New Roman" w:hAnsi="Times New Roman" w:cs="Times New Roman"/>
                <w:sz w:val="18"/>
                <w:szCs w:val="18"/>
                <w:shd w:val="clear" w:color="auto" w:fill="FFFFFF"/>
              </w:rPr>
            </w:pPr>
          </w:p>
        </w:tc>
        <w:tc>
          <w:tcPr>
            <w:tcW w:w="1794" w:type="dxa"/>
            <w:tcBorders>
              <w:top w:val="single" w:sz="4" w:space="0" w:color="000001"/>
              <w:left w:val="single" w:sz="4" w:space="0" w:color="000001"/>
              <w:bottom w:val="single" w:sz="4" w:space="0" w:color="000001"/>
            </w:tcBorders>
            <w:shd w:val="clear" w:color="auto" w:fill="auto"/>
            <w:tcMar>
              <w:left w:w="73" w:type="dxa"/>
            </w:tcMar>
          </w:tcPr>
          <w:p w:rsidR="00DE6E60" w:rsidRDefault="00DE6E60">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Nazwa zadania</w:t>
            </w:r>
          </w:p>
        </w:tc>
        <w:tc>
          <w:tcPr>
            <w:tcW w:w="5495"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DE6E60" w:rsidRDefault="00DE6E60">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Dostosowanie Prawa cz. II (Lex_3)</w:t>
            </w:r>
          </w:p>
        </w:tc>
      </w:tr>
      <w:tr w:rsidR="00DE6E60" w:rsidTr="00DE6E60">
        <w:tc>
          <w:tcPr>
            <w:tcW w:w="360" w:type="dxa"/>
            <w:tcBorders>
              <w:top w:val="single" w:sz="4" w:space="0" w:color="000001"/>
              <w:left w:val="single" w:sz="4" w:space="0" w:color="000001"/>
              <w:bottom w:val="single" w:sz="4" w:space="0" w:color="000001"/>
            </w:tcBorders>
            <w:shd w:val="clear" w:color="auto" w:fill="auto"/>
            <w:tcMar>
              <w:left w:w="73" w:type="dxa"/>
            </w:tcMar>
          </w:tcPr>
          <w:p w:rsidR="00DE6E60" w:rsidRDefault="00DE6E60">
            <w:pPr>
              <w:pStyle w:val="Default"/>
              <w:jc w:val="both"/>
              <w:rPr>
                <w:rFonts w:ascii="Times New Roman" w:hAnsi="Times New Roman" w:cs="Times New Roman"/>
                <w:sz w:val="18"/>
                <w:szCs w:val="18"/>
              </w:rPr>
            </w:pPr>
          </w:p>
        </w:tc>
        <w:tc>
          <w:tcPr>
            <w:tcW w:w="1659" w:type="dxa"/>
            <w:tcBorders>
              <w:top w:val="single" w:sz="4" w:space="0" w:color="000001"/>
              <w:left w:val="single" w:sz="4" w:space="0" w:color="000001"/>
              <w:bottom w:val="single" w:sz="4" w:space="0" w:color="000001"/>
              <w:right w:val="single" w:sz="4" w:space="0" w:color="000001"/>
            </w:tcBorders>
          </w:tcPr>
          <w:p w:rsidR="00DE6E60" w:rsidRDefault="00DE6E60">
            <w:pPr>
              <w:pStyle w:val="Default"/>
              <w:jc w:val="both"/>
              <w:rPr>
                <w:rFonts w:ascii="Times New Roman" w:hAnsi="Times New Roman" w:cs="Times New Roman"/>
                <w:sz w:val="18"/>
                <w:szCs w:val="18"/>
                <w:shd w:val="clear" w:color="auto" w:fill="FFFFFF"/>
              </w:rPr>
            </w:pPr>
          </w:p>
        </w:tc>
        <w:tc>
          <w:tcPr>
            <w:tcW w:w="1794" w:type="dxa"/>
            <w:tcBorders>
              <w:top w:val="single" w:sz="4" w:space="0" w:color="000001"/>
              <w:left w:val="single" w:sz="4" w:space="0" w:color="000001"/>
              <w:bottom w:val="single" w:sz="4" w:space="0" w:color="000001"/>
            </w:tcBorders>
            <w:shd w:val="clear" w:color="auto" w:fill="auto"/>
            <w:tcMar>
              <w:left w:w="73" w:type="dxa"/>
            </w:tcMar>
          </w:tcPr>
          <w:p w:rsidR="00DE6E60" w:rsidRDefault="00DE6E60">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Opis zadania</w:t>
            </w:r>
          </w:p>
        </w:tc>
        <w:tc>
          <w:tcPr>
            <w:tcW w:w="5495"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DE6E60" w:rsidRDefault="00DE6E60">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Zaprojektowanie  zmian w przepisach prawa umocowujących HUB w systemie sprawozdawczości w Polsce – Etap II.  W ramach tego zadania powinna zostać zrealizowana inwentaryzacja przepisów prawa powiązanych z docelowym systemem HUB z uwzględnieniem doświadczeń przy eksploatacji Pilota. Wynikiem powinien być harmonogram zmian prawa dostosowany do realizacji implementacji HUB. Zadanie to w Mapie drogowej podzielone zostało na dwa etapy. Lex_3 i Lex_4</w:t>
            </w:r>
          </w:p>
        </w:tc>
      </w:tr>
      <w:tr w:rsidR="00DE6E60" w:rsidTr="00DE6E60">
        <w:tc>
          <w:tcPr>
            <w:tcW w:w="360" w:type="dxa"/>
            <w:tcBorders>
              <w:top w:val="single" w:sz="4" w:space="0" w:color="000001"/>
              <w:left w:val="single" w:sz="4" w:space="0" w:color="000001"/>
              <w:bottom w:val="single" w:sz="4" w:space="0" w:color="000001"/>
            </w:tcBorders>
            <w:shd w:val="clear" w:color="auto" w:fill="auto"/>
            <w:tcMar>
              <w:left w:w="73" w:type="dxa"/>
            </w:tcMar>
          </w:tcPr>
          <w:p w:rsidR="00DE6E60" w:rsidRDefault="00DE6E60">
            <w:pPr>
              <w:pStyle w:val="Default"/>
              <w:jc w:val="both"/>
              <w:rPr>
                <w:rFonts w:ascii="Times New Roman" w:hAnsi="Times New Roman" w:cs="Times New Roman"/>
                <w:sz w:val="18"/>
                <w:szCs w:val="18"/>
              </w:rPr>
            </w:pPr>
          </w:p>
        </w:tc>
        <w:tc>
          <w:tcPr>
            <w:tcW w:w="1659" w:type="dxa"/>
            <w:tcBorders>
              <w:top w:val="single" w:sz="4" w:space="0" w:color="000001"/>
              <w:left w:val="single" w:sz="4" w:space="0" w:color="000001"/>
              <w:bottom w:val="single" w:sz="4" w:space="0" w:color="000001"/>
              <w:right w:val="single" w:sz="4" w:space="0" w:color="000001"/>
            </w:tcBorders>
          </w:tcPr>
          <w:p w:rsidR="00DE6E60" w:rsidRDefault="00DE6E60">
            <w:pPr>
              <w:pStyle w:val="Default"/>
              <w:jc w:val="both"/>
              <w:rPr>
                <w:rFonts w:ascii="Times New Roman" w:hAnsi="Times New Roman" w:cs="Times New Roman"/>
                <w:sz w:val="18"/>
                <w:szCs w:val="18"/>
                <w:shd w:val="clear" w:color="auto" w:fill="FFFFFF"/>
              </w:rPr>
            </w:pPr>
          </w:p>
        </w:tc>
        <w:tc>
          <w:tcPr>
            <w:tcW w:w="1794" w:type="dxa"/>
            <w:tcBorders>
              <w:top w:val="single" w:sz="4" w:space="0" w:color="000001"/>
              <w:left w:val="single" w:sz="4" w:space="0" w:color="000001"/>
              <w:bottom w:val="single" w:sz="4" w:space="0" w:color="000001"/>
            </w:tcBorders>
            <w:shd w:val="clear" w:color="auto" w:fill="auto"/>
            <w:tcMar>
              <w:left w:w="73" w:type="dxa"/>
            </w:tcMar>
          </w:tcPr>
          <w:p w:rsidR="00DE6E60" w:rsidRDefault="00DE6E60">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Produkt zadania</w:t>
            </w:r>
          </w:p>
        </w:tc>
        <w:tc>
          <w:tcPr>
            <w:tcW w:w="5495"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DE6E60" w:rsidRDefault="00DE6E60">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Publikacja stosownych przepisów sankcjonująca działanie HUB zsynchronizowana z postępem prac w Obszarze Technologicznym.</w:t>
            </w:r>
          </w:p>
        </w:tc>
      </w:tr>
    </w:tbl>
    <w:p w:rsidR="002C54E6" w:rsidRDefault="002C54E6">
      <w:pPr>
        <w:pStyle w:val="Default"/>
        <w:jc w:val="both"/>
        <w:rPr>
          <w:rFonts w:ascii="Times New Roman" w:hAnsi="Times New Roman" w:cs="Times New Roman"/>
          <w:sz w:val="22"/>
          <w:szCs w:val="22"/>
          <w:shd w:val="clear" w:color="auto" w:fill="FFFFFF"/>
        </w:rPr>
      </w:pPr>
    </w:p>
    <w:tbl>
      <w:tblPr>
        <w:tblW w:w="9261" w:type="dxa"/>
        <w:tblInd w:w="-55" w:type="dxa"/>
        <w:tblBorders>
          <w:top w:val="single" w:sz="4" w:space="0" w:color="000001"/>
          <w:left w:val="single" w:sz="4" w:space="0" w:color="000001"/>
          <w:bottom w:val="single" w:sz="4" w:space="0" w:color="000001"/>
          <w:insideH w:val="single" w:sz="4" w:space="0" w:color="000001"/>
        </w:tblBorders>
        <w:tblCellMar>
          <w:left w:w="73" w:type="dxa"/>
        </w:tblCellMar>
        <w:tblLook w:val="0000" w:firstRow="0" w:lastRow="0" w:firstColumn="0" w:lastColumn="0" w:noHBand="0" w:noVBand="0"/>
      </w:tblPr>
      <w:tblGrid>
        <w:gridCol w:w="388"/>
        <w:gridCol w:w="2124"/>
        <w:gridCol w:w="6749"/>
      </w:tblGrid>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4</w:t>
            </w: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Nazwa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rPr>
              <w:t>Zmiana przepisów prawa wynikająca z eksploatacji HUB (Lex_4)</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Opis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Zaprojektowanie  zmian w przepisach prawa umocowujących HUB w systemie sprawozdawczości w Polsce. Wynikiem powinien być zmieniony system prawny sankcjonujący pełną eksploatację HUB.</w:t>
            </w:r>
          </w:p>
        </w:tc>
      </w:tr>
      <w:tr w:rsidR="002C54E6">
        <w:tc>
          <w:tcPr>
            <w:tcW w:w="388" w:type="dxa"/>
            <w:tcBorders>
              <w:top w:val="single" w:sz="4" w:space="0" w:color="000001"/>
              <w:left w:val="single" w:sz="4" w:space="0" w:color="000001"/>
              <w:bottom w:val="single" w:sz="4" w:space="0" w:color="000001"/>
            </w:tcBorders>
            <w:shd w:val="clear" w:color="auto" w:fill="auto"/>
            <w:tcMar>
              <w:left w:w="73" w:type="dxa"/>
            </w:tcMar>
          </w:tcPr>
          <w:p w:rsidR="002C54E6" w:rsidRDefault="002C54E6">
            <w:pPr>
              <w:pStyle w:val="Default"/>
              <w:jc w:val="both"/>
              <w:rPr>
                <w:rFonts w:ascii="Times New Roman" w:hAnsi="Times New Roman" w:cs="Times New Roman"/>
                <w:sz w:val="18"/>
                <w:szCs w:val="18"/>
              </w:rPr>
            </w:pPr>
          </w:p>
        </w:tc>
        <w:tc>
          <w:tcPr>
            <w:tcW w:w="2124" w:type="dxa"/>
            <w:tcBorders>
              <w:top w:val="single" w:sz="4" w:space="0" w:color="000001"/>
              <w:left w:val="single" w:sz="4" w:space="0" w:color="000001"/>
              <w:bottom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Produkt zadania</w:t>
            </w:r>
          </w:p>
        </w:tc>
        <w:tc>
          <w:tcPr>
            <w:tcW w:w="6749" w:type="dxa"/>
            <w:tcBorders>
              <w:top w:val="single" w:sz="4" w:space="0" w:color="000001"/>
              <w:left w:val="single" w:sz="4" w:space="0" w:color="000001"/>
              <w:bottom w:val="single" w:sz="4" w:space="0" w:color="000001"/>
              <w:right w:val="single" w:sz="4" w:space="0" w:color="000001"/>
            </w:tcBorders>
            <w:shd w:val="clear" w:color="auto" w:fill="auto"/>
            <w:tcMar>
              <w:left w:w="73" w:type="dxa"/>
            </w:tcMar>
          </w:tcPr>
          <w:p w:rsidR="002C54E6" w:rsidRDefault="00D752E7">
            <w:pPr>
              <w:pStyle w:val="Default"/>
              <w:jc w:val="both"/>
              <w:rPr>
                <w:rFonts w:ascii="Times New Roman" w:hAnsi="Times New Roman" w:cs="Times New Roman"/>
                <w:sz w:val="18"/>
                <w:szCs w:val="18"/>
              </w:rPr>
            </w:pPr>
            <w:r>
              <w:rPr>
                <w:rFonts w:ascii="Times New Roman" w:hAnsi="Times New Roman" w:cs="Times New Roman"/>
                <w:sz w:val="18"/>
                <w:szCs w:val="18"/>
                <w:shd w:val="clear" w:color="auto" w:fill="FFFFFF"/>
              </w:rPr>
              <w:t>Publikacja stosownych przepisów sankcjonująca działanie HUB.</w:t>
            </w:r>
          </w:p>
        </w:tc>
      </w:tr>
    </w:tbl>
    <w:p w:rsidR="002C54E6" w:rsidRPr="000E6877" w:rsidRDefault="002C54E6" w:rsidP="000E6877">
      <w:pPr>
        <w:spacing w:line="240" w:lineRule="auto"/>
        <w:outlineLvl w:val="0"/>
        <w:rPr>
          <w:rFonts w:cs="Times New Roman"/>
          <w:b/>
          <w:sz w:val="28"/>
          <w:szCs w:val="28"/>
        </w:rPr>
      </w:pPr>
    </w:p>
    <w:p w:rsidR="002C54E6" w:rsidRPr="00DE6E60" w:rsidRDefault="00D752E7" w:rsidP="00DE6E60">
      <w:pPr>
        <w:spacing w:line="240" w:lineRule="auto"/>
        <w:outlineLvl w:val="0"/>
        <w:rPr>
          <w:rFonts w:cs="Times New Roman"/>
        </w:rPr>
      </w:pPr>
      <w:r w:rsidRPr="00DE6E60">
        <w:rPr>
          <w:rFonts w:cs="Times New Roman"/>
          <w:b/>
          <w:sz w:val="28"/>
          <w:szCs w:val="28"/>
        </w:rPr>
        <w:lastRenderedPageBreak/>
        <w:t>11. Podsumowanie – korzyści z budowy HUB oraz wybrane ryzyka</w:t>
      </w:r>
    </w:p>
    <w:p w:rsidR="002C54E6" w:rsidRPr="000E6877" w:rsidRDefault="002C54E6" w:rsidP="000E6877">
      <w:pPr>
        <w:spacing w:line="240" w:lineRule="auto"/>
        <w:outlineLvl w:val="0"/>
        <w:rPr>
          <w:rFonts w:cs="Times New Roman"/>
          <w:b/>
          <w:sz w:val="28"/>
          <w:szCs w:val="28"/>
        </w:rPr>
      </w:pPr>
    </w:p>
    <w:p w:rsidR="002C54E6" w:rsidRDefault="00D752E7">
      <w:pPr>
        <w:jc w:val="both"/>
      </w:pPr>
      <w:r>
        <w:rPr>
          <w:sz w:val="22"/>
          <w:szCs w:val="22"/>
        </w:rPr>
        <w:t>W raporcie przedstawiono wizję systemu HUB, problemy z jakimi będziemy musieli się zmierzyć przy jego budowie, istniejące ograniczenia prawne, organizacyjne, informatyczne oraz problemy edukacyjne. Zasygnalizowano także podstawowe korzyści, które możemy osiągnąć wdrażając to rozwiązanie.</w:t>
      </w:r>
    </w:p>
    <w:p w:rsidR="002C54E6" w:rsidRDefault="00D752E7">
      <w:pPr>
        <w:jc w:val="both"/>
      </w:pPr>
      <w:r>
        <w:rPr>
          <w:sz w:val="22"/>
          <w:szCs w:val="22"/>
        </w:rPr>
        <w:t>Korzyści dla samorządów gminnych i powiatowych:</w:t>
      </w:r>
    </w:p>
    <w:p w:rsidR="002C54E6" w:rsidRDefault="00D752E7">
      <w:pPr>
        <w:numPr>
          <w:ilvl w:val="0"/>
          <w:numId w:val="18"/>
        </w:numPr>
        <w:suppressAutoHyphens w:val="0"/>
        <w:spacing w:line="240" w:lineRule="auto"/>
        <w:jc w:val="both"/>
      </w:pPr>
      <w:r>
        <w:rPr>
          <w:sz w:val="22"/>
          <w:szCs w:val="22"/>
        </w:rPr>
        <w:t>Uporządkowanie metod sprawozdawczości – większość sprawozdań będzie składana poprzez HUB;</w:t>
      </w:r>
    </w:p>
    <w:p w:rsidR="002C54E6" w:rsidRDefault="00D752E7">
      <w:pPr>
        <w:numPr>
          <w:ilvl w:val="0"/>
          <w:numId w:val="18"/>
        </w:numPr>
        <w:suppressAutoHyphens w:val="0"/>
        <w:spacing w:line="240" w:lineRule="auto"/>
        <w:jc w:val="both"/>
      </w:pPr>
      <w:r>
        <w:rPr>
          <w:sz w:val="22"/>
          <w:szCs w:val="22"/>
        </w:rPr>
        <w:t>Zwiększenie automatyzacji w sprawozdawczości – więcej sprawozdań będzie generowana automatycznie z systemów dziedzinowych dzięki istnieniu standardowego API na wejściu do HUB;</w:t>
      </w:r>
    </w:p>
    <w:p w:rsidR="002C54E6" w:rsidRDefault="00D752E7">
      <w:pPr>
        <w:numPr>
          <w:ilvl w:val="0"/>
          <w:numId w:val="18"/>
        </w:numPr>
        <w:suppressAutoHyphens w:val="0"/>
        <w:spacing w:line="240" w:lineRule="auto"/>
        <w:jc w:val="both"/>
      </w:pPr>
      <w:r>
        <w:rPr>
          <w:sz w:val="22"/>
          <w:szCs w:val="22"/>
        </w:rPr>
        <w:t>Zmniejszenie obciążeń sprawozdawczych dzięki automatyzacji i dzięki likwidacji wielokrotnego zbierania tych samych danych;</w:t>
      </w:r>
    </w:p>
    <w:p w:rsidR="002C54E6" w:rsidRDefault="00D752E7">
      <w:pPr>
        <w:numPr>
          <w:ilvl w:val="0"/>
          <w:numId w:val="18"/>
        </w:numPr>
        <w:suppressAutoHyphens w:val="0"/>
        <w:spacing w:line="240" w:lineRule="auto"/>
        <w:jc w:val="both"/>
      </w:pPr>
      <w:r>
        <w:rPr>
          <w:sz w:val="22"/>
          <w:szCs w:val="22"/>
        </w:rPr>
        <w:t>Uzyskanie stałego dostępu na bieżąco do swoich danych sprawozdawczych – możliwość wykorzystania ich w obszarze zarządzania JST;</w:t>
      </w:r>
    </w:p>
    <w:p w:rsidR="002C54E6" w:rsidRDefault="00D752E7">
      <w:pPr>
        <w:numPr>
          <w:ilvl w:val="0"/>
          <w:numId w:val="18"/>
        </w:numPr>
        <w:suppressAutoHyphens w:val="0"/>
        <w:spacing w:line="240" w:lineRule="auto"/>
        <w:jc w:val="both"/>
      </w:pPr>
      <w:r>
        <w:rPr>
          <w:sz w:val="22"/>
          <w:szCs w:val="22"/>
        </w:rPr>
        <w:t>Uzyskanie przez zarządy JST dostępu do danych sprawozdawczych z jednostek organizacyjnych, w tym do danych gromadzonych w systemach ogólnopolskich takich jak SIO czy CAS;</w:t>
      </w:r>
    </w:p>
    <w:p w:rsidR="002C54E6" w:rsidRDefault="00D752E7">
      <w:pPr>
        <w:numPr>
          <w:ilvl w:val="0"/>
          <w:numId w:val="18"/>
        </w:numPr>
        <w:suppressAutoHyphens w:val="0"/>
        <w:spacing w:line="240" w:lineRule="auto"/>
        <w:jc w:val="both"/>
      </w:pPr>
      <w:r>
        <w:rPr>
          <w:sz w:val="22"/>
          <w:szCs w:val="22"/>
        </w:rPr>
        <w:t>Uzyskanie przez zarządzających możliwości kontroli terminowości i kompletności składanych sprawozdań dzięki wykorzystaniu panelu zarządzającego;</w:t>
      </w:r>
    </w:p>
    <w:p w:rsidR="002C54E6" w:rsidRDefault="00D752E7">
      <w:pPr>
        <w:numPr>
          <w:ilvl w:val="0"/>
          <w:numId w:val="18"/>
        </w:numPr>
        <w:suppressAutoHyphens w:val="0"/>
        <w:spacing w:line="240" w:lineRule="auto"/>
        <w:jc w:val="both"/>
      </w:pPr>
      <w:r>
        <w:rPr>
          <w:sz w:val="22"/>
          <w:szCs w:val="22"/>
        </w:rPr>
        <w:t xml:space="preserve">Dostępność  dla gmin o niższym poziomie informatyzacji (w szczególności części gmin wiejskich) narzędzia zbierającego i przetwarzającego dane. </w:t>
      </w:r>
    </w:p>
    <w:p w:rsidR="002C54E6" w:rsidRDefault="002C54E6">
      <w:pPr>
        <w:ind w:left="720"/>
        <w:jc w:val="both"/>
        <w:rPr>
          <w:sz w:val="22"/>
          <w:szCs w:val="22"/>
        </w:rPr>
      </w:pPr>
    </w:p>
    <w:p w:rsidR="002C54E6" w:rsidRDefault="00D752E7">
      <w:pPr>
        <w:jc w:val="both"/>
      </w:pPr>
      <w:r>
        <w:rPr>
          <w:sz w:val="22"/>
          <w:szCs w:val="22"/>
        </w:rPr>
        <w:t>Korzyści dla samorządów wojewódzkich – w przypadku sprawozdań tworzonych przez jednostki wojewódzkie takie same jak dla samorządów gminnych i powiatowych oraz:</w:t>
      </w:r>
    </w:p>
    <w:p w:rsidR="002C54E6" w:rsidRDefault="00D752E7">
      <w:pPr>
        <w:numPr>
          <w:ilvl w:val="0"/>
          <w:numId w:val="19"/>
        </w:numPr>
        <w:suppressAutoHyphens w:val="0"/>
        <w:spacing w:line="240" w:lineRule="auto"/>
        <w:jc w:val="both"/>
      </w:pPr>
      <w:r>
        <w:rPr>
          <w:sz w:val="22"/>
          <w:szCs w:val="22"/>
        </w:rPr>
        <w:t>Łatwiejsza i szybsza analiza sprawozdań dzięki otrzymywaniu danych sprawozdawczych w postaci uporządkowanej, umożliwiającej łatwe pobranie do systemów analitycznych;</w:t>
      </w:r>
    </w:p>
    <w:p w:rsidR="002C54E6" w:rsidRDefault="00D752E7">
      <w:pPr>
        <w:numPr>
          <w:ilvl w:val="0"/>
          <w:numId w:val="19"/>
        </w:numPr>
        <w:suppressAutoHyphens w:val="0"/>
        <w:spacing w:line="240" w:lineRule="auto"/>
        <w:jc w:val="both"/>
      </w:pPr>
      <w:r>
        <w:rPr>
          <w:sz w:val="22"/>
          <w:szCs w:val="22"/>
        </w:rPr>
        <w:t>Wyższa jakość danych dzięki zwiększeniu automatyzacji w generowaniu danych sprawozdawczych w gminach i powiatach.</w:t>
      </w:r>
    </w:p>
    <w:p w:rsidR="002C54E6" w:rsidRDefault="002C54E6">
      <w:pPr>
        <w:jc w:val="both"/>
        <w:rPr>
          <w:sz w:val="22"/>
          <w:szCs w:val="22"/>
        </w:rPr>
      </w:pPr>
    </w:p>
    <w:p w:rsidR="002C54E6" w:rsidRDefault="00D752E7">
      <w:pPr>
        <w:jc w:val="both"/>
      </w:pPr>
      <w:r>
        <w:rPr>
          <w:sz w:val="22"/>
          <w:szCs w:val="22"/>
        </w:rPr>
        <w:t>Korzyści dla administracji państwowej, w tym urzędów wojewódzkich i ministerstw:</w:t>
      </w:r>
    </w:p>
    <w:p w:rsidR="002C54E6" w:rsidRDefault="00D752E7">
      <w:pPr>
        <w:numPr>
          <w:ilvl w:val="0"/>
          <w:numId w:val="20"/>
        </w:numPr>
        <w:suppressAutoHyphens w:val="0"/>
        <w:spacing w:line="240" w:lineRule="auto"/>
        <w:jc w:val="both"/>
      </w:pPr>
      <w:r>
        <w:rPr>
          <w:sz w:val="22"/>
          <w:szCs w:val="22"/>
        </w:rPr>
        <w:t>Łatwiejsza i szybsza analiza sprawozdań dzięki otrzymywaniu danych sprawozdawczych w postaci uporządkowanej, umożliwiającej łatwe pobranie do systemów analitycznych;</w:t>
      </w:r>
    </w:p>
    <w:p w:rsidR="002C54E6" w:rsidRDefault="00D752E7">
      <w:pPr>
        <w:numPr>
          <w:ilvl w:val="0"/>
          <w:numId w:val="20"/>
        </w:numPr>
        <w:suppressAutoHyphens w:val="0"/>
        <w:spacing w:line="240" w:lineRule="auto"/>
        <w:jc w:val="both"/>
      </w:pPr>
      <w:r>
        <w:rPr>
          <w:sz w:val="22"/>
          <w:szCs w:val="22"/>
        </w:rPr>
        <w:t>Wyższa jakość danych dzięki zwiększeniu automatyzacji w generowaniu danych sprawozdawczych w JST;</w:t>
      </w:r>
    </w:p>
    <w:p w:rsidR="002C54E6" w:rsidRDefault="00D752E7">
      <w:pPr>
        <w:numPr>
          <w:ilvl w:val="0"/>
          <w:numId w:val="20"/>
        </w:numPr>
        <w:suppressAutoHyphens w:val="0"/>
        <w:spacing w:line="240" w:lineRule="auto"/>
        <w:jc w:val="both"/>
      </w:pPr>
      <w:r>
        <w:rPr>
          <w:sz w:val="22"/>
          <w:szCs w:val="22"/>
        </w:rPr>
        <w:t>Łatwa możliwość generowania nowych sprawozdań w oparciu o dane zgromadzone w HUB;</w:t>
      </w:r>
    </w:p>
    <w:p w:rsidR="002C54E6" w:rsidRDefault="00D752E7">
      <w:pPr>
        <w:numPr>
          <w:ilvl w:val="0"/>
          <w:numId w:val="20"/>
        </w:numPr>
        <w:suppressAutoHyphens w:val="0"/>
        <w:spacing w:line="240" w:lineRule="auto"/>
        <w:jc w:val="both"/>
      </w:pPr>
      <w:r>
        <w:rPr>
          <w:sz w:val="22"/>
          <w:szCs w:val="22"/>
        </w:rPr>
        <w:t>Możliwość analizy dostępnych wzorów sprawozdań, metadanych  w jednym narzędziu;</w:t>
      </w:r>
    </w:p>
    <w:p w:rsidR="002C54E6" w:rsidRDefault="00D752E7">
      <w:pPr>
        <w:numPr>
          <w:ilvl w:val="0"/>
          <w:numId w:val="20"/>
        </w:numPr>
        <w:suppressAutoHyphens w:val="0"/>
        <w:spacing w:line="240" w:lineRule="auto"/>
        <w:jc w:val="both"/>
      </w:pPr>
      <w:r>
        <w:t>Zapełnienie luk informacyjnych (SMUP, dane o drogach etc).</w:t>
      </w:r>
    </w:p>
    <w:p w:rsidR="002C54E6" w:rsidRDefault="002C54E6">
      <w:pPr>
        <w:jc w:val="both"/>
        <w:rPr>
          <w:sz w:val="22"/>
          <w:szCs w:val="22"/>
        </w:rPr>
      </w:pPr>
    </w:p>
    <w:p w:rsidR="002C54E6" w:rsidRDefault="00D752E7">
      <w:pPr>
        <w:jc w:val="both"/>
      </w:pPr>
      <w:r>
        <w:rPr>
          <w:rFonts w:eastAsiaTheme="minorHAnsi" w:cs="Times New Roman"/>
          <w:sz w:val="22"/>
          <w:szCs w:val="22"/>
          <w:lang w:eastAsia="en-US" w:bidi="ar-SA"/>
        </w:rPr>
        <w:t xml:space="preserve">Czynnikiem kluczowym dla powodzenia i wdrożenia projektu HUB, a co za tym idzie usprawnienia przepływu danych statystycznych, jest współpraca z podmiotami przesyłającymi i odbierającymi dane. Czynne zaangażowanie przedstawicieli organizacji jednostek samorządu terytorialnego pozwoli na opracowanie rozwiązań optymalnych, w jak największym stopniu odpowiadającym potrzebom JST. </w:t>
      </w:r>
    </w:p>
    <w:p w:rsidR="002C54E6" w:rsidRDefault="00D752E7">
      <w:pPr>
        <w:jc w:val="both"/>
      </w:pPr>
      <w:r>
        <w:rPr>
          <w:rFonts w:eastAsiaTheme="minorHAnsi" w:cs="Times New Roman"/>
          <w:sz w:val="22"/>
          <w:szCs w:val="22"/>
          <w:lang w:eastAsia="en-US" w:bidi="ar-SA"/>
        </w:rPr>
        <w:t>Dalsze prace nad inwentaryzacją pełnego zakresu obowiązków sprawozdawczych, uporządkowanie danych, wdrożenie standardów metadanych oraz prace nad rozwiązaniami informatycznymi to działania, które są niezbędne. Jednakże najistotniejszym zagadnieniem, gwarantującym powodzenie i sprawny prz</w:t>
      </w:r>
      <w:r w:rsidR="00897384">
        <w:rPr>
          <w:rFonts w:eastAsiaTheme="minorHAnsi" w:cs="Times New Roman"/>
          <w:sz w:val="22"/>
          <w:szCs w:val="22"/>
          <w:lang w:eastAsia="en-US" w:bidi="ar-SA"/>
        </w:rPr>
        <w:t>ebieg opisanych wyżej prac jest</w:t>
      </w:r>
      <w:r>
        <w:rPr>
          <w:rFonts w:eastAsiaTheme="minorHAnsi" w:cs="Times New Roman"/>
          <w:sz w:val="22"/>
          <w:szCs w:val="22"/>
          <w:lang w:eastAsia="en-US" w:bidi="ar-SA"/>
        </w:rPr>
        <w:t xml:space="preserve"> rozpoznanie, a następnie przeprowadzenie prac legislacyjnych umożliwiających wdrożenie zaproponowanych zmian.</w:t>
      </w:r>
    </w:p>
    <w:p w:rsidR="002C54E6" w:rsidRDefault="00D752E7">
      <w:pPr>
        <w:jc w:val="both"/>
        <w:rPr>
          <w:rFonts w:eastAsiaTheme="minorHAnsi" w:cs="Times New Roman"/>
          <w:sz w:val="22"/>
          <w:szCs w:val="22"/>
          <w:lang w:eastAsia="en-US" w:bidi="ar-SA"/>
        </w:rPr>
      </w:pPr>
      <w:r>
        <w:rPr>
          <w:rFonts w:eastAsiaTheme="minorHAnsi" w:cs="Times New Roman"/>
          <w:sz w:val="22"/>
          <w:szCs w:val="22"/>
          <w:lang w:eastAsia="en-US" w:bidi="ar-SA"/>
        </w:rPr>
        <w:t>Można zatem wymienić następujące czynniki stanowiące ryzyka dla powodzenia projektu HUB:</w:t>
      </w:r>
    </w:p>
    <w:p w:rsidR="002C54E6" w:rsidRDefault="002C54E6">
      <w:pPr>
        <w:jc w:val="both"/>
        <w:rPr>
          <w:rFonts w:eastAsiaTheme="minorHAnsi"/>
        </w:rPr>
      </w:pPr>
    </w:p>
    <w:p w:rsidR="002C54E6" w:rsidRDefault="00D752E7">
      <w:pPr>
        <w:numPr>
          <w:ilvl w:val="0"/>
          <w:numId w:val="21"/>
        </w:numPr>
        <w:suppressAutoHyphens w:val="0"/>
        <w:spacing w:line="240" w:lineRule="auto"/>
        <w:jc w:val="both"/>
      </w:pPr>
      <w:r>
        <w:rPr>
          <w:rFonts w:eastAsiaTheme="minorHAnsi" w:cs="Times New Roman"/>
          <w:sz w:val="22"/>
          <w:szCs w:val="22"/>
          <w:lang w:eastAsia="en-US" w:bidi="ar-SA"/>
        </w:rPr>
        <w:t>Dokonanie niezbędnych prac w zakresie legislacji;</w:t>
      </w:r>
    </w:p>
    <w:p w:rsidR="002C54E6" w:rsidRDefault="00D752E7">
      <w:pPr>
        <w:numPr>
          <w:ilvl w:val="0"/>
          <w:numId w:val="21"/>
        </w:numPr>
        <w:suppressAutoHyphens w:val="0"/>
        <w:spacing w:line="240" w:lineRule="auto"/>
        <w:jc w:val="both"/>
      </w:pPr>
      <w:r>
        <w:rPr>
          <w:rFonts w:eastAsiaTheme="minorHAnsi" w:cs="Times New Roman"/>
          <w:sz w:val="22"/>
          <w:szCs w:val="22"/>
          <w:lang w:eastAsia="en-US" w:bidi="ar-SA"/>
        </w:rPr>
        <w:t>Rozpoznanie potrzeb interesariuszy projektu, w szczególności na szczeblu gminnym i powiatowym;</w:t>
      </w:r>
    </w:p>
    <w:p w:rsidR="002C54E6" w:rsidRDefault="00D752E7">
      <w:pPr>
        <w:numPr>
          <w:ilvl w:val="0"/>
          <w:numId w:val="21"/>
        </w:numPr>
        <w:suppressAutoHyphens w:val="0"/>
        <w:spacing w:line="240" w:lineRule="auto"/>
        <w:jc w:val="both"/>
      </w:pPr>
      <w:r>
        <w:rPr>
          <w:rFonts w:eastAsiaTheme="minorHAnsi" w:cs="Times New Roman"/>
          <w:sz w:val="22"/>
          <w:szCs w:val="22"/>
          <w:lang w:eastAsia="en-US" w:bidi="ar-SA"/>
        </w:rPr>
        <w:lastRenderedPageBreak/>
        <w:t>Zapewnienie ciągłości finansowania projektu i utrzymania produktu projektu;</w:t>
      </w:r>
    </w:p>
    <w:p w:rsidR="002C54E6" w:rsidRDefault="00D752E7">
      <w:pPr>
        <w:numPr>
          <w:ilvl w:val="0"/>
          <w:numId w:val="21"/>
        </w:numPr>
        <w:suppressAutoHyphens w:val="0"/>
        <w:spacing w:line="240" w:lineRule="auto"/>
        <w:jc w:val="both"/>
      </w:pPr>
      <w:r>
        <w:rPr>
          <w:rFonts w:eastAsiaTheme="minorHAnsi" w:cs="Times New Roman"/>
          <w:sz w:val="22"/>
          <w:szCs w:val="22"/>
          <w:lang w:eastAsia="en-US" w:bidi="ar-SA"/>
        </w:rPr>
        <w:t>Odpowiednia komunikacja pomiędzy kluczowymi gestorami danych;</w:t>
      </w:r>
    </w:p>
    <w:p w:rsidR="002C54E6" w:rsidRDefault="00D752E7">
      <w:pPr>
        <w:numPr>
          <w:ilvl w:val="0"/>
          <w:numId w:val="21"/>
        </w:numPr>
        <w:suppressAutoHyphens w:val="0"/>
        <w:spacing w:line="240" w:lineRule="auto"/>
        <w:jc w:val="both"/>
      </w:pPr>
      <w:r>
        <w:rPr>
          <w:rFonts w:eastAsiaTheme="minorHAnsi" w:cs="Times New Roman"/>
          <w:sz w:val="22"/>
          <w:szCs w:val="22"/>
          <w:lang w:eastAsia="en-US" w:bidi="ar-SA"/>
        </w:rPr>
        <w:t xml:space="preserve">Umożliwienie JST wprowadzanie danych do analizy częściej niż określają to wymagania sprawozdawcze np. co kwartał;  </w:t>
      </w:r>
    </w:p>
    <w:p w:rsidR="002C54E6" w:rsidRPr="007B0993" w:rsidRDefault="00D752E7">
      <w:pPr>
        <w:numPr>
          <w:ilvl w:val="0"/>
          <w:numId w:val="21"/>
        </w:numPr>
        <w:suppressAutoHyphens w:val="0"/>
        <w:spacing w:line="240" w:lineRule="auto"/>
        <w:jc w:val="both"/>
      </w:pPr>
      <w:r>
        <w:rPr>
          <w:rFonts w:eastAsiaTheme="minorHAnsi" w:cs="Times New Roman"/>
          <w:sz w:val="22"/>
          <w:szCs w:val="22"/>
          <w:lang w:eastAsia="en-US" w:bidi="ar-SA"/>
        </w:rPr>
        <w:t>Zabezpieczenie właściwego poziomu, ilości i ciągłości szkoleń.</w:t>
      </w:r>
    </w:p>
    <w:p w:rsidR="007B0993" w:rsidRDefault="007B0993" w:rsidP="007B0993">
      <w:pPr>
        <w:suppressAutoHyphens w:val="0"/>
        <w:spacing w:line="240" w:lineRule="auto"/>
        <w:ind w:left="720"/>
        <w:jc w:val="both"/>
      </w:pPr>
    </w:p>
    <w:p w:rsidR="002C54E6" w:rsidRPr="007B0993" w:rsidRDefault="00D752E7" w:rsidP="007B0993">
      <w:pPr>
        <w:spacing w:line="240" w:lineRule="auto"/>
        <w:ind w:left="60"/>
        <w:jc w:val="both"/>
        <w:outlineLvl w:val="0"/>
        <w:rPr>
          <w:sz w:val="22"/>
          <w:szCs w:val="22"/>
        </w:rPr>
      </w:pPr>
      <w:r w:rsidRPr="007B0993">
        <w:rPr>
          <w:sz w:val="22"/>
          <w:szCs w:val="22"/>
        </w:rPr>
        <w:t>Podsumowując autorzy raportu pragną podkreślić, że realizacja projektu HUB przyczyni się poprawy zarządzania na wszystkich poziomach administracji, podniesie jakość gromadzonych danych o działalności samorządów i ułatwi ich przetwarzanie. Realizacja projektu będzie poważnym wyzwaniem, jednak przy odpowiednim przygotowaniu i zarządzaniu jak najbardziej wykonalnym.</w:t>
      </w:r>
    </w:p>
    <w:sectPr w:rsidR="002C54E6" w:rsidRPr="007B0993">
      <w:pgSz w:w="11906" w:h="16838"/>
      <w:pgMar w:top="1417" w:right="1417" w:bottom="1417" w:left="1417" w:header="0" w:footer="0" w:gutter="0"/>
      <w:cols w:space="708"/>
      <w:formProt w:val="0"/>
      <w:docGrid w:linePitch="360" w:charSpace="-6145"/>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E0002EFF" w:usb1="C000785B" w:usb2="00000009" w:usb3="00000000" w:csb0="000001FF" w:csb1="00000000"/>
  </w:font>
  <w:font w:name="Liberation Serif">
    <w:altName w:val="Times New Roman"/>
    <w:charset w:val="EE"/>
    <w:family w:val="roman"/>
    <w:pitch w:val="variable"/>
  </w:font>
  <w:font w:name="Microsoft YaHei">
    <w:panose1 w:val="020B0503020204020204"/>
    <w:charset w:val="86"/>
    <w:family w:val="swiss"/>
    <w:pitch w:val="variable"/>
    <w:sig w:usb0="80000287" w:usb1="2ACF3C50" w:usb2="00000016" w:usb3="00000000" w:csb0="0004001F" w:csb1="00000000"/>
  </w:font>
  <w:font w:name="Calibri Light">
    <w:panose1 w:val="020F0302020204030204"/>
    <w:charset w:val="EE"/>
    <w:family w:val="swiss"/>
    <w:pitch w:val="variable"/>
    <w:sig w:usb0="E4002EFF" w:usb1="C000247B" w:usb2="00000009" w:usb3="00000000" w:csb0="000001FF" w:csb1="00000000"/>
  </w:font>
  <w:font w:name="Mangal">
    <w:altName w:val="Courier New"/>
    <w:panose1 w:val="00000400000000000000"/>
    <w:charset w:val="01"/>
    <w:family w:val="roman"/>
    <w:notTrueType/>
    <w:pitch w:val="variable"/>
    <w:sig w:usb0="00002000" w:usb1="00000000" w:usb2="00000000" w:usb3="00000000" w:csb0="00000000" w:csb1="00000000"/>
  </w:font>
  <w:font w:name="Segoe UI">
    <w:panose1 w:val="020B0502040204020203"/>
    <w:charset w:val="EE"/>
    <w:family w:val="swiss"/>
    <w:pitch w:val="variable"/>
    <w:sig w:usb0="E4002EFF" w:usb1="C000E47F" w:usb2="00000009" w:usb3="00000000" w:csb0="000001FF" w:csb1="00000000"/>
  </w:font>
  <w:font w:name="Liberation Sans">
    <w:altName w:val="Arial"/>
    <w:charset w:val="EE"/>
    <w:family w:val="swiss"/>
    <w:pitch w:val="variable"/>
  </w:font>
  <w:font w:name="Fira Sans;Calibri">
    <w:altName w:val="Times New Roman"/>
    <w:panose1 w:val="00000000000000000000"/>
    <w:charset w:val="00"/>
    <w:family w:val="roman"/>
    <w:notTrueType/>
    <w:pitch w:val="default"/>
  </w:font>
  <w:font w:name="SimSun;宋体">
    <w:panose1 w:val="00000000000000000000"/>
    <w:charset w:val="80"/>
    <w:family w:val="roman"/>
    <w:notTrueType/>
    <w:pitch w:val="default"/>
  </w:font>
  <w:font w:name="Fira Sans">
    <w:altName w:val="Cambria Math"/>
    <w:charset w:val="EE"/>
    <w:family w:val="swiss"/>
    <w:pitch w:val="variable"/>
    <w:sig w:usb0="00000001" w:usb1="02000001"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F5E2DB2"/>
    <w:multiLevelType w:val="multilevel"/>
    <w:tmpl w:val="A778404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1B954BF4"/>
    <w:multiLevelType w:val="multilevel"/>
    <w:tmpl w:val="3BD842B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25CD7453"/>
    <w:multiLevelType w:val="multilevel"/>
    <w:tmpl w:val="D264E5D4"/>
    <w:lvl w:ilvl="0">
      <w:start w:val="1"/>
      <w:numFmt w:val="upperRoman"/>
      <w:lvlText w:val="%1."/>
      <w:lvlJc w:val="right"/>
      <w:pPr>
        <w:ind w:left="862" w:hanging="360"/>
      </w:pPr>
      <w:rPr>
        <w:b/>
        <w:sz w:val="22"/>
        <w:highlight w:val="white"/>
      </w:rPr>
    </w:lvl>
    <w:lvl w:ilvl="1">
      <w:start w:val="3"/>
      <w:numFmt w:val="decimal"/>
      <w:lvlText w:val="%1.%2"/>
      <w:lvlJc w:val="left"/>
      <w:pPr>
        <w:ind w:left="862" w:hanging="360"/>
      </w:pPr>
    </w:lvl>
    <w:lvl w:ilvl="2">
      <w:start w:val="1"/>
      <w:numFmt w:val="decimal"/>
      <w:lvlText w:val="%1.%2.%3"/>
      <w:lvlJc w:val="left"/>
      <w:pPr>
        <w:ind w:left="1222" w:hanging="720"/>
      </w:pPr>
    </w:lvl>
    <w:lvl w:ilvl="3">
      <w:start w:val="1"/>
      <w:numFmt w:val="decimal"/>
      <w:lvlText w:val="%1.%2.%3.%4"/>
      <w:lvlJc w:val="left"/>
      <w:pPr>
        <w:ind w:left="1222" w:hanging="720"/>
      </w:pPr>
    </w:lvl>
    <w:lvl w:ilvl="4">
      <w:start w:val="1"/>
      <w:numFmt w:val="decimal"/>
      <w:lvlText w:val="%1.%2.%3.%4.%5"/>
      <w:lvlJc w:val="left"/>
      <w:pPr>
        <w:ind w:left="1582" w:hanging="1080"/>
      </w:pPr>
    </w:lvl>
    <w:lvl w:ilvl="5">
      <w:start w:val="1"/>
      <w:numFmt w:val="decimal"/>
      <w:lvlText w:val="%1.%2.%3.%4.%5.%6"/>
      <w:lvlJc w:val="left"/>
      <w:pPr>
        <w:ind w:left="1582" w:hanging="1080"/>
      </w:pPr>
    </w:lvl>
    <w:lvl w:ilvl="6">
      <w:start w:val="1"/>
      <w:numFmt w:val="decimal"/>
      <w:lvlText w:val="%1.%2.%3.%4.%5.%6.%7"/>
      <w:lvlJc w:val="left"/>
      <w:pPr>
        <w:ind w:left="1942" w:hanging="1440"/>
      </w:pPr>
    </w:lvl>
    <w:lvl w:ilvl="7">
      <w:start w:val="1"/>
      <w:numFmt w:val="decimal"/>
      <w:lvlText w:val="%1.%2.%3.%4.%5.%6.%7.%8"/>
      <w:lvlJc w:val="left"/>
      <w:pPr>
        <w:ind w:left="1942" w:hanging="1440"/>
      </w:pPr>
    </w:lvl>
    <w:lvl w:ilvl="8">
      <w:start w:val="1"/>
      <w:numFmt w:val="decimal"/>
      <w:lvlText w:val="%1.%2.%3.%4.%5.%6.%7.%8.%9"/>
      <w:lvlJc w:val="left"/>
      <w:pPr>
        <w:ind w:left="1942" w:hanging="1440"/>
      </w:pPr>
    </w:lvl>
  </w:abstractNum>
  <w:abstractNum w:abstractNumId="3" w15:restartNumberingAfterBreak="0">
    <w:nsid w:val="2BD42E09"/>
    <w:multiLevelType w:val="multilevel"/>
    <w:tmpl w:val="9D3CAEF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2D4F5E23"/>
    <w:multiLevelType w:val="multilevel"/>
    <w:tmpl w:val="5414FA46"/>
    <w:lvl w:ilvl="0">
      <w:start w:val="1"/>
      <w:numFmt w:val="decimal"/>
      <w:lvlText w:val="%1."/>
      <w:lvlJc w:val="left"/>
      <w:pPr>
        <w:ind w:left="420" w:hanging="360"/>
      </w:pPr>
    </w:lvl>
    <w:lvl w:ilvl="1">
      <w:start w:val="1"/>
      <w:numFmt w:val="lowerLetter"/>
      <w:lvlText w:val="%2."/>
      <w:lvlJc w:val="left"/>
      <w:pPr>
        <w:ind w:left="1140" w:hanging="360"/>
      </w:pPr>
    </w:lvl>
    <w:lvl w:ilvl="2">
      <w:start w:val="1"/>
      <w:numFmt w:val="lowerRoman"/>
      <w:lvlText w:val="%3."/>
      <w:lvlJc w:val="right"/>
      <w:pPr>
        <w:ind w:left="1860" w:hanging="180"/>
      </w:pPr>
    </w:lvl>
    <w:lvl w:ilvl="3">
      <w:start w:val="1"/>
      <w:numFmt w:val="decimal"/>
      <w:lvlText w:val="%4."/>
      <w:lvlJc w:val="left"/>
      <w:pPr>
        <w:ind w:left="2580" w:hanging="360"/>
      </w:pPr>
    </w:lvl>
    <w:lvl w:ilvl="4">
      <w:start w:val="1"/>
      <w:numFmt w:val="lowerLetter"/>
      <w:lvlText w:val="%5."/>
      <w:lvlJc w:val="left"/>
      <w:pPr>
        <w:ind w:left="3300" w:hanging="360"/>
      </w:pPr>
    </w:lvl>
    <w:lvl w:ilvl="5">
      <w:start w:val="1"/>
      <w:numFmt w:val="lowerRoman"/>
      <w:lvlText w:val="%6."/>
      <w:lvlJc w:val="right"/>
      <w:pPr>
        <w:ind w:left="4020" w:hanging="180"/>
      </w:pPr>
    </w:lvl>
    <w:lvl w:ilvl="6">
      <w:start w:val="1"/>
      <w:numFmt w:val="decimal"/>
      <w:lvlText w:val="%7."/>
      <w:lvlJc w:val="left"/>
      <w:pPr>
        <w:ind w:left="4740" w:hanging="360"/>
      </w:pPr>
    </w:lvl>
    <w:lvl w:ilvl="7">
      <w:start w:val="1"/>
      <w:numFmt w:val="lowerLetter"/>
      <w:lvlText w:val="%8."/>
      <w:lvlJc w:val="left"/>
      <w:pPr>
        <w:ind w:left="5460" w:hanging="360"/>
      </w:pPr>
    </w:lvl>
    <w:lvl w:ilvl="8">
      <w:start w:val="1"/>
      <w:numFmt w:val="lowerRoman"/>
      <w:lvlText w:val="%9."/>
      <w:lvlJc w:val="right"/>
      <w:pPr>
        <w:ind w:left="6180" w:hanging="180"/>
      </w:pPr>
    </w:lvl>
  </w:abstractNum>
  <w:abstractNum w:abstractNumId="5" w15:restartNumberingAfterBreak="0">
    <w:nsid w:val="32BA470D"/>
    <w:multiLevelType w:val="multilevel"/>
    <w:tmpl w:val="EC32F63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15:restartNumberingAfterBreak="0">
    <w:nsid w:val="33DF27A9"/>
    <w:multiLevelType w:val="multilevel"/>
    <w:tmpl w:val="6AAA7948"/>
    <w:lvl w:ilvl="0">
      <w:start w:val="1"/>
      <w:numFmt w:val="lowerLetter"/>
      <w:lvlText w:val="%1)"/>
      <w:lvlJc w:val="left"/>
      <w:pPr>
        <w:ind w:left="2138" w:hanging="360"/>
      </w:pPr>
      <w:rPr>
        <w:sz w:val="22"/>
        <w:szCs w:val="20"/>
        <w:highlight w:val="white"/>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3D0D6471"/>
    <w:multiLevelType w:val="multilevel"/>
    <w:tmpl w:val="0472D2CE"/>
    <w:lvl w:ilvl="0">
      <w:start w:val="1"/>
      <w:numFmt w:val="bullet"/>
      <w:lvlText w:val=""/>
      <w:lvlJc w:val="left"/>
      <w:pPr>
        <w:ind w:left="1428" w:hanging="360"/>
      </w:pPr>
      <w:rPr>
        <w:rFonts w:ascii="Symbol" w:hAnsi="Symbol" w:cs="Symbol" w:hint="default"/>
      </w:rPr>
    </w:lvl>
    <w:lvl w:ilvl="1">
      <w:start w:val="1"/>
      <w:numFmt w:val="bullet"/>
      <w:lvlText w:val="o"/>
      <w:lvlJc w:val="left"/>
      <w:pPr>
        <w:ind w:left="2148" w:hanging="360"/>
      </w:pPr>
      <w:rPr>
        <w:rFonts w:ascii="Courier New" w:hAnsi="Courier New" w:cs="Courier New" w:hint="default"/>
      </w:rPr>
    </w:lvl>
    <w:lvl w:ilvl="2">
      <w:start w:val="1"/>
      <w:numFmt w:val="bullet"/>
      <w:lvlText w:val=""/>
      <w:lvlJc w:val="left"/>
      <w:pPr>
        <w:ind w:left="2868" w:hanging="360"/>
      </w:pPr>
      <w:rPr>
        <w:rFonts w:ascii="Wingdings" w:hAnsi="Wingdings" w:cs="Wingdings" w:hint="default"/>
      </w:rPr>
    </w:lvl>
    <w:lvl w:ilvl="3">
      <w:start w:val="1"/>
      <w:numFmt w:val="bullet"/>
      <w:lvlText w:val=""/>
      <w:lvlJc w:val="left"/>
      <w:pPr>
        <w:ind w:left="3588" w:hanging="360"/>
      </w:pPr>
      <w:rPr>
        <w:rFonts w:ascii="Symbol" w:hAnsi="Symbol" w:cs="Symbol" w:hint="default"/>
      </w:rPr>
    </w:lvl>
    <w:lvl w:ilvl="4">
      <w:start w:val="1"/>
      <w:numFmt w:val="bullet"/>
      <w:lvlText w:val="o"/>
      <w:lvlJc w:val="left"/>
      <w:pPr>
        <w:ind w:left="4308" w:hanging="360"/>
      </w:pPr>
      <w:rPr>
        <w:rFonts w:ascii="Courier New" w:hAnsi="Courier New" w:cs="Courier New" w:hint="default"/>
      </w:rPr>
    </w:lvl>
    <w:lvl w:ilvl="5">
      <w:start w:val="1"/>
      <w:numFmt w:val="bullet"/>
      <w:lvlText w:val=""/>
      <w:lvlJc w:val="left"/>
      <w:pPr>
        <w:ind w:left="5028" w:hanging="360"/>
      </w:pPr>
      <w:rPr>
        <w:rFonts w:ascii="Wingdings" w:hAnsi="Wingdings" w:cs="Wingdings" w:hint="default"/>
      </w:rPr>
    </w:lvl>
    <w:lvl w:ilvl="6">
      <w:start w:val="1"/>
      <w:numFmt w:val="bullet"/>
      <w:lvlText w:val=""/>
      <w:lvlJc w:val="left"/>
      <w:pPr>
        <w:ind w:left="5748" w:hanging="360"/>
      </w:pPr>
      <w:rPr>
        <w:rFonts w:ascii="Symbol" w:hAnsi="Symbol" w:cs="Symbol" w:hint="default"/>
      </w:rPr>
    </w:lvl>
    <w:lvl w:ilvl="7">
      <w:start w:val="1"/>
      <w:numFmt w:val="bullet"/>
      <w:lvlText w:val="o"/>
      <w:lvlJc w:val="left"/>
      <w:pPr>
        <w:ind w:left="6468" w:hanging="360"/>
      </w:pPr>
      <w:rPr>
        <w:rFonts w:ascii="Courier New" w:hAnsi="Courier New" w:cs="Courier New" w:hint="default"/>
      </w:rPr>
    </w:lvl>
    <w:lvl w:ilvl="8">
      <w:start w:val="1"/>
      <w:numFmt w:val="bullet"/>
      <w:lvlText w:val=""/>
      <w:lvlJc w:val="left"/>
      <w:pPr>
        <w:ind w:left="7188" w:hanging="360"/>
      </w:pPr>
      <w:rPr>
        <w:rFonts w:ascii="Wingdings" w:hAnsi="Wingdings" w:cs="Wingdings" w:hint="default"/>
      </w:rPr>
    </w:lvl>
  </w:abstractNum>
  <w:abstractNum w:abstractNumId="8" w15:restartNumberingAfterBreak="0">
    <w:nsid w:val="51FF6CCA"/>
    <w:multiLevelType w:val="multilevel"/>
    <w:tmpl w:val="9D0C64A4"/>
    <w:lvl w:ilvl="0">
      <w:start w:val="1"/>
      <w:numFmt w:val="bullet"/>
      <w:lvlText w:val=""/>
      <w:lvlJc w:val="left"/>
      <w:pPr>
        <w:ind w:left="768" w:hanging="360"/>
      </w:pPr>
      <w:rPr>
        <w:rFonts w:ascii="Symbol" w:hAnsi="Symbol" w:cs="Symbol" w:hint="default"/>
      </w:rPr>
    </w:lvl>
    <w:lvl w:ilvl="1">
      <w:start w:val="1"/>
      <w:numFmt w:val="bullet"/>
      <w:lvlText w:val="o"/>
      <w:lvlJc w:val="left"/>
      <w:pPr>
        <w:ind w:left="1488" w:hanging="360"/>
      </w:pPr>
      <w:rPr>
        <w:rFonts w:ascii="Courier New" w:hAnsi="Courier New" w:cs="Courier New" w:hint="default"/>
      </w:rPr>
    </w:lvl>
    <w:lvl w:ilvl="2">
      <w:start w:val="1"/>
      <w:numFmt w:val="bullet"/>
      <w:lvlText w:val=""/>
      <w:lvlJc w:val="left"/>
      <w:pPr>
        <w:ind w:left="2208" w:hanging="360"/>
      </w:pPr>
      <w:rPr>
        <w:rFonts w:ascii="Wingdings" w:hAnsi="Wingdings" w:cs="Wingdings" w:hint="default"/>
      </w:rPr>
    </w:lvl>
    <w:lvl w:ilvl="3">
      <w:start w:val="1"/>
      <w:numFmt w:val="bullet"/>
      <w:lvlText w:val=""/>
      <w:lvlJc w:val="left"/>
      <w:pPr>
        <w:ind w:left="2928" w:hanging="360"/>
      </w:pPr>
      <w:rPr>
        <w:rFonts w:ascii="Symbol" w:hAnsi="Symbol" w:cs="Symbol" w:hint="default"/>
      </w:rPr>
    </w:lvl>
    <w:lvl w:ilvl="4">
      <w:start w:val="1"/>
      <w:numFmt w:val="bullet"/>
      <w:lvlText w:val="o"/>
      <w:lvlJc w:val="left"/>
      <w:pPr>
        <w:ind w:left="3648" w:hanging="360"/>
      </w:pPr>
      <w:rPr>
        <w:rFonts w:ascii="Courier New" w:hAnsi="Courier New" w:cs="Courier New" w:hint="default"/>
      </w:rPr>
    </w:lvl>
    <w:lvl w:ilvl="5">
      <w:start w:val="1"/>
      <w:numFmt w:val="bullet"/>
      <w:lvlText w:val=""/>
      <w:lvlJc w:val="left"/>
      <w:pPr>
        <w:ind w:left="4368" w:hanging="360"/>
      </w:pPr>
      <w:rPr>
        <w:rFonts w:ascii="Wingdings" w:hAnsi="Wingdings" w:cs="Wingdings" w:hint="default"/>
      </w:rPr>
    </w:lvl>
    <w:lvl w:ilvl="6">
      <w:start w:val="1"/>
      <w:numFmt w:val="bullet"/>
      <w:lvlText w:val=""/>
      <w:lvlJc w:val="left"/>
      <w:pPr>
        <w:ind w:left="5088" w:hanging="360"/>
      </w:pPr>
      <w:rPr>
        <w:rFonts w:ascii="Symbol" w:hAnsi="Symbol" w:cs="Symbol" w:hint="default"/>
      </w:rPr>
    </w:lvl>
    <w:lvl w:ilvl="7">
      <w:start w:val="1"/>
      <w:numFmt w:val="bullet"/>
      <w:lvlText w:val="o"/>
      <w:lvlJc w:val="left"/>
      <w:pPr>
        <w:ind w:left="5808" w:hanging="360"/>
      </w:pPr>
      <w:rPr>
        <w:rFonts w:ascii="Courier New" w:hAnsi="Courier New" w:cs="Courier New" w:hint="default"/>
      </w:rPr>
    </w:lvl>
    <w:lvl w:ilvl="8">
      <w:start w:val="1"/>
      <w:numFmt w:val="bullet"/>
      <w:lvlText w:val=""/>
      <w:lvlJc w:val="left"/>
      <w:pPr>
        <w:ind w:left="6528" w:hanging="360"/>
      </w:pPr>
      <w:rPr>
        <w:rFonts w:ascii="Wingdings" w:hAnsi="Wingdings" w:cs="Wingdings" w:hint="default"/>
      </w:rPr>
    </w:lvl>
  </w:abstractNum>
  <w:abstractNum w:abstractNumId="9" w15:restartNumberingAfterBreak="0">
    <w:nsid w:val="54076222"/>
    <w:multiLevelType w:val="multilevel"/>
    <w:tmpl w:val="1528236A"/>
    <w:lvl w:ilvl="0">
      <w:start w:val="1"/>
      <w:numFmt w:val="decimal"/>
      <w:lvlText w:val="%1."/>
      <w:lvlJc w:val="left"/>
      <w:pPr>
        <w:tabs>
          <w:tab w:val="num" w:pos="644"/>
        </w:tabs>
        <w:ind w:left="644" w:hanging="360"/>
      </w:pPr>
      <w:rPr>
        <w:rFonts w:eastAsia="Calibri"/>
        <w:b/>
        <w:sz w:val="20"/>
        <w:szCs w:val="20"/>
        <w:highlight w:val="white"/>
      </w:rPr>
    </w:lvl>
    <w:lvl w:ilvl="1">
      <w:start w:val="1"/>
      <w:numFmt w:val="decimal"/>
      <w:lvlText w:val="%2."/>
      <w:lvlJc w:val="left"/>
      <w:pPr>
        <w:tabs>
          <w:tab w:val="num" w:pos="785"/>
        </w:tabs>
        <w:ind w:left="785" w:hanging="360"/>
      </w:pPr>
    </w:lvl>
    <w:lvl w:ilvl="2">
      <w:start w:val="1"/>
      <w:numFmt w:val="decimal"/>
      <w:lvlText w:val="%2.%3."/>
      <w:lvlJc w:val="left"/>
      <w:pPr>
        <w:tabs>
          <w:tab w:val="num" w:pos="1440"/>
        </w:tabs>
        <w:ind w:left="1440" w:hanging="360"/>
      </w:pPr>
    </w:lvl>
    <w:lvl w:ilvl="3">
      <w:start w:val="1"/>
      <w:numFmt w:val="decimal"/>
      <w:lvlText w:val="%2.%3.%4."/>
      <w:lvlJc w:val="left"/>
      <w:pPr>
        <w:tabs>
          <w:tab w:val="num" w:pos="1800"/>
        </w:tabs>
        <w:ind w:left="1800" w:hanging="360"/>
      </w:pPr>
    </w:lvl>
    <w:lvl w:ilvl="4">
      <w:start w:val="1"/>
      <w:numFmt w:val="decimal"/>
      <w:lvlText w:val="%2.%3.%4.%5."/>
      <w:lvlJc w:val="left"/>
      <w:pPr>
        <w:tabs>
          <w:tab w:val="num" w:pos="2160"/>
        </w:tabs>
        <w:ind w:left="2160" w:hanging="360"/>
      </w:pPr>
    </w:lvl>
    <w:lvl w:ilvl="5">
      <w:start w:val="1"/>
      <w:numFmt w:val="decimal"/>
      <w:lvlText w:val="%2.%3.%4.%5.%6."/>
      <w:lvlJc w:val="left"/>
      <w:pPr>
        <w:tabs>
          <w:tab w:val="num" w:pos="2520"/>
        </w:tabs>
        <w:ind w:left="2520" w:hanging="360"/>
      </w:pPr>
    </w:lvl>
    <w:lvl w:ilvl="6">
      <w:start w:val="1"/>
      <w:numFmt w:val="decimal"/>
      <w:lvlText w:val="%2.%3.%4.%5.%6.%7."/>
      <w:lvlJc w:val="left"/>
      <w:pPr>
        <w:tabs>
          <w:tab w:val="num" w:pos="2880"/>
        </w:tabs>
        <w:ind w:left="2880" w:hanging="360"/>
      </w:pPr>
    </w:lvl>
    <w:lvl w:ilvl="7">
      <w:start w:val="1"/>
      <w:numFmt w:val="decimal"/>
      <w:lvlText w:val="%2.%3.%4.%5.%6.%7.%8."/>
      <w:lvlJc w:val="left"/>
      <w:pPr>
        <w:tabs>
          <w:tab w:val="num" w:pos="3240"/>
        </w:tabs>
        <w:ind w:left="3240" w:hanging="360"/>
      </w:pPr>
    </w:lvl>
    <w:lvl w:ilvl="8">
      <w:start w:val="1"/>
      <w:numFmt w:val="decimal"/>
      <w:lvlText w:val="%2.%3.%4.%5.%6.%7.%8.%9."/>
      <w:lvlJc w:val="left"/>
      <w:pPr>
        <w:tabs>
          <w:tab w:val="num" w:pos="3600"/>
        </w:tabs>
        <w:ind w:left="3600" w:hanging="360"/>
      </w:pPr>
    </w:lvl>
  </w:abstractNum>
  <w:abstractNum w:abstractNumId="10" w15:restartNumberingAfterBreak="0">
    <w:nsid w:val="5EA8100D"/>
    <w:multiLevelType w:val="multilevel"/>
    <w:tmpl w:val="D75C95C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62AB020B"/>
    <w:multiLevelType w:val="multilevel"/>
    <w:tmpl w:val="23CCC834"/>
    <w:lvl w:ilvl="0">
      <w:start w:val="1"/>
      <w:numFmt w:val="none"/>
      <w:suff w:val="nothing"/>
      <w:lvlText w:val=""/>
      <w:lvlJc w:val="left"/>
      <w:pPr>
        <w:ind w:left="432" w:hanging="432"/>
      </w:p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12" w15:restartNumberingAfterBreak="0">
    <w:nsid w:val="67C83D04"/>
    <w:multiLevelType w:val="multilevel"/>
    <w:tmpl w:val="F5AA32AA"/>
    <w:lvl w:ilvl="0">
      <w:start w:val="1"/>
      <w:numFmt w:val="bullet"/>
      <w:lvlText w:val=""/>
      <w:lvlJc w:val="left"/>
      <w:pPr>
        <w:ind w:left="1440" w:hanging="360"/>
      </w:pPr>
      <w:rPr>
        <w:rFonts w:ascii="Symbol" w:hAnsi="Symbol" w:cs="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13" w15:restartNumberingAfterBreak="0">
    <w:nsid w:val="6E882DF1"/>
    <w:multiLevelType w:val="multilevel"/>
    <w:tmpl w:val="54E2E7E4"/>
    <w:lvl w:ilvl="0">
      <w:start w:val="1"/>
      <w:numFmt w:val="decimal"/>
      <w:lvlText w:val="%1."/>
      <w:lvlJc w:val="left"/>
      <w:pPr>
        <w:tabs>
          <w:tab w:val="num" w:pos="644"/>
        </w:tabs>
        <w:ind w:left="644" w:hanging="360"/>
      </w:pPr>
      <w:rPr>
        <w:rFonts w:ascii="Times New Roman" w:hAnsi="Times New Roman" w:cs="Symbol"/>
        <w:sz w:val="22"/>
        <w:szCs w:val="20"/>
        <w:highlight w:val="white"/>
      </w:rPr>
    </w:lvl>
    <w:lvl w:ilvl="1">
      <w:start w:val="1"/>
      <w:numFmt w:val="decimal"/>
      <w:lvlText w:val="%2."/>
      <w:lvlJc w:val="left"/>
      <w:pPr>
        <w:tabs>
          <w:tab w:val="num" w:pos="785"/>
        </w:tabs>
        <w:ind w:left="785" w:hanging="360"/>
      </w:pPr>
      <w:rPr>
        <w:rFonts w:cs="Courier New"/>
      </w:rPr>
    </w:lvl>
    <w:lvl w:ilvl="2">
      <w:start w:val="1"/>
      <w:numFmt w:val="decimal"/>
      <w:lvlText w:val="%2.%3."/>
      <w:lvlJc w:val="left"/>
      <w:pPr>
        <w:tabs>
          <w:tab w:val="num" w:pos="1440"/>
        </w:tabs>
        <w:ind w:left="1440" w:hanging="360"/>
      </w:pPr>
      <w:rPr>
        <w:rFonts w:cs="Wingdings"/>
      </w:rPr>
    </w:lvl>
    <w:lvl w:ilvl="3">
      <w:start w:val="1"/>
      <w:numFmt w:val="decimal"/>
      <w:lvlText w:val="%2.%3.%4."/>
      <w:lvlJc w:val="left"/>
      <w:pPr>
        <w:tabs>
          <w:tab w:val="num" w:pos="1800"/>
        </w:tabs>
        <w:ind w:left="1800" w:hanging="360"/>
      </w:pPr>
    </w:lvl>
    <w:lvl w:ilvl="4">
      <w:start w:val="1"/>
      <w:numFmt w:val="decimal"/>
      <w:lvlText w:val="%2.%3.%4.%5."/>
      <w:lvlJc w:val="left"/>
      <w:pPr>
        <w:tabs>
          <w:tab w:val="num" w:pos="2160"/>
        </w:tabs>
        <w:ind w:left="2160" w:hanging="360"/>
      </w:pPr>
    </w:lvl>
    <w:lvl w:ilvl="5">
      <w:start w:val="1"/>
      <w:numFmt w:val="decimal"/>
      <w:lvlText w:val="%2.%3.%4.%5.%6."/>
      <w:lvlJc w:val="left"/>
      <w:pPr>
        <w:tabs>
          <w:tab w:val="num" w:pos="2520"/>
        </w:tabs>
        <w:ind w:left="2520" w:hanging="360"/>
      </w:pPr>
    </w:lvl>
    <w:lvl w:ilvl="6">
      <w:start w:val="1"/>
      <w:numFmt w:val="decimal"/>
      <w:lvlText w:val="%2.%3.%4.%5.%6.%7."/>
      <w:lvlJc w:val="left"/>
      <w:pPr>
        <w:tabs>
          <w:tab w:val="num" w:pos="2880"/>
        </w:tabs>
        <w:ind w:left="2880" w:hanging="360"/>
      </w:pPr>
    </w:lvl>
    <w:lvl w:ilvl="7">
      <w:start w:val="1"/>
      <w:numFmt w:val="decimal"/>
      <w:lvlText w:val="%2.%3.%4.%5.%6.%7.%8."/>
      <w:lvlJc w:val="left"/>
      <w:pPr>
        <w:tabs>
          <w:tab w:val="num" w:pos="3240"/>
        </w:tabs>
        <w:ind w:left="3240" w:hanging="360"/>
      </w:pPr>
    </w:lvl>
    <w:lvl w:ilvl="8">
      <w:start w:val="1"/>
      <w:numFmt w:val="decimal"/>
      <w:lvlText w:val="%2.%3.%4.%5.%6.%7.%8.%9."/>
      <w:lvlJc w:val="left"/>
      <w:pPr>
        <w:tabs>
          <w:tab w:val="num" w:pos="3600"/>
        </w:tabs>
        <w:ind w:left="3600" w:hanging="360"/>
      </w:pPr>
    </w:lvl>
  </w:abstractNum>
  <w:abstractNum w:abstractNumId="14" w15:restartNumberingAfterBreak="0">
    <w:nsid w:val="6E981998"/>
    <w:multiLevelType w:val="multilevel"/>
    <w:tmpl w:val="44F28BF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738B64A0"/>
    <w:multiLevelType w:val="multilevel"/>
    <w:tmpl w:val="59E040D0"/>
    <w:lvl w:ilvl="0">
      <w:start w:val="1"/>
      <w:numFmt w:val="none"/>
      <w:pStyle w:val="Nagwek1"/>
      <w:suff w:val="nothing"/>
      <w:lvlText w:val=""/>
      <w:lvlJc w:val="left"/>
      <w:pPr>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6" w15:restartNumberingAfterBreak="0">
    <w:nsid w:val="74DF6EB2"/>
    <w:multiLevelType w:val="multilevel"/>
    <w:tmpl w:val="062E5C5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7" w15:restartNumberingAfterBreak="0">
    <w:nsid w:val="76F20225"/>
    <w:multiLevelType w:val="multilevel"/>
    <w:tmpl w:val="D9BC91DE"/>
    <w:lvl w:ilvl="0">
      <w:start w:val="1"/>
      <w:numFmt w:val="lowerLetter"/>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lowerLetter"/>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Letter"/>
      <w:lvlText w:val="%6)"/>
      <w:lvlJc w:val="left"/>
      <w:pPr>
        <w:tabs>
          <w:tab w:val="num" w:pos="2520"/>
        </w:tabs>
        <w:ind w:left="2520" w:hanging="360"/>
      </w:pPr>
    </w:lvl>
    <w:lvl w:ilvl="6">
      <w:start w:val="1"/>
      <w:numFmt w:val="lowerLetter"/>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Letter"/>
      <w:lvlText w:val="%9)"/>
      <w:lvlJc w:val="left"/>
      <w:pPr>
        <w:tabs>
          <w:tab w:val="num" w:pos="3600"/>
        </w:tabs>
        <w:ind w:left="3600" w:hanging="360"/>
      </w:pPr>
    </w:lvl>
  </w:abstractNum>
  <w:abstractNum w:abstractNumId="18" w15:restartNumberingAfterBreak="0">
    <w:nsid w:val="783E2B4B"/>
    <w:multiLevelType w:val="multilevel"/>
    <w:tmpl w:val="40F2D3D6"/>
    <w:lvl w:ilvl="0">
      <w:start w:val="1"/>
      <w:numFmt w:val="bullet"/>
      <w:lvlText w:val=""/>
      <w:lvlJc w:val="left"/>
      <w:pPr>
        <w:ind w:left="1428" w:hanging="360"/>
      </w:pPr>
      <w:rPr>
        <w:rFonts w:ascii="Symbol" w:hAnsi="Symbol" w:cs="Symbol" w:hint="default"/>
      </w:rPr>
    </w:lvl>
    <w:lvl w:ilvl="1">
      <w:start w:val="1"/>
      <w:numFmt w:val="bullet"/>
      <w:lvlText w:val="o"/>
      <w:lvlJc w:val="left"/>
      <w:pPr>
        <w:ind w:left="2148" w:hanging="360"/>
      </w:pPr>
      <w:rPr>
        <w:rFonts w:ascii="Courier New" w:hAnsi="Courier New" w:cs="Courier New" w:hint="default"/>
      </w:rPr>
    </w:lvl>
    <w:lvl w:ilvl="2">
      <w:start w:val="1"/>
      <w:numFmt w:val="bullet"/>
      <w:lvlText w:val=""/>
      <w:lvlJc w:val="left"/>
      <w:pPr>
        <w:ind w:left="2868" w:hanging="360"/>
      </w:pPr>
      <w:rPr>
        <w:rFonts w:ascii="Wingdings" w:hAnsi="Wingdings" w:cs="Wingdings" w:hint="default"/>
      </w:rPr>
    </w:lvl>
    <w:lvl w:ilvl="3">
      <w:start w:val="1"/>
      <w:numFmt w:val="bullet"/>
      <w:lvlText w:val=""/>
      <w:lvlJc w:val="left"/>
      <w:pPr>
        <w:ind w:left="3588" w:hanging="360"/>
      </w:pPr>
      <w:rPr>
        <w:rFonts w:ascii="Symbol" w:hAnsi="Symbol" w:cs="Symbol" w:hint="default"/>
      </w:rPr>
    </w:lvl>
    <w:lvl w:ilvl="4">
      <w:start w:val="1"/>
      <w:numFmt w:val="bullet"/>
      <w:lvlText w:val="o"/>
      <w:lvlJc w:val="left"/>
      <w:pPr>
        <w:ind w:left="4308" w:hanging="360"/>
      </w:pPr>
      <w:rPr>
        <w:rFonts w:ascii="Courier New" w:hAnsi="Courier New" w:cs="Courier New" w:hint="default"/>
      </w:rPr>
    </w:lvl>
    <w:lvl w:ilvl="5">
      <w:start w:val="1"/>
      <w:numFmt w:val="bullet"/>
      <w:lvlText w:val=""/>
      <w:lvlJc w:val="left"/>
      <w:pPr>
        <w:ind w:left="5028" w:hanging="360"/>
      </w:pPr>
      <w:rPr>
        <w:rFonts w:ascii="Wingdings" w:hAnsi="Wingdings" w:cs="Wingdings" w:hint="default"/>
      </w:rPr>
    </w:lvl>
    <w:lvl w:ilvl="6">
      <w:start w:val="1"/>
      <w:numFmt w:val="bullet"/>
      <w:lvlText w:val=""/>
      <w:lvlJc w:val="left"/>
      <w:pPr>
        <w:ind w:left="5748" w:hanging="360"/>
      </w:pPr>
      <w:rPr>
        <w:rFonts w:ascii="Symbol" w:hAnsi="Symbol" w:cs="Symbol" w:hint="default"/>
      </w:rPr>
    </w:lvl>
    <w:lvl w:ilvl="7">
      <w:start w:val="1"/>
      <w:numFmt w:val="bullet"/>
      <w:lvlText w:val="o"/>
      <w:lvlJc w:val="left"/>
      <w:pPr>
        <w:ind w:left="6468" w:hanging="360"/>
      </w:pPr>
      <w:rPr>
        <w:rFonts w:ascii="Courier New" w:hAnsi="Courier New" w:cs="Courier New" w:hint="default"/>
      </w:rPr>
    </w:lvl>
    <w:lvl w:ilvl="8">
      <w:start w:val="1"/>
      <w:numFmt w:val="bullet"/>
      <w:lvlText w:val=""/>
      <w:lvlJc w:val="left"/>
      <w:pPr>
        <w:ind w:left="7188" w:hanging="360"/>
      </w:pPr>
      <w:rPr>
        <w:rFonts w:ascii="Wingdings" w:hAnsi="Wingdings" w:cs="Wingdings" w:hint="default"/>
      </w:rPr>
    </w:lvl>
  </w:abstractNum>
  <w:abstractNum w:abstractNumId="19" w15:restartNumberingAfterBreak="0">
    <w:nsid w:val="7F095C8C"/>
    <w:multiLevelType w:val="multilevel"/>
    <w:tmpl w:val="7130A968"/>
    <w:lvl w:ilvl="0">
      <w:start w:val="1"/>
      <w:numFmt w:val="none"/>
      <w:suff w:val="nothing"/>
      <w:lvlText w:val=""/>
      <w:lvlJc w:val="left"/>
      <w:pPr>
        <w:ind w:left="432" w:hanging="432"/>
      </w:p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20" w15:restartNumberingAfterBreak="0">
    <w:nsid w:val="7FF93E55"/>
    <w:multiLevelType w:val="multilevel"/>
    <w:tmpl w:val="20B8BE0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15"/>
  </w:num>
  <w:num w:numId="2">
    <w:abstractNumId w:val="19"/>
  </w:num>
  <w:num w:numId="3">
    <w:abstractNumId w:val="6"/>
  </w:num>
  <w:num w:numId="4">
    <w:abstractNumId w:val="2"/>
  </w:num>
  <w:num w:numId="5">
    <w:abstractNumId w:val="9"/>
  </w:num>
  <w:num w:numId="6">
    <w:abstractNumId w:val="13"/>
  </w:num>
  <w:num w:numId="7">
    <w:abstractNumId w:val="12"/>
  </w:num>
  <w:num w:numId="8">
    <w:abstractNumId w:val="18"/>
  </w:num>
  <w:num w:numId="9">
    <w:abstractNumId w:val="7"/>
  </w:num>
  <w:num w:numId="10">
    <w:abstractNumId w:val="8"/>
  </w:num>
  <w:num w:numId="11">
    <w:abstractNumId w:val="4"/>
  </w:num>
  <w:num w:numId="12">
    <w:abstractNumId w:val="16"/>
  </w:num>
  <w:num w:numId="13">
    <w:abstractNumId w:val="11"/>
  </w:num>
  <w:num w:numId="14">
    <w:abstractNumId w:val="17"/>
  </w:num>
  <w:num w:numId="15">
    <w:abstractNumId w:val="3"/>
  </w:num>
  <w:num w:numId="16">
    <w:abstractNumId w:val="1"/>
  </w:num>
  <w:num w:numId="17">
    <w:abstractNumId w:val="10"/>
  </w:num>
  <w:num w:numId="18">
    <w:abstractNumId w:val="20"/>
  </w:num>
  <w:num w:numId="19">
    <w:abstractNumId w:val="14"/>
  </w:num>
  <w:num w:numId="20">
    <w:abstractNumId w:val="0"/>
  </w:num>
  <w:num w:numId="2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54E6"/>
    <w:rsid w:val="000D72B6"/>
    <w:rsid w:val="000E6877"/>
    <w:rsid w:val="001229C8"/>
    <w:rsid w:val="002C54E6"/>
    <w:rsid w:val="00365000"/>
    <w:rsid w:val="0037185A"/>
    <w:rsid w:val="004F155E"/>
    <w:rsid w:val="007B0993"/>
    <w:rsid w:val="00862A1E"/>
    <w:rsid w:val="00880C21"/>
    <w:rsid w:val="00897384"/>
    <w:rsid w:val="00924BA6"/>
    <w:rsid w:val="00AE5237"/>
    <w:rsid w:val="00BB462F"/>
    <w:rsid w:val="00D57386"/>
    <w:rsid w:val="00D752E7"/>
    <w:rsid w:val="00DE6E60"/>
    <w:rsid w:val="00E2050D"/>
    <w:rsid w:val="00EC65B2"/>
    <w:rsid w:val="00FB7C4D"/>
    <w:rsid w:val="00FC7295"/>
  </w:rsids>
  <m:mathPr>
    <m:mathFont m:val="Cambria Math"/>
    <m:brkBin m:val="before"/>
    <m:brkBinSub m:val="--"/>
    <m:smallFrac m:val="0"/>
    <m:dispDef/>
    <m:lMargin m:val="0"/>
    <m:rMargin m:val="0"/>
    <m:defJc m:val="centerGroup"/>
    <m:wrapIndent m:val="1440"/>
    <m:intLim m:val="subSup"/>
    <m:naryLim m:val="undOvr"/>
  </m:mathPr>
  <w:themeFontLang w:val="pl-P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FB4D915-EB1C-4B93-8A35-63BEE7748F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Cs w:val="22"/>
        <w:lang w:val="pl-PL"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BB5B36"/>
    <w:pPr>
      <w:suppressAutoHyphens/>
      <w:spacing w:line="100" w:lineRule="atLeast"/>
    </w:pPr>
    <w:rPr>
      <w:rFonts w:ascii="Times New Roman" w:eastAsia="SimSun" w:hAnsi="Times New Roman" w:cs="Arial"/>
      <w:color w:val="00000A"/>
      <w:sz w:val="24"/>
      <w:szCs w:val="24"/>
      <w:lang w:eastAsia="zh-CN" w:bidi="hi-IN"/>
    </w:rPr>
  </w:style>
  <w:style w:type="paragraph" w:styleId="Nagwek1">
    <w:name w:val="heading 1"/>
    <w:basedOn w:val="Normalny"/>
    <w:link w:val="Nagwek1Znak"/>
    <w:qFormat/>
    <w:rsid w:val="00BB5B36"/>
    <w:pPr>
      <w:keepNext/>
      <w:numPr>
        <w:numId w:val="1"/>
      </w:numPr>
      <w:suppressAutoHyphens w:val="0"/>
      <w:spacing w:before="240" w:after="120" w:line="240" w:lineRule="auto"/>
      <w:outlineLvl w:val="0"/>
    </w:pPr>
    <w:rPr>
      <w:rFonts w:ascii="Liberation Serif" w:eastAsia="Microsoft YaHei" w:hAnsi="Liberation Serif"/>
      <w:b/>
      <w:bCs/>
      <w:sz w:val="21"/>
      <w:szCs w:val="36"/>
    </w:rPr>
  </w:style>
  <w:style w:type="paragraph" w:styleId="Nagwek2">
    <w:name w:val="heading 2"/>
    <w:basedOn w:val="Normalny"/>
    <w:link w:val="Nagwek2Znak"/>
    <w:uiPriority w:val="9"/>
    <w:semiHidden/>
    <w:unhideWhenUsed/>
    <w:qFormat/>
    <w:rsid w:val="00BB5B36"/>
    <w:pPr>
      <w:keepNext/>
      <w:keepLines/>
      <w:spacing w:before="40"/>
      <w:outlineLvl w:val="1"/>
    </w:pPr>
    <w:rPr>
      <w:rFonts w:asciiTheme="majorHAnsi" w:eastAsiaTheme="majorEastAsia" w:hAnsiTheme="majorHAnsi" w:cs="Mangal"/>
      <w:color w:val="2E74B5" w:themeColor="accent1" w:themeShade="BF"/>
      <w:sz w:val="26"/>
      <w:szCs w:val="23"/>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czeinternetowe">
    <w:name w:val="Łącze internetowe"/>
    <w:basedOn w:val="Domylnaczcionkaakapitu"/>
    <w:uiPriority w:val="99"/>
    <w:semiHidden/>
    <w:unhideWhenUsed/>
    <w:rsid w:val="000B1007"/>
    <w:rPr>
      <w:color w:val="0563C1"/>
      <w:u w:val="single"/>
    </w:rPr>
  </w:style>
  <w:style w:type="character" w:customStyle="1" w:styleId="TekstpodstawowyZnak">
    <w:name w:val="Tekst podstawowy Znak"/>
    <w:basedOn w:val="Domylnaczcionkaakapitu"/>
    <w:link w:val="Tekstpodstawowy"/>
    <w:qFormat/>
    <w:rsid w:val="00BB5B36"/>
    <w:rPr>
      <w:rFonts w:ascii="Times New Roman" w:eastAsia="SimSun" w:hAnsi="Times New Roman" w:cs="Arial"/>
      <w:sz w:val="24"/>
      <w:szCs w:val="24"/>
      <w:lang w:eastAsia="zh-CN" w:bidi="hi-IN"/>
    </w:rPr>
  </w:style>
  <w:style w:type="character" w:customStyle="1" w:styleId="PodtytuZnak">
    <w:name w:val="Podtytuł Znak"/>
    <w:basedOn w:val="Domylnaczcionkaakapitu"/>
    <w:link w:val="Podtytu"/>
    <w:uiPriority w:val="11"/>
    <w:qFormat/>
    <w:rsid w:val="00BB5B36"/>
    <w:rPr>
      <w:rFonts w:eastAsiaTheme="minorEastAsia" w:cs="Mangal"/>
      <w:color w:val="5A5A5A" w:themeColor="text1" w:themeTint="A5"/>
      <w:spacing w:val="15"/>
      <w:szCs w:val="20"/>
      <w:lang w:eastAsia="zh-CN" w:bidi="hi-IN"/>
    </w:rPr>
  </w:style>
  <w:style w:type="character" w:customStyle="1" w:styleId="Nagwek1Znak">
    <w:name w:val="Nagłówek 1 Znak"/>
    <w:basedOn w:val="Domylnaczcionkaakapitu"/>
    <w:link w:val="Nagwek1"/>
    <w:qFormat/>
    <w:rsid w:val="00BB5B36"/>
    <w:rPr>
      <w:rFonts w:ascii="Liberation Serif" w:eastAsia="Microsoft YaHei" w:hAnsi="Liberation Serif" w:cs="Arial"/>
      <w:b/>
      <w:bCs/>
      <w:sz w:val="21"/>
      <w:szCs w:val="36"/>
      <w:lang w:eastAsia="zh-CN" w:bidi="hi-IN"/>
    </w:rPr>
  </w:style>
  <w:style w:type="character" w:styleId="Odwoaniedokomentarza">
    <w:name w:val="annotation reference"/>
    <w:uiPriority w:val="99"/>
    <w:semiHidden/>
    <w:unhideWhenUsed/>
    <w:qFormat/>
    <w:rsid w:val="00BB5B36"/>
    <w:rPr>
      <w:sz w:val="16"/>
      <w:szCs w:val="16"/>
    </w:rPr>
  </w:style>
  <w:style w:type="character" w:customStyle="1" w:styleId="TekstkomentarzaZnak">
    <w:name w:val="Tekst komentarza Znak"/>
    <w:basedOn w:val="Domylnaczcionkaakapitu"/>
    <w:uiPriority w:val="99"/>
    <w:semiHidden/>
    <w:qFormat/>
    <w:rsid w:val="00BB5B36"/>
    <w:rPr>
      <w:rFonts w:ascii="Times New Roman" w:eastAsia="SimSun" w:hAnsi="Times New Roman" w:cs="Mangal"/>
      <w:sz w:val="20"/>
      <w:szCs w:val="18"/>
      <w:lang w:eastAsia="zh-CN" w:bidi="hi-IN"/>
    </w:rPr>
  </w:style>
  <w:style w:type="character" w:customStyle="1" w:styleId="TekstkomentarzaZnak1">
    <w:name w:val="Tekst komentarza Znak1"/>
    <w:link w:val="Tekstkomentarza"/>
    <w:uiPriority w:val="99"/>
    <w:semiHidden/>
    <w:qFormat/>
    <w:rsid w:val="00BB5B36"/>
    <w:rPr>
      <w:rFonts w:ascii="Times New Roman" w:eastAsia="SimSun" w:hAnsi="Times New Roman" w:cs="Mangal"/>
      <w:sz w:val="20"/>
      <w:szCs w:val="18"/>
      <w:lang w:eastAsia="zh-CN" w:bidi="hi-IN"/>
    </w:rPr>
  </w:style>
  <w:style w:type="character" w:customStyle="1" w:styleId="TekstdymkaZnak">
    <w:name w:val="Tekst dymka Znak"/>
    <w:basedOn w:val="Domylnaczcionkaakapitu"/>
    <w:link w:val="Tekstdymka"/>
    <w:uiPriority w:val="99"/>
    <w:semiHidden/>
    <w:qFormat/>
    <w:rsid w:val="00BB5B36"/>
    <w:rPr>
      <w:rFonts w:ascii="Segoe UI" w:eastAsia="SimSun" w:hAnsi="Segoe UI" w:cs="Mangal"/>
      <w:sz w:val="18"/>
      <w:szCs w:val="16"/>
      <w:lang w:eastAsia="zh-CN" w:bidi="hi-IN"/>
    </w:rPr>
  </w:style>
  <w:style w:type="character" w:customStyle="1" w:styleId="Nagwek2Znak">
    <w:name w:val="Nagłówek 2 Znak"/>
    <w:basedOn w:val="Domylnaczcionkaakapitu"/>
    <w:link w:val="Nagwek2"/>
    <w:uiPriority w:val="9"/>
    <w:semiHidden/>
    <w:qFormat/>
    <w:rsid w:val="00BB5B36"/>
    <w:rPr>
      <w:rFonts w:asciiTheme="majorHAnsi" w:eastAsiaTheme="majorEastAsia" w:hAnsiTheme="majorHAnsi" w:cs="Mangal"/>
      <w:color w:val="2E74B5" w:themeColor="accent1" w:themeShade="BF"/>
      <w:sz w:val="26"/>
      <w:szCs w:val="23"/>
      <w:lang w:eastAsia="zh-CN" w:bidi="hi-IN"/>
    </w:rPr>
  </w:style>
  <w:style w:type="character" w:customStyle="1" w:styleId="ListLabel1">
    <w:name w:val="ListLabel 1"/>
    <w:qFormat/>
    <w:rPr>
      <w:sz w:val="22"/>
      <w:szCs w:val="20"/>
      <w:highlight w:val="white"/>
    </w:rPr>
  </w:style>
  <w:style w:type="character" w:customStyle="1" w:styleId="ListLabel2">
    <w:name w:val="ListLabel 2"/>
    <w:qFormat/>
    <w:rPr>
      <w:b/>
      <w:sz w:val="22"/>
      <w:highlight w:val="white"/>
    </w:rPr>
  </w:style>
  <w:style w:type="character" w:customStyle="1" w:styleId="ListLabel3">
    <w:name w:val="ListLabel 3"/>
    <w:qFormat/>
    <w:rPr>
      <w:rFonts w:eastAsia="Microsoft YaHei"/>
      <w:b/>
      <w:bCs/>
      <w:sz w:val="20"/>
      <w:szCs w:val="20"/>
    </w:rPr>
  </w:style>
  <w:style w:type="character" w:customStyle="1" w:styleId="ListLabel4">
    <w:name w:val="ListLabel 4"/>
    <w:qFormat/>
    <w:rPr>
      <w:rFonts w:eastAsia="Microsoft YaHei"/>
      <w:b/>
      <w:bCs/>
      <w:sz w:val="22"/>
      <w:szCs w:val="32"/>
    </w:rPr>
  </w:style>
  <w:style w:type="character" w:customStyle="1" w:styleId="ListLabel5">
    <w:name w:val="ListLabel 5"/>
    <w:qFormat/>
    <w:rPr>
      <w:rFonts w:eastAsia="Calibri"/>
      <w:b/>
      <w:sz w:val="20"/>
      <w:szCs w:val="20"/>
      <w:highlight w:val="white"/>
    </w:rPr>
  </w:style>
  <w:style w:type="character" w:customStyle="1" w:styleId="ListLabel6">
    <w:name w:val="ListLabel 6"/>
    <w:qFormat/>
    <w:rPr>
      <w:rFonts w:ascii="Times New Roman" w:hAnsi="Times New Roman" w:cs="Symbol"/>
      <w:sz w:val="22"/>
      <w:szCs w:val="20"/>
      <w:highlight w:val="white"/>
    </w:rPr>
  </w:style>
  <w:style w:type="character" w:customStyle="1" w:styleId="ListLabel7">
    <w:name w:val="ListLabel 7"/>
    <w:qFormat/>
    <w:rPr>
      <w:rFonts w:cs="Courier New"/>
    </w:rPr>
  </w:style>
  <w:style w:type="character" w:customStyle="1" w:styleId="ListLabel8">
    <w:name w:val="ListLabel 8"/>
    <w:qFormat/>
    <w:rPr>
      <w:rFonts w:cs="Wingdings"/>
    </w:rPr>
  </w:style>
  <w:style w:type="character" w:customStyle="1" w:styleId="ListLabel9">
    <w:name w:val="ListLabel 9"/>
    <w:qFormat/>
    <w:rPr>
      <w:rFonts w:cs="Symbol"/>
    </w:rPr>
  </w:style>
  <w:style w:type="character" w:customStyle="1" w:styleId="ListLabel10">
    <w:name w:val="ListLabel 10"/>
    <w:qFormat/>
    <w:rPr>
      <w:rFonts w:cs="Courier New"/>
    </w:rPr>
  </w:style>
  <w:style w:type="character" w:customStyle="1" w:styleId="ListLabel11">
    <w:name w:val="ListLabel 11"/>
    <w:qFormat/>
    <w:rPr>
      <w:rFonts w:cs="Wingdings"/>
    </w:rPr>
  </w:style>
  <w:style w:type="character" w:customStyle="1" w:styleId="ListLabel12">
    <w:name w:val="ListLabel 12"/>
    <w:qFormat/>
    <w:rPr>
      <w:rFonts w:cs="Symbol"/>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ascii="Times New Roman" w:hAnsi="Times New Roman"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cs="Symbol"/>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ascii="Times New Roman" w:hAnsi="Times New Roman"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Symbol"/>
    </w:rPr>
  </w:style>
  <w:style w:type="character" w:customStyle="1" w:styleId="ListLabel31">
    <w:name w:val="ListLabel 31"/>
    <w:qFormat/>
    <w:rPr>
      <w:rFonts w:cs="Courier New"/>
    </w:rPr>
  </w:style>
  <w:style w:type="character" w:customStyle="1" w:styleId="ListLabel32">
    <w:name w:val="ListLabel 32"/>
    <w:qFormat/>
    <w:rPr>
      <w:rFonts w:cs="Wingdings"/>
    </w:rPr>
  </w:style>
  <w:style w:type="character" w:customStyle="1" w:styleId="ListLabel33">
    <w:name w:val="ListLabel 33"/>
    <w:qFormat/>
    <w:rPr>
      <w:rFonts w:cs="Symbol"/>
    </w:rPr>
  </w:style>
  <w:style w:type="character" w:customStyle="1" w:styleId="ListLabel34">
    <w:name w:val="ListLabel 34"/>
    <w:qFormat/>
    <w:rPr>
      <w:rFonts w:cs="Courier New"/>
    </w:rPr>
  </w:style>
  <w:style w:type="character" w:customStyle="1" w:styleId="ListLabel35">
    <w:name w:val="ListLabel 35"/>
    <w:qFormat/>
    <w:rPr>
      <w:rFonts w:cs="Wingdings"/>
    </w:rPr>
  </w:style>
  <w:style w:type="character" w:customStyle="1" w:styleId="ListLabel36">
    <w:name w:val="ListLabel 36"/>
    <w:qFormat/>
    <w:rPr>
      <w:rFonts w:ascii="Times New Roman" w:hAnsi="Times New Roman" w:cs="Symbol"/>
    </w:rPr>
  </w:style>
  <w:style w:type="character" w:customStyle="1" w:styleId="ListLabel37">
    <w:name w:val="ListLabel 37"/>
    <w:qFormat/>
    <w:rPr>
      <w:rFonts w:cs="Courier New"/>
    </w:rPr>
  </w:style>
  <w:style w:type="character" w:customStyle="1" w:styleId="ListLabel38">
    <w:name w:val="ListLabel 38"/>
    <w:qFormat/>
    <w:rPr>
      <w:rFonts w:cs="Wingdings"/>
    </w:rPr>
  </w:style>
  <w:style w:type="character" w:customStyle="1" w:styleId="ListLabel39">
    <w:name w:val="ListLabel 39"/>
    <w:qFormat/>
    <w:rPr>
      <w:rFonts w:cs="Symbol"/>
    </w:rPr>
  </w:style>
  <w:style w:type="character" w:customStyle="1" w:styleId="ListLabel40">
    <w:name w:val="ListLabel 40"/>
    <w:qFormat/>
    <w:rPr>
      <w:rFonts w:cs="Courier New"/>
    </w:rPr>
  </w:style>
  <w:style w:type="character" w:customStyle="1" w:styleId="ListLabel41">
    <w:name w:val="ListLabel 41"/>
    <w:qFormat/>
    <w:rPr>
      <w:rFonts w:cs="Wingdings"/>
    </w:rPr>
  </w:style>
  <w:style w:type="character" w:customStyle="1" w:styleId="ListLabel42">
    <w:name w:val="ListLabel 42"/>
    <w:qFormat/>
    <w:rPr>
      <w:rFonts w:cs="Symbol"/>
    </w:rPr>
  </w:style>
  <w:style w:type="character" w:customStyle="1" w:styleId="ListLabel43">
    <w:name w:val="ListLabel 43"/>
    <w:qFormat/>
    <w:rPr>
      <w:rFonts w:cs="Courier New"/>
    </w:rPr>
  </w:style>
  <w:style w:type="character" w:customStyle="1" w:styleId="ListLabel44">
    <w:name w:val="ListLabel 44"/>
    <w:qFormat/>
    <w:rPr>
      <w:rFonts w:cs="Wingdings"/>
    </w:rPr>
  </w:style>
  <w:style w:type="character" w:customStyle="1" w:styleId="ListLabel45">
    <w:name w:val="ListLabel 45"/>
    <w:qFormat/>
    <w:rPr>
      <w:rFonts w:ascii="Times New Roman" w:hAnsi="Times New Roman" w:cs="Symbol"/>
    </w:rPr>
  </w:style>
  <w:style w:type="character" w:customStyle="1" w:styleId="ListLabel46">
    <w:name w:val="ListLabel 46"/>
    <w:qFormat/>
    <w:rPr>
      <w:rFonts w:cs="Courier New"/>
    </w:rPr>
  </w:style>
  <w:style w:type="character" w:customStyle="1" w:styleId="ListLabel47">
    <w:name w:val="ListLabel 47"/>
    <w:qFormat/>
    <w:rPr>
      <w:rFonts w:cs="Wingdings"/>
    </w:rPr>
  </w:style>
  <w:style w:type="character" w:customStyle="1" w:styleId="ListLabel48">
    <w:name w:val="ListLabel 48"/>
    <w:qFormat/>
    <w:rPr>
      <w:rFonts w:cs="Symbol"/>
    </w:rPr>
  </w:style>
  <w:style w:type="character" w:customStyle="1" w:styleId="ListLabel49">
    <w:name w:val="ListLabel 49"/>
    <w:qFormat/>
    <w:rPr>
      <w:rFonts w:cs="Courier New"/>
    </w:rPr>
  </w:style>
  <w:style w:type="character" w:customStyle="1" w:styleId="ListLabel50">
    <w:name w:val="ListLabel 50"/>
    <w:qFormat/>
    <w:rPr>
      <w:rFonts w:cs="Wingdings"/>
    </w:rPr>
  </w:style>
  <w:style w:type="character" w:customStyle="1" w:styleId="ListLabel51">
    <w:name w:val="ListLabel 51"/>
    <w:qFormat/>
    <w:rPr>
      <w:rFonts w:cs="Symbol"/>
    </w:rPr>
  </w:style>
  <w:style w:type="character" w:customStyle="1" w:styleId="ListLabel52">
    <w:name w:val="ListLabel 52"/>
    <w:qFormat/>
    <w:rPr>
      <w:rFonts w:cs="Courier New"/>
    </w:rPr>
  </w:style>
  <w:style w:type="character" w:customStyle="1" w:styleId="ListLabel53">
    <w:name w:val="ListLabel 53"/>
    <w:qFormat/>
    <w:rPr>
      <w:rFonts w:cs="Wingdings"/>
    </w:rPr>
  </w:style>
  <w:style w:type="character" w:customStyle="1" w:styleId="ListLabel54">
    <w:name w:val="ListLabel 54"/>
    <w:qFormat/>
    <w:rPr>
      <w:rFonts w:ascii="Times New Roman" w:hAnsi="Times New Roman" w:cs="Symbol"/>
    </w:rPr>
  </w:style>
  <w:style w:type="character" w:customStyle="1" w:styleId="ListLabel55">
    <w:name w:val="ListLabel 55"/>
    <w:qFormat/>
    <w:rPr>
      <w:rFonts w:cs="Courier New"/>
    </w:rPr>
  </w:style>
  <w:style w:type="character" w:customStyle="1" w:styleId="ListLabel56">
    <w:name w:val="ListLabel 56"/>
    <w:qFormat/>
    <w:rPr>
      <w:rFonts w:cs="Wingdings"/>
    </w:rPr>
  </w:style>
  <w:style w:type="character" w:customStyle="1" w:styleId="ListLabel57">
    <w:name w:val="ListLabel 57"/>
    <w:qFormat/>
    <w:rPr>
      <w:rFonts w:cs="Symbol"/>
    </w:rPr>
  </w:style>
  <w:style w:type="character" w:customStyle="1" w:styleId="ListLabel58">
    <w:name w:val="ListLabel 58"/>
    <w:qFormat/>
    <w:rPr>
      <w:rFonts w:cs="Courier New"/>
    </w:rPr>
  </w:style>
  <w:style w:type="character" w:customStyle="1" w:styleId="ListLabel59">
    <w:name w:val="ListLabel 59"/>
    <w:qFormat/>
    <w:rPr>
      <w:rFonts w:cs="Wingdings"/>
    </w:rPr>
  </w:style>
  <w:style w:type="character" w:customStyle="1" w:styleId="ListLabel60">
    <w:name w:val="ListLabel 60"/>
    <w:qFormat/>
    <w:rPr>
      <w:rFonts w:cs="Symbol"/>
    </w:rPr>
  </w:style>
  <w:style w:type="character" w:customStyle="1" w:styleId="ListLabel61">
    <w:name w:val="ListLabel 61"/>
    <w:qFormat/>
    <w:rPr>
      <w:rFonts w:cs="Courier New"/>
    </w:rPr>
  </w:style>
  <w:style w:type="character" w:customStyle="1" w:styleId="ListLabel62">
    <w:name w:val="ListLabel 62"/>
    <w:qFormat/>
    <w:rPr>
      <w:rFonts w:cs="Wingdings"/>
    </w:rPr>
  </w:style>
  <w:style w:type="character" w:customStyle="1" w:styleId="ListLabel63">
    <w:name w:val="ListLabel 63"/>
    <w:qFormat/>
    <w:rPr>
      <w:rFonts w:eastAsia="Microsoft YaHei"/>
      <w:b/>
      <w:bCs/>
      <w:sz w:val="20"/>
      <w:szCs w:val="20"/>
    </w:rPr>
  </w:style>
  <w:style w:type="character" w:customStyle="1" w:styleId="ListLabel64">
    <w:name w:val="ListLabel 64"/>
    <w:qFormat/>
    <w:rPr>
      <w:rFonts w:eastAsia="Microsoft YaHei"/>
      <w:b/>
      <w:bCs/>
      <w:sz w:val="21"/>
      <w:szCs w:val="32"/>
    </w:rPr>
  </w:style>
  <w:style w:type="character" w:customStyle="1" w:styleId="czeindeksu">
    <w:name w:val="Łącze indeksu"/>
    <w:qFormat/>
  </w:style>
  <w:style w:type="character" w:customStyle="1" w:styleId="ListLabel65">
    <w:name w:val="ListLabel 65"/>
    <w:qFormat/>
    <w:rPr>
      <w:sz w:val="22"/>
      <w:szCs w:val="20"/>
      <w:highlight w:val="white"/>
    </w:rPr>
  </w:style>
  <w:style w:type="character" w:customStyle="1" w:styleId="ListLabel66">
    <w:name w:val="ListLabel 66"/>
    <w:qFormat/>
    <w:rPr>
      <w:b/>
      <w:sz w:val="22"/>
      <w:highlight w:val="white"/>
    </w:rPr>
  </w:style>
  <w:style w:type="character" w:customStyle="1" w:styleId="ListLabel67">
    <w:name w:val="ListLabel 67"/>
    <w:qFormat/>
    <w:rPr>
      <w:rFonts w:eastAsia="Calibri"/>
      <w:b/>
      <w:sz w:val="20"/>
      <w:szCs w:val="20"/>
      <w:highlight w:val="white"/>
    </w:rPr>
  </w:style>
  <w:style w:type="character" w:customStyle="1" w:styleId="ListLabel68">
    <w:name w:val="ListLabel 68"/>
    <w:qFormat/>
    <w:rPr>
      <w:rFonts w:ascii="Times New Roman" w:hAnsi="Times New Roman" w:cs="Symbol"/>
      <w:sz w:val="22"/>
      <w:szCs w:val="20"/>
      <w:highlight w:val="white"/>
    </w:rPr>
  </w:style>
  <w:style w:type="character" w:customStyle="1" w:styleId="ListLabel69">
    <w:name w:val="ListLabel 69"/>
    <w:qFormat/>
    <w:rPr>
      <w:rFonts w:cs="Courier New"/>
    </w:rPr>
  </w:style>
  <w:style w:type="character" w:customStyle="1" w:styleId="ListLabel70">
    <w:name w:val="ListLabel 70"/>
    <w:qFormat/>
    <w:rPr>
      <w:rFonts w:cs="Wingdings"/>
    </w:rPr>
  </w:style>
  <w:style w:type="character" w:customStyle="1" w:styleId="ListLabel71">
    <w:name w:val="ListLabel 71"/>
    <w:qFormat/>
    <w:rPr>
      <w:rFonts w:ascii="Times New Roman" w:hAnsi="Times New Roman" w:cs="Symbol"/>
    </w:rPr>
  </w:style>
  <w:style w:type="character" w:customStyle="1" w:styleId="ListLabel72">
    <w:name w:val="ListLabel 72"/>
    <w:qFormat/>
    <w:rPr>
      <w:rFonts w:cs="Courier New"/>
    </w:rPr>
  </w:style>
  <w:style w:type="character" w:customStyle="1" w:styleId="ListLabel73">
    <w:name w:val="ListLabel 73"/>
    <w:qFormat/>
    <w:rPr>
      <w:rFonts w:cs="Wingdings"/>
    </w:rPr>
  </w:style>
  <w:style w:type="character" w:customStyle="1" w:styleId="ListLabel74">
    <w:name w:val="ListLabel 74"/>
    <w:qFormat/>
    <w:rPr>
      <w:rFonts w:cs="Symbol"/>
    </w:rPr>
  </w:style>
  <w:style w:type="character" w:customStyle="1" w:styleId="ListLabel75">
    <w:name w:val="ListLabel 75"/>
    <w:qFormat/>
    <w:rPr>
      <w:rFonts w:cs="Courier New"/>
    </w:rPr>
  </w:style>
  <w:style w:type="character" w:customStyle="1" w:styleId="ListLabel76">
    <w:name w:val="ListLabel 76"/>
    <w:qFormat/>
    <w:rPr>
      <w:rFonts w:cs="Wingdings"/>
    </w:rPr>
  </w:style>
  <w:style w:type="character" w:customStyle="1" w:styleId="ListLabel77">
    <w:name w:val="ListLabel 77"/>
    <w:qFormat/>
    <w:rPr>
      <w:rFonts w:cs="Symbol"/>
    </w:rPr>
  </w:style>
  <w:style w:type="character" w:customStyle="1" w:styleId="ListLabel78">
    <w:name w:val="ListLabel 78"/>
    <w:qFormat/>
    <w:rPr>
      <w:rFonts w:cs="Courier New"/>
    </w:rPr>
  </w:style>
  <w:style w:type="character" w:customStyle="1" w:styleId="ListLabel79">
    <w:name w:val="ListLabel 79"/>
    <w:qFormat/>
    <w:rPr>
      <w:rFonts w:cs="Wingdings"/>
    </w:rPr>
  </w:style>
  <w:style w:type="character" w:customStyle="1" w:styleId="ListLabel80">
    <w:name w:val="ListLabel 80"/>
    <w:qFormat/>
    <w:rPr>
      <w:rFonts w:ascii="Times New Roman" w:hAnsi="Times New Roman" w:cs="Symbol"/>
    </w:rPr>
  </w:style>
  <w:style w:type="character" w:customStyle="1" w:styleId="ListLabel81">
    <w:name w:val="ListLabel 81"/>
    <w:qFormat/>
    <w:rPr>
      <w:rFonts w:cs="Courier New"/>
    </w:rPr>
  </w:style>
  <w:style w:type="character" w:customStyle="1" w:styleId="ListLabel82">
    <w:name w:val="ListLabel 82"/>
    <w:qFormat/>
    <w:rPr>
      <w:rFonts w:cs="Wingdings"/>
    </w:rPr>
  </w:style>
  <w:style w:type="character" w:customStyle="1" w:styleId="ListLabel83">
    <w:name w:val="ListLabel 83"/>
    <w:qFormat/>
    <w:rPr>
      <w:rFonts w:cs="Symbol"/>
    </w:rPr>
  </w:style>
  <w:style w:type="character" w:customStyle="1" w:styleId="ListLabel84">
    <w:name w:val="ListLabel 84"/>
    <w:qFormat/>
    <w:rPr>
      <w:rFonts w:cs="Courier New"/>
    </w:rPr>
  </w:style>
  <w:style w:type="character" w:customStyle="1" w:styleId="ListLabel85">
    <w:name w:val="ListLabel 85"/>
    <w:qFormat/>
    <w:rPr>
      <w:rFonts w:cs="Wingdings"/>
    </w:rPr>
  </w:style>
  <w:style w:type="character" w:customStyle="1" w:styleId="ListLabel86">
    <w:name w:val="ListLabel 86"/>
    <w:qFormat/>
    <w:rPr>
      <w:rFonts w:cs="Symbol"/>
    </w:rPr>
  </w:style>
  <w:style w:type="character" w:customStyle="1" w:styleId="ListLabel87">
    <w:name w:val="ListLabel 87"/>
    <w:qFormat/>
    <w:rPr>
      <w:rFonts w:cs="Courier New"/>
    </w:rPr>
  </w:style>
  <w:style w:type="character" w:customStyle="1" w:styleId="ListLabel88">
    <w:name w:val="ListLabel 88"/>
    <w:qFormat/>
    <w:rPr>
      <w:rFonts w:cs="Wingdings"/>
    </w:rPr>
  </w:style>
  <w:style w:type="character" w:customStyle="1" w:styleId="ListLabel89">
    <w:name w:val="ListLabel 89"/>
    <w:qFormat/>
    <w:rPr>
      <w:rFonts w:ascii="Times New Roman" w:hAnsi="Times New Roman" w:cs="Symbol"/>
    </w:rPr>
  </w:style>
  <w:style w:type="character" w:customStyle="1" w:styleId="ListLabel90">
    <w:name w:val="ListLabel 90"/>
    <w:qFormat/>
    <w:rPr>
      <w:rFonts w:cs="Courier New"/>
    </w:rPr>
  </w:style>
  <w:style w:type="character" w:customStyle="1" w:styleId="ListLabel91">
    <w:name w:val="ListLabel 91"/>
    <w:qFormat/>
    <w:rPr>
      <w:rFonts w:cs="Wingdings"/>
    </w:rPr>
  </w:style>
  <w:style w:type="character" w:customStyle="1" w:styleId="ListLabel92">
    <w:name w:val="ListLabel 92"/>
    <w:qFormat/>
    <w:rPr>
      <w:rFonts w:cs="Symbol"/>
    </w:rPr>
  </w:style>
  <w:style w:type="character" w:customStyle="1" w:styleId="ListLabel93">
    <w:name w:val="ListLabel 93"/>
    <w:qFormat/>
    <w:rPr>
      <w:rFonts w:cs="Courier New"/>
    </w:rPr>
  </w:style>
  <w:style w:type="character" w:customStyle="1" w:styleId="ListLabel94">
    <w:name w:val="ListLabel 94"/>
    <w:qFormat/>
    <w:rPr>
      <w:rFonts w:cs="Wingdings"/>
    </w:rPr>
  </w:style>
  <w:style w:type="character" w:customStyle="1" w:styleId="ListLabel95">
    <w:name w:val="ListLabel 95"/>
    <w:qFormat/>
    <w:rPr>
      <w:rFonts w:cs="Symbol"/>
    </w:rPr>
  </w:style>
  <w:style w:type="character" w:customStyle="1" w:styleId="ListLabel96">
    <w:name w:val="ListLabel 96"/>
    <w:qFormat/>
    <w:rPr>
      <w:rFonts w:cs="Courier New"/>
    </w:rPr>
  </w:style>
  <w:style w:type="character" w:customStyle="1" w:styleId="ListLabel97">
    <w:name w:val="ListLabel 97"/>
    <w:qFormat/>
    <w:rPr>
      <w:rFonts w:cs="Wingdings"/>
    </w:rPr>
  </w:style>
  <w:style w:type="character" w:customStyle="1" w:styleId="ListLabel98">
    <w:name w:val="ListLabel 98"/>
    <w:qFormat/>
    <w:rPr>
      <w:rFonts w:ascii="Times New Roman" w:hAnsi="Times New Roman" w:cs="Symbol"/>
    </w:rPr>
  </w:style>
  <w:style w:type="character" w:customStyle="1" w:styleId="ListLabel99">
    <w:name w:val="ListLabel 99"/>
    <w:qFormat/>
    <w:rPr>
      <w:rFonts w:cs="Courier New"/>
    </w:rPr>
  </w:style>
  <w:style w:type="character" w:customStyle="1" w:styleId="ListLabel100">
    <w:name w:val="ListLabel 100"/>
    <w:qFormat/>
    <w:rPr>
      <w:rFonts w:cs="Wingdings"/>
    </w:rPr>
  </w:style>
  <w:style w:type="character" w:customStyle="1" w:styleId="ListLabel101">
    <w:name w:val="ListLabel 101"/>
    <w:qFormat/>
    <w:rPr>
      <w:rFonts w:cs="Symbol"/>
    </w:rPr>
  </w:style>
  <w:style w:type="character" w:customStyle="1" w:styleId="ListLabel102">
    <w:name w:val="ListLabel 102"/>
    <w:qFormat/>
    <w:rPr>
      <w:rFonts w:cs="Courier New"/>
    </w:rPr>
  </w:style>
  <w:style w:type="character" w:customStyle="1" w:styleId="ListLabel103">
    <w:name w:val="ListLabel 103"/>
    <w:qFormat/>
    <w:rPr>
      <w:rFonts w:cs="Wingdings"/>
    </w:rPr>
  </w:style>
  <w:style w:type="character" w:customStyle="1" w:styleId="ListLabel104">
    <w:name w:val="ListLabel 104"/>
    <w:qFormat/>
    <w:rPr>
      <w:rFonts w:cs="Symbol"/>
    </w:rPr>
  </w:style>
  <w:style w:type="character" w:customStyle="1" w:styleId="ListLabel105">
    <w:name w:val="ListLabel 105"/>
    <w:qFormat/>
    <w:rPr>
      <w:rFonts w:cs="Courier New"/>
    </w:rPr>
  </w:style>
  <w:style w:type="character" w:customStyle="1" w:styleId="ListLabel106">
    <w:name w:val="ListLabel 106"/>
    <w:qFormat/>
    <w:rPr>
      <w:rFonts w:cs="Wingdings"/>
    </w:rPr>
  </w:style>
  <w:style w:type="character" w:customStyle="1" w:styleId="ListLabel107">
    <w:name w:val="ListLabel 107"/>
    <w:qFormat/>
    <w:rPr>
      <w:rFonts w:ascii="Times New Roman" w:hAnsi="Times New Roman" w:cs="Symbol"/>
    </w:rPr>
  </w:style>
  <w:style w:type="character" w:customStyle="1" w:styleId="ListLabel108">
    <w:name w:val="ListLabel 108"/>
    <w:qFormat/>
    <w:rPr>
      <w:rFonts w:cs="Courier New"/>
    </w:rPr>
  </w:style>
  <w:style w:type="character" w:customStyle="1" w:styleId="ListLabel109">
    <w:name w:val="ListLabel 109"/>
    <w:qFormat/>
    <w:rPr>
      <w:rFonts w:cs="Wingdings"/>
    </w:rPr>
  </w:style>
  <w:style w:type="character" w:customStyle="1" w:styleId="ListLabel110">
    <w:name w:val="ListLabel 110"/>
    <w:qFormat/>
    <w:rPr>
      <w:rFonts w:cs="Symbol"/>
    </w:rPr>
  </w:style>
  <w:style w:type="character" w:customStyle="1" w:styleId="ListLabel111">
    <w:name w:val="ListLabel 111"/>
    <w:qFormat/>
    <w:rPr>
      <w:rFonts w:cs="Courier New"/>
    </w:rPr>
  </w:style>
  <w:style w:type="character" w:customStyle="1" w:styleId="ListLabel112">
    <w:name w:val="ListLabel 112"/>
    <w:qFormat/>
    <w:rPr>
      <w:rFonts w:cs="Wingdings"/>
    </w:rPr>
  </w:style>
  <w:style w:type="character" w:customStyle="1" w:styleId="ListLabel113">
    <w:name w:val="ListLabel 113"/>
    <w:qFormat/>
    <w:rPr>
      <w:rFonts w:cs="Symbol"/>
    </w:rPr>
  </w:style>
  <w:style w:type="character" w:customStyle="1" w:styleId="ListLabel114">
    <w:name w:val="ListLabel 114"/>
    <w:qFormat/>
    <w:rPr>
      <w:rFonts w:cs="Courier New"/>
    </w:rPr>
  </w:style>
  <w:style w:type="character" w:customStyle="1" w:styleId="ListLabel115">
    <w:name w:val="ListLabel 115"/>
    <w:qFormat/>
    <w:rPr>
      <w:rFonts w:cs="Wingdings"/>
    </w:rPr>
  </w:style>
  <w:style w:type="character" w:customStyle="1" w:styleId="TematkomentarzaZnak">
    <w:name w:val="Temat komentarza Znak"/>
    <w:basedOn w:val="TekstkomentarzaZnak1"/>
    <w:link w:val="Tematkomentarza"/>
    <w:uiPriority w:val="99"/>
    <w:semiHidden/>
    <w:qFormat/>
    <w:rsid w:val="00CD6BB9"/>
    <w:rPr>
      <w:rFonts w:ascii="Times New Roman" w:eastAsia="SimSun" w:hAnsi="Times New Roman" w:cs="Mangal"/>
      <w:b/>
      <w:bCs/>
      <w:color w:val="00000A"/>
      <w:sz w:val="20"/>
      <w:szCs w:val="18"/>
      <w:lang w:eastAsia="zh-CN" w:bidi="hi-IN"/>
    </w:rPr>
  </w:style>
  <w:style w:type="character" w:customStyle="1" w:styleId="ListLabel116">
    <w:name w:val="ListLabel 116"/>
    <w:qFormat/>
    <w:rPr>
      <w:sz w:val="22"/>
      <w:szCs w:val="20"/>
      <w:highlight w:val="white"/>
    </w:rPr>
  </w:style>
  <w:style w:type="character" w:customStyle="1" w:styleId="ListLabel117">
    <w:name w:val="ListLabel 117"/>
    <w:qFormat/>
    <w:rPr>
      <w:b/>
      <w:sz w:val="22"/>
      <w:highlight w:val="white"/>
    </w:rPr>
  </w:style>
  <w:style w:type="character" w:customStyle="1" w:styleId="ListLabel118">
    <w:name w:val="ListLabel 118"/>
    <w:qFormat/>
    <w:rPr>
      <w:rFonts w:eastAsia="Calibri"/>
      <w:b/>
      <w:sz w:val="20"/>
      <w:szCs w:val="20"/>
      <w:highlight w:val="white"/>
    </w:rPr>
  </w:style>
  <w:style w:type="character" w:customStyle="1" w:styleId="ListLabel119">
    <w:name w:val="ListLabel 119"/>
    <w:qFormat/>
    <w:rPr>
      <w:rFonts w:ascii="Times New Roman" w:hAnsi="Times New Roman" w:cs="Symbol"/>
      <w:sz w:val="22"/>
      <w:szCs w:val="20"/>
      <w:highlight w:val="white"/>
    </w:rPr>
  </w:style>
  <w:style w:type="character" w:customStyle="1" w:styleId="ListLabel120">
    <w:name w:val="ListLabel 120"/>
    <w:qFormat/>
    <w:rPr>
      <w:rFonts w:cs="Courier New"/>
    </w:rPr>
  </w:style>
  <w:style w:type="character" w:customStyle="1" w:styleId="ListLabel121">
    <w:name w:val="ListLabel 121"/>
    <w:qFormat/>
    <w:rPr>
      <w:rFonts w:cs="Wingdings"/>
    </w:rPr>
  </w:style>
  <w:style w:type="character" w:customStyle="1" w:styleId="ListLabel122">
    <w:name w:val="ListLabel 122"/>
    <w:qFormat/>
    <w:rPr>
      <w:rFonts w:ascii="Times New Roman" w:hAnsi="Times New Roman" w:cs="Symbol"/>
    </w:rPr>
  </w:style>
  <w:style w:type="character" w:customStyle="1" w:styleId="ListLabel123">
    <w:name w:val="ListLabel 123"/>
    <w:qFormat/>
    <w:rPr>
      <w:rFonts w:cs="Courier New"/>
    </w:rPr>
  </w:style>
  <w:style w:type="character" w:customStyle="1" w:styleId="ListLabel124">
    <w:name w:val="ListLabel 124"/>
    <w:qFormat/>
    <w:rPr>
      <w:rFonts w:cs="Wingdings"/>
    </w:rPr>
  </w:style>
  <w:style w:type="character" w:customStyle="1" w:styleId="ListLabel125">
    <w:name w:val="ListLabel 125"/>
    <w:qFormat/>
    <w:rPr>
      <w:rFonts w:cs="Symbol"/>
    </w:rPr>
  </w:style>
  <w:style w:type="character" w:customStyle="1" w:styleId="ListLabel126">
    <w:name w:val="ListLabel 126"/>
    <w:qFormat/>
    <w:rPr>
      <w:rFonts w:cs="Courier New"/>
    </w:rPr>
  </w:style>
  <w:style w:type="character" w:customStyle="1" w:styleId="ListLabel127">
    <w:name w:val="ListLabel 127"/>
    <w:qFormat/>
    <w:rPr>
      <w:rFonts w:cs="Wingdings"/>
    </w:rPr>
  </w:style>
  <w:style w:type="character" w:customStyle="1" w:styleId="ListLabel128">
    <w:name w:val="ListLabel 128"/>
    <w:qFormat/>
    <w:rPr>
      <w:rFonts w:cs="Symbol"/>
    </w:rPr>
  </w:style>
  <w:style w:type="character" w:customStyle="1" w:styleId="ListLabel129">
    <w:name w:val="ListLabel 129"/>
    <w:qFormat/>
    <w:rPr>
      <w:rFonts w:cs="Courier New"/>
    </w:rPr>
  </w:style>
  <w:style w:type="character" w:customStyle="1" w:styleId="ListLabel130">
    <w:name w:val="ListLabel 130"/>
    <w:qFormat/>
    <w:rPr>
      <w:rFonts w:cs="Wingdings"/>
    </w:rPr>
  </w:style>
  <w:style w:type="character" w:customStyle="1" w:styleId="ListLabel131">
    <w:name w:val="ListLabel 131"/>
    <w:qFormat/>
    <w:rPr>
      <w:rFonts w:ascii="Times New Roman" w:hAnsi="Times New Roman" w:cs="Symbol"/>
    </w:rPr>
  </w:style>
  <w:style w:type="character" w:customStyle="1" w:styleId="ListLabel132">
    <w:name w:val="ListLabel 132"/>
    <w:qFormat/>
    <w:rPr>
      <w:rFonts w:cs="Courier New"/>
    </w:rPr>
  </w:style>
  <w:style w:type="character" w:customStyle="1" w:styleId="ListLabel133">
    <w:name w:val="ListLabel 133"/>
    <w:qFormat/>
    <w:rPr>
      <w:rFonts w:cs="Wingdings"/>
    </w:rPr>
  </w:style>
  <w:style w:type="character" w:customStyle="1" w:styleId="ListLabel134">
    <w:name w:val="ListLabel 134"/>
    <w:qFormat/>
    <w:rPr>
      <w:rFonts w:cs="Symbol"/>
    </w:rPr>
  </w:style>
  <w:style w:type="character" w:customStyle="1" w:styleId="ListLabel135">
    <w:name w:val="ListLabel 135"/>
    <w:qFormat/>
    <w:rPr>
      <w:rFonts w:cs="Courier New"/>
    </w:rPr>
  </w:style>
  <w:style w:type="character" w:customStyle="1" w:styleId="ListLabel136">
    <w:name w:val="ListLabel 136"/>
    <w:qFormat/>
    <w:rPr>
      <w:rFonts w:cs="Wingdings"/>
    </w:rPr>
  </w:style>
  <w:style w:type="character" w:customStyle="1" w:styleId="ListLabel137">
    <w:name w:val="ListLabel 137"/>
    <w:qFormat/>
    <w:rPr>
      <w:rFonts w:cs="Symbol"/>
    </w:rPr>
  </w:style>
  <w:style w:type="character" w:customStyle="1" w:styleId="ListLabel138">
    <w:name w:val="ListLabel 138"/>
    <w:qFormat/>
    <w:rPr>
      <w:rFonts w:cs="Courier New"/>
    </w:rPr>
  </w:style>
  <w:style w:type="character" w:customStyle="1" w:styleId="ListLabel139">
    <w:name w:val="ListLabel 139"/>
    <w:qFormat/>
    <w:rPr>
      <w:rFonts w:cs="Wingdings"/>
    </w:rPr>
  </w:style>
  <w:style w:type="character" w:customStyle="1" w:styleId="ListLabel140">
    <w:name w:val="ListLabel 140"/>
    <w:qFormat/>
    <w:rPr>
      <w:rFonts w:ascii="Times New Roman" w:hAnsi="Times New Roman" w:cs="Symbol"/>
    </w:rPr>
  </w:style>
  <w:style w:type="character" w:customStyle="1" w:styleId="ListLabel141">
    <w:name w:val="ListLabel 141"/>
    <w:qFormat/>
    <w:rPr>
      <w:rFonts w:cs="Courier New"/>
    </w:rPr>
  </w:style>
  <w:style w:type="character" w:customStyle="1" w:styleId="ListLabel142">
    <w:name w:val="ListLabel 142"/>
    <w:qFormat/>
    <w:rPr>
      <w:rFonts w:cs="Wingdings"/>
    </w:rPr>
  </w:style>
  <w:style w:type="character" w:customStyle="1" w:styleId="ListLabel143">
    <w:name w:val="ListLabel 143"/>
    <w:qFormat/>
    <w:rPr>
      <w:rFonts w:cs="Symbol"/>
    </w:rPr>
  </w:style>
  <w:style w:type="character" w:customStyle="1" w:styleId="ListLabel144">
    <w:name w:val="ListLabel 144"/>
    <w:qFormat/>
    <w:rPr>
      <w:rFonts w:cs="Courier New"/>
    </w:rPr>
  </w:style>
  <w:style w:type="character" w:customStyle="1" w:styleId="ListLabel145">
    <w:name w:val="ListLabel 145"/>
    <w:qFormat/>
    <w:rPr>
      <w:rFonts w:cs="Wingdings"/>
    </w:rPr>
  </w:style>
  <w:style w:type="character" w:customStyle="1" w:styleId="ListLabel146">
    <w:name w:val="ListLabel 146"/>
    <w:qFormat/>
    <w:rPr>
      <w:rFonts w:cs="Symbol"/>
    </w:rPr>
  </w:style>
  <w:style w:type="character" w:customStyle="1" w:styleId="ListLabel147">
    <w:name w:val="ListLabel 147"/>
    <w:qFormat/>
    <w:rPr>
      <w:rFonts w:cs="Courier New"/>
    </w:rPr>
  </w:style>
  <w:style w:type="character" w:customStyle="1" w:styleId="ListLabel148">
    <w:name w:val="ListLabel 148"/>
    <w:qFormat/>
    <w:rPr>
      <w:rFonts w:cs="Wingdings"/>
    </w:rPr>
  </w:style>
  <w:style w:type="character" w:customStyle="1" w:styleId="ListLabel149">
    <w:name w:val="ListLabel 149"/>
    <w:qFormat/>
    <w:rPr>
      <w:rFonts w:ascii="Times New Roman" w:hAnsi="Times New Roman" w:cs="Symbol"/>
    </w:rPr>
  </w:style>
  <w:style w:type="character" w:customStyle="1" w:styleId="ListLabel150">
    <w:name w:val="ListLabel 150"/>
    <w:qFormat/>
    <w:rPr>
      <w:rFonts w:cs="Courier New"/>
    </w:rPr>
  </w:style>
  <w:style w:type="character" w:customStyle="1" w:styleId="ListLabel151">
    <w:name w:val="ListLabel 151"/>
    <w:qFormat/>
    <w:rPr>
      <w:rFonts w:cs="Wingdings"/>
    </w:rPr>
  </w:style>
  <w:style w:type="character" w:customStyle="1" w:styleId="ListLabel152">
    <w:name w:val="ListLabel 152"/>
    <w:qFormat/>
    <w:rPr>
      <w:rFonts w:cs="Symbol"/>
    </w:rPr>
  </w:style>
  <w:style w:type="character" w:customStyle="1" w:styleId="ListLabel153">
    <w:name w:val="ListLabel 153"/>
    <w:qFormat/>
    <w:rPr>
      <w:rFonts w:cs="Courier New"/>
    </w:rPr>
  </w:style>
  <w:style w:type="character" w:customStyle="1" w:styleId="ListLabel154">
    <w:name w:val="ListLabel 154"/>
    <w:qFormat/>
    <w:rPr>
      <w:rFonts w:cs="Wingdings"/>
    </w:rPr>
  </w:style>
  <w:style w:type="character" w:customStyle="1" w:styleId="ListLabel155">
    <w:name w:val="ListLabel 155"/>
    <w:qFormat/>
    <w:rPr>
      <w:rFonts w:cs="Symbol"/>
    </w:rPr>
  </w:style>
  <w:style w:type="character" w:customStyle="1" w:styleId="ListLabel156">
    <w:name w:val="ListLabel 156"/>
    <w:qFormat/>
    <w:rPr>
      <w:rFonts w:cs="Courier New"/>
    </w:rPr>
  </w:style>
  <w:style w:type="character" w:customStyle="1" w:styleId="ListLabel157">
    <w:name w:val="ListLabel 157"/>
    <w:qFormat/>
    <w:rPr>
      <w:rFonts w:cs="Wingdings"/>
    </w:rPr>
  </w:style>
  <w:style w:type="character" w:customStyle="1" w:styleId="ListLabel158">
    <w:name w:val="ListLabel 158"/>
    <w:qFormat/>
    <w:rPr>
      <w:rFonts w:ascii="Times New Roman" w:hAnsi="Times New Roman" w:cs="Symbol"/>
    </w:rPr>
  </w:style>
  <w:style w:type="character" w:customStyle="1" w:styleId="ListLabel159">
    <w:name w:val="ListLabel 159"/>
    <w:qFormat/>
    <w:rPr>
      <w:rFonts w:cs="Courier New"/>
    </w:rPr>
  </w:style>
  <w:style w:type="character" w:customStyle="1" w:styleId="ListLabel160">
    <w:name w:val="ListLabel 160"/>
    <w:qFormat/>
    <w:rPr>
      <w:rFonts w:cs="Wingdings"/>
    </w:rPr>
  </w:style>
  <w:style w:type="character" w:customStyle="1" w:styleId="ListLabel161">
    <w:name w:val="ListLabel 161"/>
    <w:qFormat/>
    <w:rPr>
      <w:rFonts w:cs="Symbol"/>
    </w:rPr>
  </w:style>
  <w:style w:type="character" w:customStyle="1" w:styleId="ListLabel162">
    <w:name w:val="ListLabel 162"/>
    <w:qFormat/>
    <w:rPr>
      <w:rFonts w:cs="Courier New"/>
    </w:rPr>
  </w:style>
  <w:style w:type="character" w:customStyle="1" w:styleId="ListLabel163">
    <w:name w:val="ListLabel 163"/>
    <w:qFormat/>
    <w:rPr>
      <w:rFonts w:cs="Wingdings"/>
    </w:rPr>
  </w:style>
  <w:style w:type="character" w:customStyle="1" w:styleId="ListLabel164">
    <w:name w:val="ListLabel 164"/>
    <w:qFormat/>
    <w:rPr>
      <w:rFonts w:cs="Symbol"/>
    </w:rPr>
  </w:style>
  <w:style w:type="character" w:customStyle="1" w:styleId="ListLabel165">
    <w:name w:val="ListLabel 165"/>
    <w:qFormat/>
    <w:rPr>
      <w:rFonts w:cs="Courier New"/>
    </w:rPr>
  </w:style>
  <w:style w:type="character" w:customStyle="1" w:styleId="ListLabel166">
    <w:name w:val="ListLabel 166"/>
    <w:qFormat/>
    <w:rPr>
      <w:rFonts w:cs="Wingdings"/>
    </w:rPr>
  </w:style>
  <w:style w:type="character" w:customStyle="1" w:styleId="ListLabel167">
    <w:name w:val="ListLabel 167"/>
    <w:qFormat/>
    <w:rPr>
      <w:sz w:val="22"/>
      <w:szCs w:val="20"/>
      <w:highlight w:val="white"/>
    </w:rPr>
  </w:style>
  <w:style w:type="character" w:customStyle="1" w:styleId="ListLabel168">
    <w:name w:val="ListLabel 168"/>
    <w:qFormat/>
    <w:rPr>
      <w:b/>
      <w:sz w:val="22"/>
      <w:highlight w:val="white"/>
    </w:rPr>
  </w:style>
  <w:style w:type="character" w:customStyle="1" w:styleId="ListLabel169">
    <w:name w:val="ListLabel 169"/>
    <w:qFormat/>
    <w:rPr>
      <w:rFonts w:eastAsia="Calibri"/>
      <w:b/>
      <w:sz w:val="20"/>
      <w:szCs w:val="20"/>
      <w:highlight w:val="white"/>
    </w:rPr>
  </w:style>
  <w:style w:type="character" w:customStyle="1" w:styleId="ListLabel170">
    <w:name w:val="ListLabel 170"/>
    <w:qFormat/>
    <w:rPr>
      <w:rFonts w:ascii="Times New Roman" w:hAnsi="Times New Roman" w:cs="Symbol"/>
      <w:sz w:val="22"/>
      <w:szCs w:val="20"/>
      <w:highlight w:val="white"/>
    </w:rPr>
  </w:style>
  <w:style w:type="character" w:customStyle="1" w:styleId="ListLabel171">
    <w:name w:val="ListLabel 171"/>
    <w:qFormat/>
    <w:rPr>
      <w:rFonts w:cs="Courier New"/>
    </w:rPr>
  </w:style>
  <w:style w:type="character" w:customStyle="1" w:styleId="ListLabel172">
    <w:name w:val="ListLabel 172"/>
    <w:qFormat/>
    <w:rPr>
      <w:rFonts w:cs="Wingdings"/>
    </w:rPr>
  </w:style>
  <w:style w:type="character" w:customStyle="1" w:styleId="ListLabel173">
    <w:name w:val="ListLabel 173"/>
    <w:qFormat/>
    <w:rPr>
      <w:rFonts w:ascii="Times New Roman" w:hAnsi="Times New Roman" w:cs="Symbol"/>
    </w:rPr>
  </w:style>
  <w:style w:type="character" w:customStyle="1" w:styleId="ListLabel174">
    <w:name w:val="ListLabel 174"/>
    <w:qFormat/>
    <w:rPr>
      <w:rFonts w:cs="Courier New"/>
    </w:rPr>
  </w:style>
  <w:style w:type="character" w:customStyle="1" w:styleId="ListLabel175">
    <w:name w:val="ListLabel 175"/>
    <w:qFormat/>
    <w:rPr>
      <w:rFonts w:cs="Wingdings"/>
    </w:rPr>
  </w:style>
  <w:style w:type="character" w:customStyle="1" w:styleId="ListLabel176">
    <w:name w:val="ListLabel 176"/>
    <w:qFormat/>
    <w:rPr>
      <w:rFonts w:cs="Symbol"/>
    </w:rPr>
  </w:style>
  <w:style w:type="character" w:customStyle="1" w:styleId="ListLabel177">
    <w:name w:val="ListLabel 177"/>
    <w:qFormat/>
    <w:rPr>
      <w:rFonts w:cs="Courier New"/>
    </w:rPr>
  </w:style>
  <w:style w:type="character" w:customStyle="1" w:styleId="ListLabel178">
    <w:name w:val="ListLabel 178"/>
    <w:qFormat/>
    <w:rPr>
      <w:rFonts w:cs="Wingdings"/>
    </w:rPr>
  </w:style>
  <w:style w:type="character" w:customStyle="1" w:styleId="ListLabel179">
    <w:name w:val="ListLabel 179"/>
    <w:qFormat/>
    <w:rPr>
      <w:rFonts w:cs="Symbol"/>
    </w:rPr>
  </w:style>
  <w:style w:type="character" w:customStyle="1" w:styleId="ListLabel180">
    <w:name w:val="ListLabel 180"/>
    <w:qFormat/>
    <w:rPr>
      <w:rFonts w:cs="Courier New"/>
    </w:rPr>
  </w:style>
  <w:style w:type="character" w:customStyle="1" w:styleId="ListLabel181">
    <w:name w:val="ListLabel 181"/>
    <w:qFormat/>
    <w:rPr>
      <w:rFonts w:cs="Wingdings"/>
    </w:rPr>
  </w:style>
  <w:style w:type="character" w:customStyle="1" w:styleId="ListLabel182">
    <w:name w:val="ListLabel 182"/>
    <w:qFormat/>
    <w:rPr>
      <w:rFonts w:ascii="Times New Roman" w:hAnsi="Times New Roman" w:cs="Symbol"/>
    </w:rPr>
  </w:style>
  <w:style w:type="character" w:customStyle="1" w:styleId="ListLabel183">
    <w:name w:val="ListLabel 183"/>
    <w:qFormat/>
    <w:rPr>
      <w:rFonts w:cs="Courier New"/>
    </w:rPr>
  </w:style>
  <w:style w:type="character" w:customStyle="1" w:styleId="ListLabel184">
    <w:name w:val="ListLabel 184"/>
    <w:qFormat/>
    <w:rPr>
      <w:rFonts w:cs="Wingdings"/>
    </w:rPr>
  </w:style>
  <w:style w:type="character" w:customStyle="1" w:styleId="ListLabel185">
    <w:name w:val="ListLabel 185"/>
    <w:qFormat/>
    <w:rPr>
      <w:rFonts w:cs="Symbol"/>
    </w:rPr>
  </w:style>
  <w:style w:type="character" w:customStyle="1" w:styleId="ListLabel186">
    <w:name w:val="ListLabel 186"/>
    <w:qFormat/>
    <w:rPr>
      <w:rFonts w:cs="Courier New"/>
    </w:rPr>
  </w:style>
  <w:style w:type="character" w:customStyle="1" w:styleId="ListLabel187">
    <w:name w:val="ListLabel 187"/>
    <w:qFormat/>
    <w:rPr>
      <w:rFonts w:cs="Wingdings"/>
    </w:rPr>
  </w:style>
  <w:style w:type="character" w:customStyle="1" w:styleId="ListLabel188">
    <w:name w:val="ListLabel 188"/>
    <w:qFormat/>
    <w:rPr>
      <w:rFonts w:cs="Symbol"/>
    </w:rPr>
  </w:style>
  <w:style w:type="character" w:customStyle="1" w:styleId="ListLabel189">
    <w:name w:val="ListLabel 189"/>
    <w:qFormat/>
    <w:rPr>
      <w:rFonts w:cs="Courier New"/>
    </w:rPr>
  </w:style>
  <w:style w:type="character" w:customStyle="1" w:styleId="ListLabel190">
    <w:name w:val="ListLabel 190"/>
    <w:qFormat/>
    <w:rPr>
      <w:rFonts w:cs="Wingdings"/>
    </w:rPr>
  </w:style>
  <w:style w:type="character" w:customStyle="1" w:styleId="ListLabel191">
    <w:name w:val="ListLabel 191"/>
    <w:qFormat/>
    <w:rPr>
      <w:rFonts w:ascii="Times New Roman" w:hAnsi="Times New Roman" w:cs="Symbol"/>
    </w:rPr>
  </w:style>
  <w:style w:type="character" w:customStyle="1" w:styleId="ListLabel192">
    <w:name w:val="ListLabel 192"/>
    <w:qFormat/>
    <w:rPr>
      <w:rFonts w:cs="Courier New"/>
    </w:rPr>
  </w:style>
  <w:style w:type="character" w:customStyle="1" w:styleId="ListLabel193">
    <w:name w:val="ListLabel 193"/>
    <w:qFormat/>
    <w:rPr>
      <w:rFonts w:cs="Wingdings"/>
    </w:rPr>
  </w:style>
  <w:style w:type="character" w:customStyle="1" w:styleId="ListLabel194">
    <w:name w:val="ListLabel 194"/>
    <w:qFormat/>
    <w:rPr>
      <w:rFonts w:cs="Symbol"/>
    </w:rPr>
  </w:style>
  <w:style w:type="character" w:customStyle="1" w:styleId="ListLabel195">
    <w:name w:val="ListLabel 195"/>
    <w:qFormat/>
    <w:rPr>
      <w:rFonts w:cs="Courier New"/>
    </w:rPr>
  </w:style>
  <w:style w:type="character" w:customStyle="1" w:styleId="ListLabel196">
    <w:name w:val="ListLabel 196"/>
    <w:qFormat/>
    <w:rPr>
      <w:rFonts w:cs="Wingdings"/>
    </w:rPr>
  </w:style>
  <w:style w:type="character" w:customStyle="1" w:styleId="ListLabel197">
    <w:name w:val="ListLabel 197"/>
    <w:qFormat/>
    <w:rPr>
      <w:rFonts w:cs="Symbol"/>
    </w:rPr>
  </w:style>
  <w:style w:type="character" w:customStyle="1" w:styleId="ListLabel198">
    <w:name w:val="ListLabel 198"/>
    <w:qFormat/>
    <w:rPr>
      <w:rFonts w:cs="Courier New"/>
    </w:rPr>
  </w:style>
  <w:style w:type="character" w:customStyle="1" w:styleId="ListLabel199">
    <w:name w:val="ListLabel 199"/>
    <w:qFormat/>
    <w:rPr>
      <w:rFonts w:cs="Wingdings"/>
    </w:rPr>
  </w:style>
  <w:style w:type="character" w:customStyle="1" w:styleId="ListLabel200">
    <w:name w:val="ListLabel 200"/>
    <w:qFormat/>
    <w:rPr>
      <w:rFonts w:ascii="Times New Roman" w:hAnsi="Times New Roman" w:cs="Symbol"/>
    </w:rPr>
  </w:style>
  <w:style w:type="character" w:customStyle="1" w:styleId="ListLabel201">
    <w:name w:val="ListLabel 201"/>
    <w:qFormat/>
    <w:rPr>
      <w:rFonts w:cs="Courier New"/>
    </w:rPr>
  </w:style>
  <w:style w:type="character" w:customStyle="1" w:styleId="ListLabel202">
    <w:name w:val="ListLabel 202"/>
    <w:qFormat/>
    <w:rPr>
      <w:rFonts w:cs="Wingdings"/>
    </w:rPr>
  </w:style>
  <w:style w:type="character" w:customStyle="1" w:styleId="ListLabel203">
    <w:name w:val="ListLabel 203"/>
    <w:qFormat/>
    <w:rPr>
      <w:rFonts w:cs="Symbol"/>
    </w:rPr>
  </w:style>
  <w:style w:type="character" w:customStyle="1" w:styleId="ListLabel204">
    <w:name w:val="ListLabel 204"/>
    <w:qFormat/>
    <w:rPr>
      <w:rFonts w:cs="Courier New"/>
    </w:rPr>
  </w:style>
  <w:style w:type="character" w:customStyle="1" w:styleId="ListLabel205">
    <w:name w:val="ListLabel 205"/>
    <w:qFormat/>
    <w:rPr>
      <w:rFonts w:cs="Wingdings"/>
    </w:rPr>
  </w:style>
  <w:style w:type="character" w:customStyle="1" w:styleId="ListLabel206">
    <w:name w:val="ListLabel 206"/>
    <w:qFormat/>
    <w:rPr>
      <w:rFonts w:cs="Symbol"/>
    </w:rPr>
  </w:style>
  <w:style w:type="character" w:customStyle="1" w:styleId="ListLabel207">
    <w:name w:val="ListLabel 207"/>
    <w:qFormat/>
    <w:rPr>
      <w:rFonts w:cs="Courier New"/>
    </w:rPr>
  </w:style>
  <w:style w:type="character" w:customStyle="1" w:styleId="ListLabel208">
    <w:name w:val="ListLabel 208"/>
    <w:qFormat/>
    <w:rPr>
      <w:rFonts w:cs="Wingdings"/>
    </w:rPr>
  </w:style>
  <w:style w:type="character" w:customStyle="1" w:styleId="ListLabel209">
    <w:name w:val="ListLabel 209"/>
    <w:qFormat/>
    <w:rPr>
      <w:rFonts w:ascii="Times New Roman" w:hAnsi="Times New Roman" w:cs="Symbol"/>
    </w:rPr>
  </w:style>
  <w:style w:type="character" w:customStyle="1" w:styleId="ListLabel210">
    <w:name w:val="ListLabel 210"/>
    <w:qFormat/>
    <w:rPr>
      <w:rFonts w:cs="Courier New"/>
    </w:rPr>
  </w:style>
  <w:style w:type="character" w:customStyle="1" w:styleId="ListLabel211">
    <w:name w:val="ListLabel 211"/>
    <w:qFormat/>
    <w:rPr>
      <w:rFonts w:cs="Wingdings"/>
    </w:rPr>
  </w:style>
  <w:style w:type="character" w:customStyle="1" w:styleId="ListLabel212">
    <w:name w:val="ListLabel 212"/>
    <w:qFormat/>
    <w:rPr>
      <w:rFonts w:cs="Symbol"/>
    </w:rPr>
  </w:style>
  <w:style w:type="character" w:customStyle="1" w:styleId="ListLabel213">
    <w:name w:val="ListLabel 213"/>
    <w:qFormat/>
    <w:rPr>
      <w:rFonts w:cs="Courier New"/>
    </w:rPr>
  </w:style>
  <w:style w:type="character" w:customStyle="1" w:styleId="ListLabel214">
    <w:name w:val="ListLabel 214"/>
    <w:qFormat/>
    <w:rPr>
      <w:rFonts w:cs="Wingdings"/>
    </w:rPr>
  </w:style>
  <w:style w:type="character" w:customStyle="1" w:styleId="ListLabel215">
    <w:name w:val="ListLabel 215"/>
    <w:qFormat/>
    <w:rPr>
      <w:rFonts w:cs="Symbol"/>
    </w:rPr>
  </w:style>
  <w:style w:type="character" w:customStyle="1" w:styleId="ListLabel216">
    <w:name w:val="ListLabel 216"/>
    <w:qFormat/>
    <w:rPr>
      <w:rFonts w:cs="Courier New"/>
    </w:rPr>
  </w:style>
  <w:style w:type="character" w:customStyle="1" w:styleId="ListLabel217">
    <w:name w:val="ListLabel 217"/>
    <w:qFormat/>
    <w:rPr>
      <w:rFonts w:cs="Wingdings"/>
    </w:rPr>
  </w:style>
  <w:style w:type="character" w:customStyle="1" w:styleId="ListLabel218">
    <w:name w:val="ListLabel 218"/>
    <w:qFormat/>
    <w:rPr>
      <w:sz w:val="22"/>
      <w:szCs w:val="20"/>
      <w:highlight w:val="white"/>
    </w:rPr>
  </w:style>
  <w:style w:type="character" w:customStyle="1" w:styleId="ListLabel219">
    <w:name w:val="ListLabel 219"/>
    <w:qFormat/>
    <w:rPr>
      <w:b/>
      <w:sz w:val="22"/>
      <w:highlight w:val="white"/>
    </w:rPr>
  </w:style>
  <w:style w:type="character" w:customStyle="1" w:styleId="ListLabel220">
    <w:name w:val="ListLabel 220"/>
    <w:qFormat/>
    <w:rPr>
      <w:rFonts w:eastAsia="Calibri"/>
      <w:b/>
      <w:sz w:val="20"/>
      <w:szCs w:val="20"/>
      <w:highlight w:val="white"/>
    </w:rPr>
  </w:style>
  <w:style w:type="character" w:customStyle="1" w:styleId="ListLabel221">
    <w:name w:val="ListLabel 221"/>
    <w:qFormat/>
    <w:rPr>
      <w:rFonts w:ascii="Times New Roman" w:hAnsi="Times New Roman" w:cs="Symbol"/>
      <w:sz w:val="22"/>
      <w:szCs w:val="20"/>
      <w:highlight w:val="white"/>
    </w:rPr>
  </w:style>
  <w:style w:type="character" w:customStyle="1" w:styleId="ListLabel222">
    <w:name w:val="ListLabel 222"/>
    <w:qFormat/>
    <w:rPr>
      <w:rFonts w:cs="Courier New"/>
    </w:rPr>
  </w:style>
  <w:style w:type="character" w:customStyle="1" w:styleId="ListLabel223">
    <w:name w:val="ListLabel 223"/>
    <w:qFormat/>
    <w:rPr>
      <w:rFonts w:cs="Wingdings"/>
    </w:rPr>
  </w:style>
  <w:style w:type="character" w:customStyle="1" w:styleId="ListLabel224">
    <w:name w:val="ListLabel 224"/>
    <w:qFormat/>
    <w:rPr>
      <w:rFonts w:ascii="Times New Roman" w:hAnsi="Times New Roman" w:cs="Symbol"/>
    </w:rPr>
  </w:style>
  <w:style w:type="character" w:customStyle="1" w:styleId="ListLabel225">
    <w:name w:val="ListLabel 225"/>
    <w:qFormat/>
    <w:rPr>
      <w:rFonts w:cs="Courier New"/>
    </w:rPr>
  </w:style>
  <w:style w:type="character" w:customStyle="1" w:styleId="ListLabel226">
    <w:name w:val="ListLabel 226"/>
    <w:qFormat/>
    <w:rPr>
      <w:rFonts w:cs="Wingdings"/>
    </w:rPr>
  </w:style>
  <w:style w:type="character" w:customStyle="1" w:styleId="ListLabel227">
    <w:name w:val="ListLabel 227"/>
    <w:qFormat/>
    <w:rPr>
      <w:rFonts w:cs="Symbol"/>
    </w:rPr>
  </w:style>
  <w:style w:type="character" w:customStyle="1" w:styleId="ListLabel228">
    <w:name w:val="ListLabel 228"/>
    <w:qFormat/>
    <w:rPr>
      <w:rFonts w:cs="Courier New"/>
    </w:rPr>
  </w:style>
  <w:style w:type="character" w:customStyle="1" w:styleId="ListLabel229">
    <w:name w:val="ListLabel 229"/>
    <w:qFormat/>
    <w:rPr>
      <w:rFonts w:cs="Wingdings"/>
    </w:rPr>
  </w:style>
  <w:style w:type="character" w:customStyle="1" w:styleId="ListLabel230">
    <w:name w:val="ListLabel 230"/>
    <w:qFormat/>
    <w:rPr>
      <w:rFonts w:cs="Symbol"/>
    </w:rPr>
  </w:style>
  <w:style w:type="character" w:customStyle="1" w:styleId="ListLabel231">
    <w:name w:val="ListLabel 231"/>
    <w:qFormat/>
    <w:rPr>
      <w:rFonts w:cs="Courier New"/>
    </w:rPr>
  </w:style>
  <w:style w:type="character" w:customStyle="1" w:styleId="ListLabel232">
    <w:name w:val="ListLabel 232"/>
    <w:qFormat/>
    <w:rPr>
      <w:rFonts w:cs="Wingdings"/>
    </w:rPr>
  </w:style>
  <w:style w:type="character" w:customStyle="1" w:styleId="ListLabel233">
    <w:name w:val="ListLabel 233"/>
    <w:qFormat/>
    <w:rPr>
      <w:rFonts w:ascii="Times New Roman" w:hAnsi="Times New Roman" w:cs="Symbol"/>
    </w:rPr>
  </w:style>
  <w:style w:type="character" w:customStyle="1" w:styleId="ListLabel234">
    <w:name w:val="ListLabel 234"/>
    <w:qFormat/>
    <w:rPr>
      <w:rFonts w:cs="Courier New"/>
    </w:rPr>
  </w:style>
  <w:style w:type="character" w:customStyle="1" w:styleId="ListLabel235">
    <w:name w:val="ListLabel 235"/>
    <w:qFormat/>
    <w:rPr>
      <w:rFonts w:cs="Wingdings"/>
    </w:rPr>
  </w:style>
  <w:style w:type="character" w:customStyle="1" w:styleId="ListLabel236">
    <w:name w:val="ListLabel 236"/>
    <w:qFormat/>
    <w:rPr>
      <w:rFonts w:cs="Symbol"/>
    </w:rPr>
  </w:style>
  <w:style w:type="character" w:customStyle="1" w:styleId="ListLabel237">
    <w:name w:val="ListLabel 237"/>
    <w:qFormat/>
    <w:rPr>
      <w:rFonts w:cs="Courier New"/>
    </w:rPr>
  </w:style>
  <w:style w:type="character" w:customStyle="1" w:styleId="ListLabel238">
    <w:name w:val="ListLabel 238"/>
    <w:qFormat/>
    <w:rPr>
      <w:rFonts w:cs="Wingdings"/>
    </w:rPr>
  </w:style>
  <w:style w:type="character" w:customStyle="1" w:styleId="ListLabel239">
    <w:name w:val="ListLabel 239"/>
    <w:qFormat/>
    <w:rPr>
      <w:rFonts w:cs="Symbol"/>
    </w:rPr>
  </w:style>
  <w:style w:type="character" w:customStyle="1" w:styleId="ListLabel240">
    <w:name w:val="ListLabel 240"/>
    <w:qFormat/>
    <w:rPr>
      <w:rFonts w:cs="Courier New"/>
    </w:rPr>
  </w:style>
  <w:style w:type="character" w:customStyle="1" w:styleId="ListLabel241">
    <w:name w:val="ListLabel 241"/>
    <w:qFormat/>
    <w:rPr>
      <w:rFonts w:cs="Wingdings"/>
    </w:rPr>
  </w:style>
  <w:style w:type="character" w:customStyle="1" w:styleId="ListLabel242">
    <w:name w:val="ListLabel 242"/>
    <w:qFormat/>
    <w:rPr>
      <w:rFonts w:ascii="Times New Roman" w:hAnsi="Times New Roman" w:cs="Symbol"/>
    </w:rPr>
  </w:style>
  <w:style w:type="character" w:customStyle="1" w:styleId="ListLabel243">
    <w:name w:val="ListLabel 243"/>
    <w:qFormat/>
    <w:rPr>
      <w:rFonts w:cs="Courier New"/>
    </w:rPr>
  </w:style>
  <w:style w:type="character" w:customStyle="1" w:styleId="ListLabel244">
    <w:name w:val="ListLabel 244"/>
    <w:qFormat/>
    <w:rPr>
      <w:rFonts w:cs="Wingdings"/>
    </w:rPr>
  </w:style>
  <w:style w:type="character" w:customStyle="1" w:styleId="ListLabel245">
    <w:name w:val="ListLabel 245"/>
    <w:qFormat/>
    <w:rPr>
      <w:rFonts w:cs="Symbol"/>
    </w:rPr>
  </w:style>
  <w:style w:type="character" w:customStyle="1" w:styleId="ListLabel246">
    <w:name w:val="ListLabel 246"/>
    <w:qFormat/>
    <w:rPr>
      <w:rFonts w:cs="Courier New"/>
    </w:rPr>
  </w:style>
  <w:style w:type="character" w:customStyle="1" w:styleId="ListLabel247">
    <w:name w:val="ListLabel 247"/>
    <w:qFormat/>
    <w:rPr>
      <w:rFonts w:cs="Wingdings"/>
    </w:rPr>
  </w:style>
  <w:style w:type="character" w:customStyle="1" w:styleId="ListLabel248">
    <w:name w:val="ListLabel 248"/>
    <w:qFormat/>
    <w:rPr>
      <w:rFonts w:cs="Symbol"/>
    </w:rPr>
  </w:style>
  <w:style w:type="character" w:customStyle="1" w:styleId="ListLabel249">
    <w:name w:val="ListLabel 249"/>
    <w:qFormat/>
    <w:rPr>
      <w:rFonts w:cs="Courier New"/>
    </w:rPr>
  </w:style>
  <w:style w:type="character" w:customStyle="1" w:styleId="ListLabel250">
    <w:name w:val="ListLabel 250"/>
    <w:qFormat/>
    <w:rPr>
      <w:rFonts w:cs="Wingdings"/>
    </w:rPr>
  </w:style>
  <w:style w:type="character" w:customStyle="1" w:styleId="ListLabel251">
    <w:name w:val="ListLabel 251"/>
    <w:qFormat/>
    <w:rPr>
      <w:rFonts w:ascii="Times New Roman" w:hAnsi="Times New Roman" w:cs="Symbol"/>
    </w:rPr>
  </w:style>
  <w:style w:type="character" w:customStyle="1" w:styleId="ListLabel252">
    <w:name w:val="ListLabel 252"/>
    <w:qFormat/>
    <w:rPr>
      <w:rFonts w:cs="Courier New"/>
    </w:rPr>
  </w:style>
  <w:style w:type="character" w:customStyle="1" w:styleId="ListLabel253">
    <w:name w:val="ListLabel 253"/>
    <w:qFormat/>
    <w:rPr>
      <w:rFonts w:cs="Wingdings"/>
    </w:rPr>
  </w:style>
  <w:style w:type="character" w:customStyle="1" w:styleId="ListLabel254">
    <w:name w:val="ListLabel 254"/>
    <w:qFormat/>
    <w:rPr>
      <w:rFonts w:cs="Symbol"/>
    </w:rPr>
  </w:style>
  <w:style w:type="character" w:customStyle="1" w:styleId="ListLabel255">
    <w:name w:val="ListLabel 255"/>
    <w:qFormat/>
    <w:rPr>
      <w:rFonts w:cs="Courier New"/>
    </w:rPr>
  </w:style>
  <w:style w:type="character" w:customStyle="1" w:styleId="ListLabel256">
    <w:name w:val="ListLabel 256"/>
    <w:qFormat/>
    <w:rPr>
      <w:rFonts w:cs="Wingdings"/>
    </w:rPr>
  </w:style>
  <w:style w:type="character" w:customStyle="1" w:styleId="ListLabel257">
    <w:name w:val="ListLabel 257"/>
    <w:qFormat/>
    <w:rPr>
      <w:rFonts w:cs="Symbol"/>
    </w:rPr>
  </w:style>
  <w:style w:type="character" w:customStyle="1" w:styleId="ListLabel258">
    <w:name w:val="ListLabel 258"/>
    <w:qFormat/>
    <w:rPr>
      <w:rFonts w:cs="Courier New"/>
    </w:rPr>
  </w:style>
  <w:style w:type="character" w:customStyle="1" w:styleId="ListLabel259">
    <w:name w:val="ListLabel 259"/>
    <w:qFormat/>
    <w:rPr>
      <w:rFonts w:cs="Wingdings"/>
    </w:rPr>
  </w:style>
  <w:style w:type="character" w:customStyle="1" w:styleId="ListLabel260">
    <w:name w:val="ListLabel 260"/>
    <w:qFormat/>
    <w:rPr>
      <w:rFonts w:ascii="Times New Roman" w:hAnsi="Times New Roman" w:cs="Symbol"/>
    </w:rPr>
  </w:style>
  <w:style w:type="character" w:customStyle="1" w:styleId="ListLabel261">
    <w:name w:val="ListLabel 261"/>
    <w:qFormat/>
    <w:rPr>
      <w:rFonts w:cs="Courier New"/>
    </w:rPr>
  </w:style>
  <w:style w:type="character" w:customStyle="1" w:styleId="ListLabel262">
    <w:name w:val="ListLabel 262"/>
    <w:qFormat/>
    <w:rPr>
      <w:rFonts w:cs="Wingdings"/>
    </w:rPr>
  </w:style>
  <w:style w:type="character" w:customStyle="1" w:styleId="ListLabel263">
    <w:name w:val="ListLabel 263"/>
    <w:qFormat/>
    <w:rPr>
      <w:rFonts w:cs="Symbol"/>
    </w:rPr>
  </w:style>
  <w:style w:type="character" w:customStyle="1" w:styleId="ListLabel264">
    <w:name w:val="ListLabel 264"/>
    <w:qFormat/>
    <w:rPr>
      <w:rFonts w:cs="Courier New"/>
    </w:rPr>
  </w:style>
  <w:style w:type="character" w:customStyle="1" w:styleId="ListLabel265">
    <w:name w:val="ListLabel 265"/>
    <w:qFormat/>
    <w:rPr>
      <w:rFonts w:cs="Wingdings"/>
    </w:rPr>
  </w:style>
  <w:style w:type="character" w:customStyle="1" w:styleId="ListLabel266">
    <w:name w:val="ListLabel 266"/>
    <w:qFormat/>
    <w:rPr>
      <w:rFonts w:cs="Symbol"/>
    </w:rPr>
  </w:style>
  <w:style w:type="character" w:customStyle="1" w:styleId="ListLabel267">
    <w:name w:val="ListLabel 267"/>
    <w:qFormat/>
    <w:rPr>
      <w:rFonts w:cs="Courier New"/>
    </w:rPr>
  </w:style>
  <w:style w:type="character" w:customStyle="1" w:styleId="ListLabel268">
    <w:name w:val="ListLabel 268"/>
    <w:qFormat/>
    <w:rPr>
      <w:rFonts w:cs="Wingdings"/>
    </w:rPr>
  </w:style>
  <w:style w:type="character" w:customStyle="1" w:styleId="ListLabel269">
    <w:name w:val="ListLabel 269"/>
    <w:qFormat/>
    <w:rPr>
      <w:sz w:val="22"/>
      <w:szCs w:val="20"/>
      <w:highlight w:val="white"/>
    </w:rPr>
  </w:style>
  <w:style w:type="character" w:customStyle="1" w:styleId="ListLabel270">
    <w:name w:val="ListLabel 270"/>
    <w:qFormat/>
    <w:rPr>
      <w:b/>
      <w:sz w:val="22"/>
      <w:highlight w:val="white"/>
    </w:rPr>
  </w:style>
  <w:style w:type="character" w:customStyle="1" w:styleId="ListLabel271">
    <w:name w:val="ListLabel 271"/>
    <w:qFormat/>
    <w:rPr>
      <w:rFonts w:eastAsia="Calibri"/>
      <w:b/>
      <w:sz w:val="20"/>
      <w:szCs w:val="20"/>
      <w:highlight w:val="white"/>
    </w:rPr>
  </w:style>
  <w:style w:type="character" w:customStyle="1" w:styleId="ListLabel272">
    <w:name w:val="ListLabel 272"/>
    <w:qFormat/>
    <w:rPr>
      <w:rFonts w:ascii="Times New Roman" w:hAnsi="Times New Roman" w:cs="Symbol"/>
      <w:sz w:val="22"/>
      <w:szCs w:val="20"/>
      <w:highlight w:val="white"/>
    </w:rPr>
  </w:style>
  <w:style w:type="character" w:customStyle="1" w:styleId="ListLabel273">
    <w:name w:val="ListLabel 273"/>
    <w:qFormat/>
    <w:rPr>
      <w:rFonts w:cs="Courier New"/>
    </w:rPr>
  </w:style>
  <w:style w:type="character" w:customStyle="1" w:styleId="ListLabel274">
    <w:name w:val="ListLabel 274"/>
    <w:qFormat/>
    <w:rPr>
      <w:rFonts w:cs="Wingdings"/>
    </w:rPr>
  </w:style>
  <w:style w:type="character" w:customStyle="1" w:styleId="ListLabel275">
    <w:name w:val="ListLabel 275"/>
    <w:qFormat/>
    <w:rPr>
      <w:rFonts w:ascii="Times New Roman" w:hAnsi="Times New Roman" w:cs="Symbol"/>
    </w:rPr>
  </w:style>
  <w:style w:type="character" w:customStyle="1" w:styleId="ListLabel276">
    <w:name w:val="ListLabel 276"/>
    <w:qFormat/>
    <w:rPr>
      <w:rFonts w:cs="Courier New"/>
    </w:rPr>
  </w:style>
  <w:style w:type="character" w:customStyle="1" w:styleId="ListLabel277">
    <w:name w:val="ListLabel 277"/>
    <w:qFormat/>
    <w:rPr>
      <w:rFonts w:cs="Wingdings"/>
    </w:rPr>
  </w:style>
  <w:style w:type="character" w:customStyle="1" w:styleId="ListLabel278">
    <w:name w:val="ListLabel 278"/>
    <w:qFormat/>
    <w:rPr>
      <w:rFonts w:cs="Symbol"/>
    </w:rPr>
  </w:style>
  <w:style w:type="character" w:customStyle="1" w:styleId="ListLabel279">
    <w:name w:val="ListLabel 279"/>
    <w:qFormat/>
    <w:rPr>
      <w:rFonts w:cs="Courier New"/>
    </w:rPr>
  </w:style>
  <w:style w:type="character" w:customStyle="1" w:styleId="ListLabel280">
    <w:name w:val="ListLabel 280"/>
    <w:qFormat/>
    <w:rPr>
      <w:rFonts w:cs="Wingdings"/>
    </w:rPr>
  </w:style>
  <w:style w:type="character" w:customStyle="1" w:styleId="ListLabel281">
    <w:name w:val="ListLabel 281"/>
    <w:qFormat/>
    <w:rPr>
      <w:rFonts w:cs="Symbol"/>
    </w:rPr>
  </w:style>
  <w:style w:type="character" w:customStyle="1" w:styleId="ListLabel282">
    <w:name w:val="ListLabel 282"/>
    <w:qFormat/>
    <w:rPr>
      <w:rFonts w:cs="Courier New"/>
    </w:rPr>
  </w:style>
  <w:style w:type="character" w:customStyle="1" w:styleId="ListLabel283">
    <w:name w:val="ListLabel 283"/>
    <w:qFormat/>
    <w:rPr>
      <w:rFonts w:cs="Wingdings"/>
    </w:rPr>
  </w:style>
  <w:style w:type="character" w:customStyle="1" w:styleId="ListLabel284">
    <w:name w:val="ListLabel 284"/>
    <w:qFormat/>
    <w:rPr>
      <w:rFonts w:ascii="Times New Roman" w:hAnsi="Times New Roman" w:cs="Symbol"/>
    </w:rPr>
  </w:style>
  <w:style w:type="character" w:customStyle="1" w:styleId="ListLabel285">
    <w:name w:val="ListLabel 285"/>
    <w:qFormat/>
    <w:rPr>
      <w:rFonts w:cs="Courier New"/>
    </w:rPr>
  </w:style>
  <w:style w:type="character" w:customStyle="1" w:styleId="ListLabel286">
    <w:name w:val="ListLabel 286"/>
    <w:qFormat/>
    <w:rPr>
      <w:rFonts w:cs="Wingdings"/>
    </w:rPr>
  </w:style>
  <w:style w:type="character" w:customStyle="1" w:styleId="ListLabel287">
    <w:name w:val="ListLabel 287"/>
    <w:qFormat/>
    <w:rPr>
      <w:rFonts w:cs="Symbol"/>
    </w:rPr>
  </w:style>
  <w:style w:type="character" w:customStyle="1" w:styleId="ListLabel288">
    <w:name w:val="ListLabel 288"/>
    <w:qFormat/>
    <w:rPr>
      <w:rFonts w:cs="Courier New"/>
    </w:rPr>
  </w:style>
  <w:style w:type="character" w:customStyle="1" w:styleId="ListLabel289">
    <w:name w:val="ListLabel 289"/>
    <w:qFormat/>
    <w:rPr>
      <w:rFonts w:cs="Wingdings"/>
    </w:rPr>
  </w:style>
  <w:style w:type="character" w:customStyle="1" w:styleId="ListLabel290">
    <w:name w:val="ListLabel 290"/>
    <w:qFormat/>
    <w:rPr>
      <w:rFonts w:cs="Symbol"/>
    </w:rPr>
  </w:style>
  <w:style w:type="character" w:customStyle="1" w:styleId="ListLabel291">
    <w:name w:val="ListLabel 291"/>
    <w:qFormat/>
    <w:rPr>
      <w:rFonts w:cs="Courier New"/>
    </w:rPr>
  </w:style>
  <w:style w:type="character" w:customStyle="1" w:styleId="ListLabel292">
    <w:name w:val="ListLabel 292"/>
    <w:qFormat/>
    <w:rPr>
      <w:rFonts w:cs="Wingdings"/>
    </w:rPr>
  </w:style>
  <w:style w:type="character" w:customStyle="1" w:styleId="ListLabel293">
    <w:name w:val="ListLabel 293"/>
    <w:qFormat/>
    <w:rPr>
      <w:rFonts w:ascii="Times New Roman" w:hAnsi="Times New Roman" w:cs="Symbol"/>
    </w:rPr>
  </w:style>
  <w:style w:type="character" w:customStyle="1" w:styleId="ListLabel294">
    <w:name w:val="ListLabel 294"/>
    <w:qFormat/>
    <w:rPr>
      <w:rFonts w:cs="Courier New"/>
    </w:rPr>
  </w:style>
  <w:style w:type="character" w:customStyle="1" w:styleId="ListLabel295">
    <w:name w:val="ListLabel 295"/>
    <w:qFormat/>
    <w:rPr>
      <w:rFonts w:cs="Wingdings"/>
    </w:rPr>
  </w:style>
  <w:style w:type="character" w:customStyle="1" w:styleId="ListLabel296">
    <w:name w:val="ListLabel 296"/>
    <w:qFormat/>
    <w:rPr>
      <w:rFonts w:cs="Symbol"/>
    </w:rPr>
  </w:style>
  <w:style w:type="character" w:customStyle="1" w:styleId="ListLabel297">
    <w:name w:val="ListLabel 297"/>
    <w:qFormat/>
    <w:rPr>
      <w:rFonts w:cs="Courier New"/>
    </w:rPr>
  </w:style>
  <w:style w:type="character" w:customStyle="1" w:styleId="ListLabel298">
    <w:name w:val="ListLabel 298"/>
    <w:qFormat/>
    <w:rPr>
      <w:rFonts w:cs="Wingdings"/>
    </w:rPr>
  </w:style>
  <w:style w:type="character" w:customStyle="1" w:styleId="ListLabel299">
    <w:name w:val="ListLabel 299"/>
    <w:qFormat/>
    <w:rPr>
      <w:rFonts w:cs="Symbol"/>
    </w:rPr>
  </w:style>
  <w:style w:type="character" w:customStyle="1" w:styleId="ListLabel300">
    <w:name w:val="ListLabel 300"/>
    <w:qFormat/>
    <w:rPr>
      <w:rFonts w:cs="Courier New"/>
    </w:rPr>
  </w:style>
  <w:style w:type="character" w:customStyle="1" w:styleId="ListLabel301">
    <w:name w:val="ListLabel 301"/>
    <w:qFormat/>
    <w:rPr>
      <w:rFonts w:cs="Wingdings"/>
    </w:rPr>
  </w:style>
  <w:style w:type="character" w:customStyle="1" w:styleId="ListLabel302">
    <w:name w:val="ListLabel 302"/>
    <w:qFormat/>
    <w:rPr>
      <w:rFonts w:ascii="Times New Roman" w:hAnsi="Times New Roman" w:cs="Symbol"/>
    </w:rPr>
  </w:style>
  <w:style w:type="character" w:customStyle="1" w:styleId="ListLabel303">
    <w:name w:val="ListLabel 303"/>
    <w:qFormat/>
    <w:rPr>
      <w:rFonts w:cs="Courier New"/>
    </w:rPr>
  </w:style>
  <w:style w:type="character" w:customStyle="1" w:styleId="ListLabel304">
    <w:name w:val="ListLabel 304"/>
    <w:qFormat/>
    <w:rPr>
      <w:rFonts w:cs="Wingdings"/>
    </w:rPr>
  </w:style>
  <w:style w:type="character" w:customStyle="1" w:styleId="ListLabel305">
    <w:name w:val="ListLabel 305"/>
    <w:qFormat/>
    <w:rPr>
      <w:rFonts w:cs="Symbol"/>
    </w:rPr>
  </w:style>
  <w:style w:type="character" w:customStyle="1" w:styleId="ListLabel306">
    <w:name w:val="ListLabel 306"/>
    <w:qFormat/>
    <w:rPr>
      <w:rFonts w:cs="Courier New"/>
    </w:rPr>
  </w:style>
  <w:style w:type="character" w:customStyle="1" w:styleId="ListLabel307">
    <w:name w:val="ListLabel 307"/>
    <w:qFormat/>
    <w:rPr>
      <w:rFonts w:cs="Wingdings"/>
    </w:rPr>
  </w:style>
  <w:style w:type="character" w:customStyle="1" w:styleId="ListLabel308">
    <w:name w:val="ListLabel 308"/>
    <w:qFormat/>
    <w:rPr>
      <w:rFonts w:cs="Symbol"/>
    </w:rPr>
  </w:style>
  <w:style w:type="character" w:customStyle="1" w:styleId="ListLabel309">
    <w:name w:val="ListLabel 309"/>
    <w:qFormat/>
    <w:rPr>
      <w:rFonts w:cs="Courier New"/>
    </w:rPr>
  </w:style>
  <w:style w:type="character" w:customStyle="1" w:styleId="ListLabel310">
    <w:name w:val="ListLabel 310"/>
    <w:qFormat/>
    <w:rPr>
      <w:rFonts w:cs="Wingdings"/>
    </w:rPr>
  </w:style>
  <w:style w:type="character" w:customStyle="1" w:styleId="ListLabel311">
    <w:name w:val="ListLabel 311"/>
    <w:qFormat/>
    <w:rPr>
      <w:rFonts w:ascii="Times New Roman" w:hAnsi="Times New Roman" w:cs="Symbol"/>
    </w:rPr>
  </w:style>
  <w:style w:type="character" w:customStyle="1" w:styleId="ListLabel312">
    <w:name w:val="ListLabel 312"/>
    <w:qFormat/>
    <w:rPr>
      <w:rFonts w:cs="Courier New"/>
    </w:rPr>
  </w:style>
  <w:style w:type="character" w:customStyle="1" w:styleId="ListLabel313">
    <w:name w:val="ListLabel 313"/>
    <w:qFormat/>
    <w:rPr>
      <w:rFonts w:cs="Wingdings"/>
    </w:rPr>
  </w:style>
  <w:style w:type="character" w:customStyle="1" w:styleId="ListLabel314">
    <w:name w:val="ListLabel 314"/>
    <w:qFormat/>
    <w:rPr>
      <w:rFonts w:cs="Symbol"/>
    </w:rPr>
  </w:style>
  <w:style w:type="character" w:customStyle="1" w:styleId="ListLabel315">
    <w:name w:val="ListLabel 315"/>
    <w:qFormat/>
    <w:rPr>
      <w:rFonts w:cs="Courier New"/>
    </w:rPr>
  </w:style>
  <w:style w:type="character" w:customStyle="1" w:styleId="ListLabel316">
    <w:name w:val="ListLabel 316"/>
    <w:qFormat/>
    <w:rPr>
      <w:rFonts w:cs="Wingdings"/>
    </w:rPr>
  </w:style>
  <w:style w:type="character" w:customStyle="1" w:styleId="ListLabel317">
    <w:name w:val="ListLabel 317"/>
    <w:qFormat/>
    <w:rPr>
      <w:rFonts w:cs="Symbol"/>
    </w:rPr>
  </w:style>
  <w:style w:type="character" w:customStyle="1" w:styleId="ListLabel318">
    <w:name w:val="ListLabel 318"/>
    <w:qFormat/>
    <w:rPr>
      <w:rFonts w:cs="Courier New"/>
    </w:rPr>
  </w:style>
  <w:style w:type="character" w:customStyle="1" w:styleId="ListLabel319">
    <w:name w:val="ListLabel 319"/>
    <w:qFormat/>
    <w:rPr>
      <w:rFonts w:cs="Wingdings"/>
    </w:rPr>
  </w:style>
  <w:style w:type="paragraph" w:styleId="Nagwek">
    <w:name w:val="header"/>
    <w:basedOn w:val="Normalny"/>
    <w:next w:val="Tekstpodstawowy"/>
    <w:qFormat/>
    <w:pPr>
      <w:keepNext/>
      <w:spacing w:before="240" w:after="120"/>
    </w:pPr>
    <w:rPr>
      <w:rFonts w:ascii="Liberation Sans" w:eastAsia="Microsoft YaHei" w:hAnsi="Liberation Sans"/>
      <w:sz w:val="28"/>
      <w:szCs w:val="28"/>
    </w:rPr>
  </w:style>
  <w:style w:type="paragraph" w:styleId="Tekstpodstawowy">
    <w:name w:val="Body Text"/>
    <w:basedOn w:val="Normalny"/>
    <w:link w:val="TekstpodstawowyZnak"/>
    <w:rsid w:val="00BB5B36"/>
    <w:pPr>
      <w:spacing w:after="140" w:line="288" w:lineRule="auto"/>
    </w:pPr>
  </w:style>
  <w:style w:type="paragraph" w:styleId="Lista">
    <w:name w:val="List"/>
    <w:basedOn w:val="Tekstpodstawowy"/>
  </w:style>
  <w:style w:type="paragraph" w:styleId="Legenda">
    <w:name w:val="caption"/>
    <w:basedOn w:val="Normalny"/>
    <w:uiPriority w:val="35"/>
    <w:semiHidden/>
    <w:unhideWhenUsed/>
    <w:qFormat/>
    <w:rsid w:val="000B1007"/>
    <w:pPr>
      <w:suppressAutoHyphens w:val="0"/>
      <w:spacing w:after="200" w:line="240" w:lineRule="auto"/>
    </w:pPr>
    <w:rPr>
      <w:rFonts w:asciiTheme="minorHAnsi" w:eastAsiaTheme="minorHAnsi" w:hAnsiTheme="minorHAnsi" w:cstheme="minorBidi"/>
      <w:i/>
      <w:iCs/>
      <w:color w:val="44546A" w:themeColor="text2"/>
      <w:sz w:val="18"/>
      <w:szCs w:val="18"/>
      <w:lang w:eastAsia="en-US" w:bidi="ar-SA"/>
    </w:rPr>
  </w:style>
  <w:style w:type="paragraph" w:customStyle="1" w:styleId="Indeks">
    <w:name w:val="Indeks"/>
    <w:basedOn w:val="Normalny"/>
    <w:qFormat/>
    <w:pPr>
      <w:suppressLineNumbers/>
    </w:pPr>
  </w:style>
  <w:style w:type="paragraph" w:customStyle="1" w:styleId="Nagwek5">
    <w:name w:val="Nagłówek5"/>
    <w:basedOn w:val="Normalny"/>
    <w:qFormat/>
    <w:rsid w:val="00BB5B36"/>
    <w:pPr>
      <w:keepNext/>
      <w:spacing w:before="240" w:after="120"/>
      <w:jc w:val="center"/>
    </w:pPr>
    <w:rPr>
      <w:rFonts w:ascii="Liberation Sans" w:eastAsia="Microsoft YaHei" w:hAnsi="Liberation Sans" w:cs="Liberation Sans"/>
      <w:b/>
      <w:bCs/>
      <w:sz w:val="56"/>
      <w:szCs w:val="56"/>
    </w:rPr>
  </w:style>
  <w:style w:type="paragraph" w:styleId="Podtytu">
    <w:name w:val="Subtitle"/>
    <w:basedOn w:val="Normalny"/>
    <w:link w:val="PodtytuZnak"/>
    <w:uiPriority w:val="11"/>
    <w:qFormat/>
    <w:rsid w:val="00BB5B36"/>
    <w:pPr>
      <w:spacing w:after="160"/>
    </w:pPr>
    <w:rPr>
      <w:rFonts w:asciiTheme="minorHAnsi" w:eastAsiaTheme="minorEastAsia" w:hAnsiTheme="minorHAnsi" w:cs="Mangal"/>
      <w:color w:val="5A5A5A" w:themeColor="text1" w:themeTint="A5"/>
      <w:spacing w:val="15"/>
      <w:sz w:val="22"/>
      <w:szCs w:val="20"/>
    </w:rPr>
  </w:style>
  <w:style w:type="paragraph" w:customStyle="1" w:styleId="Default">
    <w:name w:val="Default"/>
    <w:qFormat/>
    <w:rsid w:val="00BB5B36"/>
    <w:pPr>
      <w:suppressAutoHyphens/>
      <w:spacing w:line="100" w:lineRule="atLeast"/>
    </w:pPr>
    <w:rPr>
      <w:rFonts w:ascii="Fira Sans;Calibri" w:eastAsia="SimSun;宋体" w:hAnsi="Fira Sans;Calibri" w:cs="Arial"/>
      <w:color w:val="000000"/>
      <w:sz w:val="24"/>
      <w:szCs w:val="24"/>
      <w:lang w:eastAsia="zh-CN" w:bidi="hi-IN"/>
    </w:rPr>
  </w:style>
  <w:style w:type="paragraph" w:styleId="Tekstkomentarza">
    <w:name w:val="annotation text"/>
    <w:basedOn w:val="Normalny"/>
    <w:link w:val="TekstkomentarzaZnak1"/>
    <w:uiPriority w:val="99"/>
    <w:semiHidden/>
    <w:unhideWhenUsed/>
    <w:qFormat/>
    <w:rsid w:val="00BB5B36"/>
    <w:rPr>
      <w:rFonts w:cs="Mangal"/>
      <w:sz w:val="20"/>
      <w:szCs w:val="18"/>
    </w:rPr>
  </w:style>
  <w:style w:type="paragraph" w:styleId="Tekstdymka">
    <w:name w:val="Balloon Text"/>
    <w:basedOn w:val="Normalny"/>
    <w:link w:val="TekstdymkaZnak"/>
    <w:uiPriority w:val="99"/>
    <w:semiHidden/>
    <w:unhideWhenUsed/>
    <w:qFormat/>
    <w:rsid w:val="00BB5B36"/>
    <w:pPr>
      <w:spacing w:line="240" w:lineRule="auto"/>
    </w:pPr>
    <w:rPr>
      <w:rFonts w:ascii="Segoe UI" w:hAnsi="Segoe UI" w:cs="Mangal"/>
      <w:sz w:val="18"/>
      <w:szCs w:val="16"/>
    </w:rPr>
  </w:style>
  <w:style w:type="paragraph" w:customStyle="1" w:styleId="Akapitzlist1">
    <w:name w:val="Akapit z listą1"/>
    <w:basedOn w:val="Normalny"/>
    <w:qFormat/>
    <w:rsid w:val="00BB5B36"/>
    <w:pPr>
      <w:ind w:left="708"/>
    </w:pPr>
    <w:rPr>
      <w:rFonts w:cs="Mangal"/>
      <w:szCs w:val="21"/>
    </w:rPr>
  </w:style>
  <w:style w:type="paragraph" w:styleId="Akapitzlist">
    <w:name w:val="List Paragraph"/>
    <w:basedOn w:val="Normalny"/>
    <w:qFormat/>
    <w:rsid w:val="000B1007"/>
    <w:pPr>
      <w:suppressAutoHyphens w:val="0"/>
      <w:spacing w:after="160" w:line="252" w:lineRule="auto"/>
      <w:ind w:left="720"/>
      <w:contextualSpacing/>
    </w:pPr>
    <w:rPr>
      <w:rFonts w:asciiTheme="minorHAnsi" w:eastAsiaTheme="minorHAnsi" w:hAnsiTheme="minorHAnsi" w:cstheme="minorBidi"/>
      <w:sz w:val="22"/>
      <w:szCs w:val="22"/>
      <w:lang w:eastAsia="en-US" w:bidi="ar-SA"/>
    </w:rPr>
  </w:style>
  <w:style w:type="paragraph" w:styleId="Nagwekspisutreci">
    <w:name w:val="TOC Heading"/>
    <w:basedOn w:val="Nagwek1"/>
    <w:uiPriority w:val="39"/>
    <w:unhideWhenUsed/>
    <w:qFormat/>
    <w:rsid w:val="00372AC7"/>
    <w:pPr>
      <w:keepLines/>
      <w:numPr>
        <w:numId w:val="0"/>
      </w:numPr>
      <w:spacing w:after="0" w:line="259" w:lineRule="auto"/>
    </w:pPr>
    <w:rPr>
      <w:rFonts w:asciiTheme="majorHAnsi" w:eastAsiaTheme="majorEastAsia" w:hAnsiTheme="majorHAnsi" w:cstheme="majorBidi"/>
      <w:b w:val="0"/>
      <w:bCs w:val="0"/>
      <w:color w:val="2E74B5" w:themeColor="accent1" w:themeShade="BF"/>
      <w:sz w:val="32"/>
      <w:szCs w:val="32"/>
      <w:lang w:eastAsia="pl-PL" w:bidi="ar-SA"/>
    </w:rPr>
  </w:style>
  <w:style w:type="paragraph" w:styleId="Spistreci1">
    <w:name w:val="toc 1"/>
    <w:basedOn w:val="Normalny"/>
    <w:autoRedefine/>
    <w:uiPriority w:val="39"/>
    <w:unhideWhenUsed/>
    <w:rsid w:val="00372AC7"/>
    <w:pPr>
      <w:spacing w:after="100"/>
    </w:pPr>
    <w:rPr>
      <w:rFonts w:cs="Mangal"/>
      <w:szCs w:val="21"/>
    </w:rPr>
  </w:style>
  <w:style w:type="paragraph" w:styleId="Spistreci2">
    <w:name w:val="toc 2"/>
    <w:basedOn w:val="Normalny"/>
    <w:autoRedefine/>
    <w:uiPriority w:val="39"/>
    <w:unhideWhenUsed/>
    <w:rsid w:val="00372AC7"/>
    <w:pPr>
      <w:spacing w:after="100"/>
      <w:ind w:left="240"/>
    </w:pPr>
    <w:rPr>
      <w:rFonts w:cs="Mangal"/>
      <w:szCs w:val="21"/>
    </w:rPr>
  </w:style>
  <w:style w:type="paragraph" w:styleId="Spistreci3">
    <w:name w:val="toc 3"/>
    <w:basedOn w:val="Normalny"/>
    <w:autoRedefine/>
    <w:uiPriority w:val="39"/>
    <w:unhideWhenUsed/>
    <w:rsid w:val="00372AC7"/>
    <w:pPr>
      <w:suppressAutoHyphens w:val="0"/>
      <w:spacing w:after="100" w:line="259" w:lineRule="auto"/>
      <w:ind w:left="440"/>
    </w:pPr>
    <w:rPr>
      <w:rFonts w:asciiTheme="minorHAnsi" w:eastAsiaTheme="minorEastAsia" w:hAnsiTheme="minorHAnsi" w:cs="Times New Roman"/>
      <w:sz w:val="22"/>
      <w:szCs w:val="22"/>
      <w:lang w:eastAsia="pl-PL" w:bidi="ar-SA"/>
    </w:rPr>
  </w:style>
  <w:style w:type="paragraph" w:styleId="Tematkomentarza">
    <w:name w:val="annotation subject"/>
    <w:basedOn w:val="Tekstkomentarza"/>
    <w:link w:val="TematkomentarzaZnak"/>
    <w:uiPriority w:val="99"/>
    <w:semiHidden/>
    <w:unhideWhenUsed/>
    <w:qFormat/>
    <w:rsid w:val="00CD6BB9"/>
    <w:pPr>
      <w:spacing w:line="240" w:lineRule="auto"/>
    </w:pPr>
    <w:rPr>
      <w:b/>
      <w:bCs/>
    </w:rPr>
  </w:style>
  <w:style w:type="character" w:styleId="Hipercze">
    <w:name w:val="Hyperlink"/>
    <w:basedOn w:val="Domylnaczcionkaakapitu"/>
    <w:uiPriority w:val="99"/>
    <w:unhideWhenUsed/>
    <w:rsid w:val="00D752E7"/>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yperlink" Target="mailto:pabsalon@poczta.onet.pl" TargetMode="Externa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fontTable" Target="fontTable.xml"/><Relationship Id="rId7" Type="http://schemas.openxmlformats.org/officeDocument/2006/relationships/hyperlink" Target="mailto:jacek.baldy@zmp.poznan.pl" TargetMode="Externa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hyperlink" Target="mailto:k.sankowska@stat.gov.pl" TargetMode="External"/><Relationship Id="rId11" Type="http://schemas.openxmlformats.org/officeDocument/2006/relationships/hyperlink" Target="https://test-aplikacjahub.smup.gov.pl/" TargetMode="External"/><Relationship Id="rId24" Type="http://schemas.openxmlformats.org/officeDocument/2006/relationships/image" Target="media/image14.png"/><Relationship Id="rId32" Type="http://schemas.openxmlformats.org/officeDocument/2006/relationships/image" Target="media/image22.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hyperlink" Target="https://test-aplikacjahub.smup.gov.pl/" TargetMode="Externa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06770C-48FF-4C8B-A690-95E008D871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Pages>
  <Words>13308</Words>
  <Characters>79853</Characters>
  <Application>Microsoft Office Word</Application>
  <DocSecurity>0</DocSecurity>
  <Lines>665</Lines>
  <Paragraphs>185</Paragraphs>
  <ScaleCrop>false</ScaleCrop>
  <HeadingPairs>
    <vt:vector size="2" baseType="variant">
      <vt:variant>
        <vt:lpstr>Tytuł</vt:lpstr>
      </vt:variant>
      <vt:variant>
        <vt:i4>1</vt:i4>
      </vt:variant>
    </vt:vector>
  </HeadingPairs>
  <TitlesOfParts>
    <vt:vector size="1" baseType="lpstr">
      <vt:lpstr/>
    </vt:vector>
  </TitlesOfParts>
  <Company>GUS</Company>
  <LinksUpToDate>false</LinksUpToDate>
  <CharactersWithSpaces>92976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Sankowska Kamila</dc:creator>
  <cp:lastModifiedBy>Idaszak Wioletta</cp:lastModifiedBy>
  <cp:revision>2</cp:revision>
  <dcterms:created xsi:type="dcterms:W3CDTF">2022-03-22T09:22:00Z</dcterms:created>
  <dcterms:modified xsi:type="dcterms:W3CDTF">2022-03-22T09:22:00Z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GUS</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