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62" w:rsidRPr="009C3462" w:rsidRDefault="00155459" w:rsidP="009C3462">
      <w:pPr>
        <w:framePr w:w="4500" w:h="1553" w:hRule="exact" w:hSpace="180" w:wrap="around" w:vAnchor="text" w:hAnchor="page" w:x="1381" w:y="-29"/>
        <w:tabs>
          <w:tab w:val="left" w:pos="6237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C346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9C3462" w:rsidRPr="009C3462" w:rsidRDefault="00155459" w:rsidP="009C346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MAZOWIECKI</w:t>
      </w:r>
    </w:p>
    <w:p w:rsidR="009C3462" w:rsidRPr="009C3462" w:rsidRDefault="00155459" w:rsidP="009C3462">
      <w:pPr>
        <w:framePr w:w="4500" w:h="1553" w:hRule="exact" w:hSpace="180" w:wrap="around" w:vAnchor="text" w:hAnchor="page" w:x="1381" w:y="-2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C3462" w:rsidRPr="009C3462" w:rsidRDefault="00155459" w:rsidP="009C346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9C3462" w:rsidRPr="009C3462" w:rsidRDefault="00155459" w:rsidP="009C346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9C3462" w:rsidRPr="009C3462" w:rsidRDefault="00155459" w:rsidP="009C346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9C3462" w:rsidRPr="009C3462" w:rsidRDefault="00155459" w:rsidP="009C346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Warszawa, </w:t>
      </w:r>
      <w:bookmarkStart w:id="0" w:name="ezdDataPodpisu"/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18 sierpnia 2021 r.</w:t>
      </w:r>
      <w:bookmarkEnd w:id="0"/>
    </w:p>
    <w:p w:rsidR="009C3462" w:rsidRPr="009C3462" w:rsidRDefault="00155459" w:rsidP="009C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r w:rsidRPr="009C3462">
        <w:rPr>
          <w:rFonts w:ascii="Times New Roman" w:eastAsia="Times New Roman" w:hAnsi="Times New Roman" w:cs="Times New Roman"/>
          <w:sz w:val="20"/>
          <w:szCs w:val="20"/>
          <w:lang w:eastAsia="pl-PL"/>
        </w:rPr>
        <w:t>WNP-I.4131.177.2021.ML</w:t>
      </w:r>
    </w:p>
    <w:bookmarkEnd w:id="1"/>
    <w:p w:rsidR="009C3462" w:rsidRPr="009C3462" w:rsidRDefault="00155459" w:rsidP="009C34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C3462" w:rsidRPr="009C3462" w:rsidRDefault="00155459" w:rsidP="009C34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46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Rada Gminy Lesznowola </w:t>
      </w:r>
    </w:p>
    <w:p w:rsidR="009C3462" w:rsidRPr="009C3462" w:rsidRDefault="00155459" w:rsidP="009C34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ul. Gminna 60</w:t>
      </w:r>
    </w:p>
    <w:p w:rsidR="009C3462" w:rsidRPr="009C3462" w:rsidRDefault="00155459" w:rsidP="009C34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34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05-506 Lesznowola</w:t>
      </w:r>
    </w:p>
    <w:p w:rsidR="009C3462" w:rsidRPr="009C3462" w:rsidRDefault="00155459" w:rsidP="009C34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nadzorcze</w:t>
      </w:r>
    </w:p>
    <w:p w:rsidR="009C3462" w:rsidRPr="009C3462" w:rsidRDefault="00155459" w:rsidP="009C34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91 ust. 1, w związku z art. 86 ustawy z dnia 8 marca 1990 r.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samorządzie gminnym (Dz. U. z 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 1372)</w:t>
      </w:r>
    </w:p>
    <w:p w:rsidR="009C3462" w:rsidRPr="009C3462" w:rsidRDefault="00155459" w:rsidP="009C34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stwierdzam nieważność</w:t>
      </w:r>
    </w:p>
    <w:p w:rsidR="009C3462" w:rsidRPr="009C3462" w:rsidRDefault="00155459" w:rsidP="009C34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ust. 9,  § 4 ust. 2 zdanie 1 oraz ust. 3 zdanie 1 oraz ust. 5 pkt 6, pkt 8 w zakresie wyrażenia: 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”palenia tytoniu”,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10 w zakresie obejmującym wyrażenie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„w tym organizowanie zgromadzeń publicznych oraz jakichkolwiek innych manifestacji”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pkt 12 or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§ 5 ust. 1, ust. 2 i ust. 6 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Regulaminu Gminnych Parkingów Płatnych w Gminie Lesznowola Przepisy Ogólne,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Nr 2 do uchwały Nr 469/XLI/2021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22 lipca 2021 r. </w:t>
      </w:r>
      <w:bookmarkStart w:id="2" w:name="_Hlk79148726"/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</w:t>
      </w:r>
      <w:bookmarkEnd w:id="2"/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utworzenia Systemu Parkingów Płatnych zlokalizowanych na te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renach stanowiących własność Gminy Lesznowola niebędących drogami publicznymi oraz ustalenia zasad i sposobu pobierania opłat za korzystanie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tych parkingów.</w:t>
      </w:r>
    </w:p>
    <w:p w:rsidR="009C3462" w:rsidRPr="009C3462" w:rsidRDefault="00155459" w:rsidP="009C34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C3462" w:rsidRPr="009C3462" w:rsidRDefault="00155459" w:rsidP="009C3462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sesji w dniu 22 lipca 2021 r. Rada Gminy Lesznowola podjęła uchwałę Nr 469/XLI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/2021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utworzenia Systemu Parkingów Płatnych zlokalizowanych na terenach stanowiących własność Gminy Lesznowola niebędących drogami publicznymi oraz ustalenia zasad i sposobu pobierania opłat za korzystanie z tych parkingów.</w:t>
      </w:r>
      <w:r w:rsidRPr="009C34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Jako podstawę prawną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uchwały wskazano w niej art. 18 ust. 2 pkt 15 w zw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z art. 40 ust. 2 pkt 4 i art. 42 ustawy o samorządzie gminnym (zwanej dalej: </w:t>
      </w: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„usg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”) oraz art. 4 ust. 1 pkt 2 i ust. 2 ustawy z dnia 20 grudnia 1996 r. o gospodarce komunalnej (Dz.U. z 2021 poz. 679).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>Prz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edmiotową uchwałą Rada Gminy Lesznowola utworzyła System Gminnych Parkingów Płatnych (SGPP), wyznaczając nieruchomości stanowiące własność Gminy Lesznowola, położone poza pasami dróg publicznych, z przeznaczeniem zorganizowania na każdej z nich Gminnego Pa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rkingu Płatnego (GPP), określiła zasady i sposób korzystania z GPP, zwolnienia z opłaty parkingowej za postój na terenie GPP oraz upoważniła Wójta Gminy Lesznowola do ustalenia wysokości opłat parkingowych za korzystanie z GPP.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W Załączniku Nr 2 do uchwały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Nr 469/XLI/2021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zatytułowanym „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Regulamin Gminnych Parkingów Płatnych w Gminie Lesznowola Przepisy Ogólne”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(zwanym dalej: „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Rada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określiła zasady i sposób korzystania z Gminnych Parkingów Płatnych.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W świetle art. 40 ust. 2 pkt 4 us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g 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organy g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miny mogą wydawać akty prawa miejscowego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br/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zakresie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i trybu korzystania z gminnych obiektów i urządzeń użyteczności publicznej. Jak wskazuje orzecznictwo sądów administracyjnych rada gminy przy wydawaniu przepisów na podstawie art. 40 ust. 2 pkt 4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usg, winna ściśle przestrzegać wynikającego z niego zakresu upoważnienia (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vide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: wyrok NSA z 26 maja 1992 r. sygn. SA/Wr 310/92 oraz wyrok NSA  z 9 lutego 2011 r. sygn. II OSK 2385/10).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 ust. 9 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Regulaminu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postanowiła, że 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„Przy korzystaniu z 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GPP wyłącza się stosowanie przepisów art. 674 ustawy z dnia 23 kwietnia 1964 r. Kodeks cywilny (Dz.U. z 2019 r. poz. 1145 ze zm.)”.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Cytowane postanowienie istotnie narusza przepis art. 674</w:t>
      </w:r>
      <w:r w:rsidRPr="00EF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kwietnia 1964 r.  Kodeks cywilny (Dz. U. z 2020 r.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1740, z późn.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dalej: </w:t>
      </w:r>
      <w:r w:rsidRPr="00EF75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„kc”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przepis art. 40 ust. 2 pkt 4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, albowiem przepisy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stawy o samorządzie gminnym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uprawniają organu stanowiącego gminy do przyjmowania regulacji określającej zasady i sposób korzystania z gminnych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obiektów użyteczności publicznej, która „wyłącza” stosowanie innych przepisów (w tym kontekście norm Kodeksu cywilnego).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tym miejscu warto zaznaczyć, że system źródeł prawa powszechnie obowiązującego 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br/>
        <w:t>w Polsce ma budowę hierarchiczną (zasada hierarchiczn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ej budowy systemu źródeł prawa).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„Zasada ta oznacza, że każdemu typowi aktu normatywnego przysługuje określona ranga </w:t>
      </w: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br/>
        <w:t>w stosunku do typów pozostałych, a więc, że można mówić o aktach normatywnych wyższej i niższej rangi. Podstawowymi konsekwencjami tej hie</w:t>
      </w: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rarchizacji są:</w:t>
      </w:r>
    </w:p>
    <w:p w:rsidR="009C3462" w:rsidRPr="009C3462" w:rsidRDefault="00155459" w:rsidP="009C3462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- wymóg zgodności aktów niższego szczebla (rangi) z aktami wyższego szczebla; konsekwencją braku takiej zgodności jest wadliwość aktu niższego, w zasadzie pozwalająca sądom na jego uchylenie lub pominięcie przy orzekaniu; wyjątkowo niezgodn</w:t>
      </w: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ość z aktem wyższego szczebla może powodować nieważność (ex tunc) aktu niższego szczebla;</w:t>
      </w:r>
    </w:p>
    <w:p w:rsidR="009C3462" w:rsidRPr="009C3462" w:rsidRDefault="00155459" w:rsidP="009C3462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lastRenderedPageBreak/>
        <w:t>- wymóg, by uchylenie, zmiana lub zawieszenie aktu danego szczebla mogło dokonać się tylko przez wydanie nowego aktu tego samego szczebla lub – co jest techniką stoso</w:t>
      </w: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waną rzadziej – aktu wyższego szczebla;</w:t>
      </w:r>
    </w:p>
    <w:p w:rsidR="009C3462" w:rsidRPr="009C3462" w:rsidRDefault="00155459" w:rsidP="009C3462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- zakaz normowania pewnych materii przez akty poniżej określonego szczebla, co znajduje wyraz zwłaszcza w koncepcji tzw. wyłączności ustawy (…);</w:t>
      </w:r>
    </w:p>
    <w:p w:rsidR="009C3462" w:rsidRPr="009C3462" w:rsidRDefault="00155459" w:rsidP="009C3462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- zakaz wydawania aktów najniższego szczebla bez uprzednio udzielonego </w:t>
      </w: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upoważnienia w akcie wyższego szczebla – tego typu akty normatywne nazywamy aktami wykonawczymi (…), w odróżnieniu od aktów samoistnych (np. ustawy), które mogą być wydawane na podstawie ogólnej konstytucyjnej kompetencji danego organu do stanowienia prawa</w:t>
      </w: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.”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(L. Garlicki – „</w:t>
      </w:r>
      <w:r w:rsidRPr="009C3462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Polskie prawo konstytucyjne - zarys wykładu”,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wyd. 9, str. 132-133).</w:t>
      </w:r>
    </w:p>
    <w:p w:rsidR="009C3462" w:rsidRPr="009C3462" w:rsidRDefault="00155459" w:rsidP="009C3462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Prymat ustawy nad innymi aktami normatywnymi oznacza m.in. że jej normy nie mogą być uchylone czy zawieszone przez normy niższego rzędu, co w kontekście zakwestionowa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nego postanowienia uchwały oznacza, że na mocy uchwały rady gminy nie można wyłączyć stosowania przepisów o randze ustawowej.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upoważnienia zawartego w art. 40 ust. 2 pkt 4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nie była uprawniona do regulowania kwestii ponoszenia odpowi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edzialności przez użytkownika parkingu, czy też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 naruszającą Regulamin lub właściciela pojazdu za szkody poniesione przez Zarządcę lub osoby trzecie w szczególności za uszkodzenie, zanieczyszczenie obiektu czy zachowanie niezgodne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niniejszym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 oraz do formułowania zasad zwalniania z odpowiedzialności Zarządzającego parkingiem za szkody powstałe w wyniku: siły wyższej, żywiołów, kradzieży (włamania, rozboju itp.), rabunku, zniszczenia lub uszkodzenia pojazdów znajdujących się na teren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ie parkingu, kradzieży bądź zniszczeń rzeczy w nich pozostawionych lub stanowiących ich wyposażenie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 tytułu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wzajemnych szkód komunikacyjnych i parkingowych spowodowanych przez osoby korzystające z parkingu. Postanowienia przepisów § 4  ust. 2 i ust. 3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5 ust. 1, ust. 2 i ust. 6 Regulaminu istotnie naruszają również inne przepisy ustaw, w szczególności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kc.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Zgodnie z art. 415 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9C3462">
        <w:rPr>
          <w:rFonts w:ascii="Times New Roman" w:eastAsia="Calibri" w:hAnsi="Times New Roman" w:cs="Times New Roman"/>
          <w:sz w:val="24"/>
          <w:szCs w:val="24"/>
        </w:rPr>
        <w:t>c, kto z winy swej wyrządził drugiemu szkodę, obowiązany jest do jej naprawienia (odpowiedzialność deliktowa).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Na podstawie art. 422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c, za szkodę odpowiedzialny jest nie tylko ten, kto ją bezpośrednio wyrządził, lecz także ten, kto inną osobę do wyrządzenia szkody nakłonił albo był jej pomocny, </w:t>
      </w:r>
      <w:r w:rsidRPr="009C3462">
        <w:rPr>
          <w:rFonts w:ascii="Times New Roman" w:eastAsia="Calibri" w:hAnsi="Times New Roman" w:cs="Times New Roman"/>
          <w:sz w:val="24"/>
          <w:szCs w:val="24"/>
        </w:rPr>
        <w:br/>
        <w:t>jak również ten, kto świadomie skorzystał z wyrządzonej drugiemu szko</w:t>
      </w:r>
      <w:r w:rsidRPr="009C3462">
        <w:rPr>
          <w:rFonts w:ascii="Times New Roman" w:eastAsia="Calibri" w:hAnsi="Times New Roman" w:cs="Times New Roman"/>
          <w:sz w:val="24"/>
          <w:szCs w:val="24"/>
        </w:rPr>
        <w:t>dy.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>Powstanie odpowiedzialności deliktowej warunkowane jest zaistnieniem m.in. zdarzenia wyrządzającego szkodę. W momencie zaistnienia pozostałych przesłanek odpowiedzialności odszkodowawczej w postaci winy oraz związku przyczynowego pomiędzy zdarzeniem,</w:t>
      </w:r>
      <w:r w:rsidRPr="009C3462">
        <w:rPr>
          <w:rFonts w:ascii="Times New Roman" w:eastAsia="Calibri" w:hAnsi="Times New Roman" w:cs="Times New Roman"/>
          <w:sz w:val="24"/>
          <w:szCs w:val="24"/>
        </w:rPr>
        <w:br/>
      </w:r>
      <w:r w:rsidRPr="009C3462">
        <w:rPr>
          <w:rFonts w:ascii="Times New Roman" w:eastAsia="Calibri" w:hAnsi="Times New Roman" w:cs="Times New Roman"/>
          <w:sz w:val="24"/>
          <w:szCs w:val="24"/>
        </w:rPr>
        <w:lastRenderedPageBreak/>
        <w:t>a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 powstaniem szkody, pomiędzy wyrządzającym szkodę a poszkodowanym powstaje z mocy prawa stosunek zobowiązaniowy polegający na obowiązku naprawienia szkody.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>Regulacje dotyczące odpowiedzialności znajdują się także w przepisach prawa karnego m.in. w art. 288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 § 1 (odpowiedzialność za przestępstwo niszczenia, uszkodzenia lub uczynienia rzeczy niezdatnej do użytku)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462">
        <w:rPr>
          <w:rFonts w:ascii="Times New Roman" w:eastAsia="Calibri" w:hAnsi="Times New Roman" w:cs="Times New Roman"/>
          <w:sz w:val="24"/>
          <w:szCs w:val="24"/>
        </w:rPr>
        <w:t>art. 278 i nast.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(przestępstwo kradzieży) 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ustawy z dnia 6 czerwca 1997 r. </w:t>
      </w:r>
      <w:r>
        <w:rPr>
          <w:rFonts w:ascii="Times New Roman" w:eastAsia="Calibri" w:hAnsi="Times New Roman" w:cs="Times New Roman"/>
          <w:sz w:val="24"/>
          <w:szCs w:val="24"/>
        </w:rPr>
        <w:br/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462">
        <w:rPr>
          <w:rFonts w:ascii="Times New Roman" w:eastAsia="Calibri" w:hAnsi="Times New Roman" w:cs="Times New Roman"/>
          <w:sz w:val="24"/>
          <w:szCs w:val="24"/>
        </w:rPr>
        <w:t>Kodeks karny (Dz.U. z 2020 r. poz. 1444, z późn. zm.)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462">
        <w:rPr>
          <w:rFonts w:ascii="Times New Roman" w:eastAsia="Calibri" w:hAnsi="Times New Roman" w:cs="Times New Roman"/>
          <w:sz w:val="24"/>
          <w:szCs w:val="24"/>
        </w:rPr>
        <w:t>oraz odpowiednich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 przepisach </w:t>
      </w:r>
      <w:r>
        <w:rPr>
          <w:rFonts w:ascii="Times New Roman" w:eastAsia="Calibri" w:hAnsi="Times New Roman" w:cs="Times New Roman"/>
          <w:sz w:val="24"/>
          <w:szCs w:val="24"/>
        </w:rPr>
        <w:t>ustawy z dnia 20 maja 1971 r.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462">
        <w:rPr>
          <w:rFonts w:ascii="Times New Roman" w:eastAsia="Calibri" w:hAnsi="Times New Roman" w:cs="Times New Roman"/>
          <w:sz w:val="24"/>
          <w:szCs w:val="24"/>
        </w:rPr>
        <w:t>Kodeks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462">
        <w:rPr>
          <w:rFonts w:ascii="Times New Roman" w:eastAsia="Calibri" w:hAnsi="Times New Roman" w:cs="Times New Roman"/>
          <w:sz w:val="24"/>
          <w:szCs w:val="24"/>
        </w:rPr>
        <w:t>wykroczeń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(Dz.U. z 2021 r. poz.281, z późn.zm.)</w:t>
      </w:r>
      <w:r w:rsidRPr="009C34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Jak wynika z powyższego, kwestie ponoszenia odpowiedzialności cywilnej lub karnej </w:t>
      </w:r>
      <w:r w:rsidRPr="009C3462">
        <w:rPr>
          <w:rFonts w:ascii="Times New Roman" w:eastAsia="Calibri" w:hAnsi="Times New Roman" w:cs="Times New Roman"/>
          <w:sz w:val="24"/>
          <w:szCs w:val="24"/>
        </w:rPr>
        <w:br/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lub wykroczeniowej za określone czyny jak również ewentualne zwolnienia od jej ponoszenia, </w:t>
      </w:r>
      <w:r w:rsidRPr="009C3462">
        <w:rPr>
          <w:rFonts w:ascii="Times New Roman" w:eastAsia="Calibri" w:hAnsi="Times New Roman" w:cs="Times New Roman"/>
          <w:sz w:val="24"/>
          <w:szCs w:val="24"/>
        </w:rPr>
        <w:br/>
        <w:t xml:space="preserve">czy możliwość jej przypisania podmiotowi trzeciemu, regulowane są przez przepisy ustaw i tylko akty prawne tej rangi mogą przewidywać poniesienie odpowiedzialności </w:t>
      </w:r>
      <w:r w:rsidRPr="009C3462">
        <w:rPr>
          <w:rFonts w:ascii="Times New Roman" w:eastAsia="Calibri" w:hAnsi="Times New Roman" w:cs="Times New Roman"/>
          <w:sz w:val="24"/>
          <w:szCs w:val="24"/>
        </w:rPr>
        <w:t>za dany czyn lub zwolnienie od jej ponoszenia. Rada Gminy, ustanawiając zasady i wyłączenia odpowiedzialności za określone czyny, wkroczyła w materię przeznaczoną do uregulowania przez ustawodawcę, co w świetle powyższych rozważań jest niedopuszczalne.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War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wskazać orzeczenie NSA z 9 lutego 2011 r. sygn. II OSK 2385/10, który w przedmiocie upoważnienia ustawowego wynikającego z </w:t>
      </w:r>
      <w:hyperlink r:id="rId7" w:history="1">
        <w:r w:rsidRPr="009C346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40 ust. 2 pkt 4</w:t>
        </w:r>
      </w:hyperlink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usg wyjaśnił, że: 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„W myśl </w:t>
      </w:r>
      <w:hyperlink r:id="rId8" w:history="1">
        <w:r w:rsidRPr="009C346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94</w:t>
        </w:r>
      </w:hyperlink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Konstytucji RP organy samorządu terytorialnego wydają akty prawa miejscowego obowiązujące na obszarze działania tych org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anów, na podstawie i w granicach upoważnień zawartych w ustawie. Powyższe kompetencje organów samorządu terytorialnego reguluje </w:t>
      </w:r>
      <w:hyperlink r:id="rId9" w:history="1">
        <w:r w:rsidRPr="009C346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40 ust. 1</w:t>
        </w:r>
      </w:hyperlink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awy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samorządzie gminnym. Konstytucyjna zasada praworządności wyrażona w </w:t>
      </w:r>
      <w:hyperlink r:id="rId10" w:history="1">
        <w:r w:rsidRPr="009C346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7</w:t>
        </w:r>
      </w:hyperlink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Konstytucji RP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związku z </w:t>
      </w:r>
      <w:hyperlink r:id="rId11" w:history="1">
        <w:r w:rsidRPr="009C346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94</w:t>
        </w:r>
      </w:hyperlink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Konstytucji RP wymaga, żeby materia regulowana wydanym aktem normatywnym wynikała z upoważnienia ustawowego i nie przekraczała zakresu tego upoważnienia. Każde unormowanie wykraczające poza udzielone upoważnienie jest naruszeniem normy upoważniającej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za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razem naruszeniem konstytucyjnych warunków legalności aktu prawa miejscowego wydanego na podstawie upoważnienia ustawowego. Należy bowiem pamiętać, że zgodnie z </w:t>
      </w:r>
      <w:hyperlink r:id="rId12" w:history="1">
        <w:r w:rsidRPr="009C346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94</w:t>
        </w:r>
      </w:hyperlink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Konstytucji RP regulacje zawarte w akcie prawa miejscowego mają na celu jedynie "uzupełnienie" przepisów powszechnie obowiązujących rangi ustawowej, kształtujących prawa i obowiązki ich adresatów,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są natomiast wydawane w celu wykonania u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stawy tak jak rozporządzenie w rozumieniu </w:t>
      </w:r>
      <w:hyperlink r:id="rId13" w:history="1">
        <w:r w:rsidRPr="009C346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92</w:t>
        </w:r>
      </w:hyperlink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Konstytucji RP. W tym kontekście zwrócić należy uwagę, iż w </w:t>
      </w:r>
      <w:hyperlink r:id="rId14" w:history="1">
        <w:r w:rsidRPr="009C346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40 ust. 2</w:t>
        </w:r>
      </w:hyperlink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o samorządzie gminnym organ uchwałodawczy zyskał uprawnienie do ustanowienia aktu prawa miejscowego regulującego zasady i tryb korzystania z gminnych obiektów i urządzeń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użyteczności publicznej. Ustanowione na tej podstawie normy o charakterze organizacyjnym nie mogą wkraczać w materie 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prawnej odpowiedzialności właściciela, czy zarządcy obiektu regulowaną obowiązującymi na terenie całego kraju przepisami rangi ustawowej.”</w:t>
      </w:r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9C3462" w:rsidRPr="009C3462" w:rsidRDefault="00155459" w:rsidP="009C346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>Za przekroczenie dyspozycji art. 40 ust. 2 pkt 4 usg należy także uznać treść § 4 ust. 5 pkt 10 Regulaminu, w którym Rada Gminy zabroniła pozostawiania w zaparkowanym pojeździe samochodowym wartościowych rzeczy ruchomych. W ocenie organu nadzoru kwestion</w:t>
      </w:r>
      <w:r w:rsidRPr="009C3462">
        <w:rPr>
          <w:rFonts w:ascii="Times New Roman" w:eastAsia="Calibri" w:hAnsi="Times New Roman" w:cs="Times New Roman"/>
          <w:sz w:val="24"/>
          <w:szCs w:val="24"/>
        </w:rPr>
        <w:t>owane postanowienie Regulaminu narusza również w sposób istotny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 wynikającą z art. 64 Konstytucji  zasadę ochrony prawa własności, w ujęciu kategorii prawa podmiotowego oraz ust. 3 powołanego przepisu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Konstytucji</w:t>
      </w:r>
      <w:r w:rsidRPr="009C3462">
        <w:rPr>
          <w:rFonts w:ascii="Times New Roman" w:eastAsia="Calibri" w:hAnsi="Times New Roman" w:cs="Times New Roman"/>
          <w:sz w:val="24"/>
          <w:szCs w:val="24"/>
        </w:rPr>
        <w:t>, w świetle którego własność może być ograni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czona tylko w drodze ustawy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i tylko w zakresie, w jakim nie narusza ona istoty prawa własności. 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Jak wskazuje Trybunał Konstytucyjny w wyroku z dnia 25 maja 1999 r. sygn. SK 9/98: 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>„Prawo własności wynika ze stosunku własności, jaki istnieje między właścic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>ielem a wszystkimi innymi podmiotami. W systemie prawa polskiego najpełniejszą definicję prawa własności zawiera art. 140 kc. Według tego przepisu wyznacznikami granic własności są ustawy i zasady współżycia społecznego, a wyznacznikiem sposobu korzystania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 przez właściciela z przysługującego mu prawa jest społeczno - gospodarcze przeznaczenie tego prawa. O ile ograniczenia ustawowe kształtujące treść prawa własności albo sposób jego wykonywania nie budzą żadnych wątpliwości, o tyle pozostałe wymienione wyzn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aczniki o charakterze ocennym mogą budzić wątpliwości. Ustawowe granice treści i wykonywania własności zostały zakreślone w wielu ustawach szczególnych zawierających przepisy zakazujące właścicielom określonego sposobu wykonywania własności 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br/>
        <w:t>lub nakazujące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 powstrzymanie się od pewnych działań albo zezwalające - pod określonymi warunkami - na całkowite lub częściowe pozbawienie własności.”.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3462">
        <w:rPr>
          <w:rFonts w:ascii="Times New Roman" w:eastAsia="MS Mincho" w:hAnsi="Times New Roman" w:cs="Times New Roman"/>
          <w:sz w:val="24"/>
          <w:szCs w:val="24"/>
        </w:rPr>
        <w:t xml:space="preserve"> Zatem</w:t>
      </w:r>
      <w:r w:rsidRPr="009C3462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9C3462">
        <w:rPr>
          <w:rFonts w:ascii="Times New Roman" w:eastAsia="MS Mincho" w:hAnsi="Times New Roman" w:cs="Times New Roman"/>
          <w:sz w:val="24"/>
          <w:szCs w:val="24"/>
        </w:rPr>
        <w:t xml:space="preserve">określenie przez Radę Gminy w uchwale, czego nie można trzymać w zaparkowanym samochodzie, stanowi rodzaj </w:t>
      </w:r>
      <w:r w:rsidRPr="009C3462">
        <w:rPr>
          <w:rFonts w:ascii="Times New Roman" w:eastAsia="MS Mincho" w:hAnsi="Times New Roman" w:cs="Times New Roman"/>
          <w:sz w:val="24"/>
          <w:szCs w:val="24"/>
        </w:rPr>
        <w:t>ograniczenia w korzystaniu przez użytkownika z pojazdu, a więc  niedozwoloną, w świetle omawianych przepisów, ingerencję w jego prawo.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Postanowienie § 4 ust. 5 pkt 10 Regulaminu w zakresie w jakim określa ono zakaz 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>„organizowania zgromadzeń publicznych ora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>z jakichkolwiek innych manifestacji”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 narusza przepisy ustawy z dnia 24 lipca 2019 r. o zgromadzeniach publicznych (Dz. U. z 2019 r. poz. 631), które kompleksowo regulują (z wyjątkami w niej wskazanymi) kwestię prawa do zgromadzeń publicznych. Korzystanie p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rzez jednostkę z prawa do organizowania pokojowych zgromadzeń i uczestniczenia </w:t>
      </w:r>
      <w:r w:rsidRPr="009C3462">
        <w:rPr>
          <w:rFonts w:ascii="Times New Roman" w:eastAsia="Calibri" w:hAnsi="Times New Roman" w:cs="Times New Roman"/>
          <w:sz w:val="24"/>
          <w:szCs w:val="24"/>
        </w:rPr>
        <w:br/>
        <w:t xml:space="preserve">w nich jest bowiem jej prawem gwarantowanym w Konstytucji (w art. 57). Natomiast zasadą, wynikającą z przepisów ustawy o zgromadzeniach jest zgłoszenie, w sposób i  w terminie 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określonym w ustawie,  przez organizatora zgromadzenia, zamiaru jego zorganizowania do organu gminy albo do centrum zarządzania kryzysowego, a gdy w danej gminie nie zostało ono utworzone </w:t>
      </w:r>
      <w:r w:rsidRPr="009C3462">
        <w:rPr>
          <w:rFonts w:ascii="Times New Roman" w:eastAsia="Calibri" w:hAnsi="Times New Roman" w:cs="Times New Roman"/>
          <w:sz w:val="24"/>
          <w:szCs w:val="24"/>
        </w:rPr>
        <w:br/>
      </w:r>
      <w:r w:rsidRPr="009C3462">
        <w:rPr>
          <w:rFonts w:ascii="Times New Roman" w:eastAsia="Calibri" w:hAnsi="Times New Roman" w:cs="Times New Roman"/>
          <w:sz w:val="24"/>
          <w:szCs w:val="24"/>
        </w:rPr>
        <w:lastRenderedPageBreak/>
        <w:t>do wojewódzkiego centrum zarządzania kryzysowego (postępowanie upro</w:t>
      </w:r>
      <w:r w:rsidRPr="009C3462">
        <w:rPr>
          <w:rFonts w:ascii="Times New Roman" w:eastAsia="Calibri" w:hAnsi="Times New Roman" w:cs="Times New Roman"/>
          <w:sz w:val="24"/>
          <w:szCs w:val="24"/>
        </w:rPr>
        <w:t>szczone). Nadto, rada gminy może określić w swojej uchwale miejsca, w których organizowanie zgromadzenia nie wymaga tegoż zawiadomienia.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>Uwzględniając warunki ustawowe realizacji prawa do zgromadzeń, wolność organizowania zgromadzeń mieści w sobie prawo or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ganizatora do wskazania m.in. miejsca zgromadzenia. </w:t>
      </w:r>
      <w:r w:rsidRPr="009C3462">
        <w:rPr>
          <w:rFonts w:ascii="Times New Roman" w:eastAsia="Calibri" w:hAnsi="Times New Roman" w:cs="Times New Roman"/>
          <w:sz w:val="24"/>
          <w:szCs w:val="24"/>
        </w:rPr>
        <w:br/>
      </w:r>
      <w:r w:rsidRPr="009C3462">
        <w:rPr>
          <w:rFonts w:ascii="Times New Roman" w:eastAsia="Calibri" w:hAnsi="Times New Roman" w:cs="Times New Roman"/>
          <w:bCs/>
          <w:i/>
          <w:sz w:val="24"/>
          <w:szCs w:val="24"/>
        </w:rPr>
        <w:t>„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W literaturze przedmiotu i orzecznictwie wskazuje się, że </w:t>
      </w:r>
      <w:r w:rsidRPr="009C34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elementem wolności zgromadzeń jest wolność ich organizowania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 (zob. wyr. TK z 10.7.2008 r., </w:t>
      </w:r>
      <w:hyperlink r:id="rId15" w:history="1">
        <w:r w:rsidRPr="009C3462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P 15/08</w:t>
        </w:r>
      </w:hyperlink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, OTK-A 2008, Nr 6, poz. 105; wyr. TK z 28.6.2008 r., K 34/99, OTK 2000, Nr 5, poz. 142; </w:t>
      </w:r>
      <w:r w:rsidRPr="009C3462">
        <w:rPr>
          <w:rFonts w:ascii="Times New Roman" w:eastAsia="Calibri" w:hAnsi="Times New Roman" w:cs="Times New Roman"/>
          <w:i/>
          <w:iCs/>
          <w:sz w:val="24"/>
          <w:szCs w:val="24"/>
        </w:rPr>
        <w:t>P. Suski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>, Zgromadzenia..., s. 97–98). Obejmuje ona możliwość swobodnego zwoływania zgromadzeń, w tym w sz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czególności określania ich czasu, miejsca, formy i przebiegu, a także podejmowania wszelkich czynności zmierzających 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do przygotowania takich wydarzeń (zob. </w:t>
      </w:r>
      <w:r w:rsidRPr="009C3462">
        <w:rPr>
          <w:rFonts w:ascii="Times New Roman" w:eastAsia="Calibri" w:hAnsi="Times New Roman" w:cs="Times New Roman"/>
          <w:i/>
          <w:iCs/>
          <w:sz w:val="24"/>
          <w:szCs w:val="24"/>
        </w:rPr>
        <w:t>P. Czarny, B. Naleziński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, Wolność zgromadzeń, Warszawa 1998, s. 18; </w:t>
      </w:r>
      <w:r w:rsidRPr="009C3462">
        <w:rPr>
          <w:rFonts w:ascii="Times New Roman" w:eastAsia="Calibri" w:hAnsi="Times New Roman" w:cs="Times New Roman"/>
          <w:i/>
          <w:iCs/>
          <w:sz w:val="24"/>
          <w:szCs w:val="24"/>
        </w:rPr>
        <w:t>P. Suski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>, Zgromadzenia..., s. 9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7–98). Wszystkie działania składające się na wspomniany aspekt wolności zgromadzeń powinny być, co do zasady, wolne od ingerencji ze strony władz publicznych, a ich ewentualne wprowadzenie – zarówno w drodze aktu stanowienia, jak i stosowania prawa – musi 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znajdować każdorazowo oparcie w szczególnych względach, które mogą uzasadniać ograniczenie konstytucyjnych wolności i praw.” 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(komentarz do Art. 7 - S. Gajewski w: 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t xml:space="preserve">„Prawo </w:t>
      </w:r>
      <w:r w:rsidRPr="009C3462">
        <w:rPr>
          <w:rFonts w:ascii="Times New Roman" w:eastAsia="Calibri" w:hAnsi="Times New Roman" w:cs="Times New Roman"/>
          <w:i/>
          <w:sz w:val="24"/>
          <w:szCs w:val="24"/>
        </w:rPr>
        <w:br/>
        <w:t>do zgromadzeń. Komentarz</w:t>
      </w:r>
      <w:r w:rsidRPr="009C3462">
        <w:rPr>
          <w:rFonts w:ascii="Times New Roman" w:eastAsia="Calibri" w:hAnsi="Times New Roman" w:cs="Times New Roman"/>
          <w:sz w:val="24"/>
          <w:szCs w:val="24"/>
        </w:rPr>
        <w:t>” pod red: S. Gajewskiego, A. Jakubowskiego, 2017 r.).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3462">
        <w:rPr>
          <w:rFonts w:ascii="Times New Roman" w:eastAsia="Calibri" w:hAnsi="Times New Roman" w:cs="Times New Roman"/>
          <w:bCs/>
          <w:sz w:val="24"/>
          <w:szCs w:val="24"/>
        </w:rPr>
        <w:t>Konkludując powyższe, Rada Gminy Lesznowola nie była upoważniona do wprowadzenia, na podstawie  art. 40 ust. 2 pkt 4 usg, regulacji zakazującej organizowania wszelkich zgromadzeń publicznych w miejscu publicznym tj. terenów Gminnego Parkingu Płatnego.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bCs/>
          <w:sz w:val="24"/>
          <w:szCs w:val="24"/>
        </w:rPr>
        <w:t>Pona</w:t>
      </w:r>
      <w:r w:rsidRPr="009C3462">
        <w:rPr>
          <w:rFonts w:ascii="Times New Roman" w:eastAsia="Calibri" w:hAnsi="Times New Roman" w:cs="Times New Roman"/>
          <w:bCs/>
          <w:sz w:val="24"/>
          <w:szCs w:val="24"/>
        </w:rPr>
        <w:t xml:space="preserve">dto, wadliwe są postanowienia § 4 ust. 5 pkt 8 i pkt 12 Regulaminu </w:t>
      </w:r>
      <w:r w:rsidRPr="009C3462">
        <w:rPr>
          <w:rFonts w:ascii="Times New Roman" w:eastAsia="MS Mincho" w:hAnsi="Times New Roman" w:cs="Times New Roman"/>
          <w:sz w:val="24"/>
          <w:szCs w:val="24"/>
        </w:rPr>
        <w:t>wprowadzające zakazy palenia tytoniu oraz spożywania alkoholu lub substancji odurzających na teranie GPP.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MS Mincho" w:hAnsi="Times New Roman" w:cs="Times New Roman"/>
          <w:sz w:val="24"/>
          <w:szCs w:val="24"/>
        </w:rPr>
        <w:t xml:space="preserve"> Przepis art. 5 ust. 4 ustawy 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z dnia 29 lipca 2005 r. o </w:t>
      </w:r>
      <w:r w:rsidRPr="00B27B20">
        <w:rPr>
          <w:rFonts w:ascii="Times New Roman" w:eastAsia="MS Mincho" w:hAnsi="Times New Roman" w:cs="Times New Roman"/>
          <w:sz w:val="24"/>
          <w:szCs w:val="24"/>
        </w:rPr>
        <w:t xml:space="preserve">ochronie zdrowia przed </w:t>
      </w:r>
      <w:r w:rsidRPr="00B27B20">
        <w:rPr>
          <w:rFonts w:ascii="Times New Roman" w:eastAsia="MS Mincho" w:hAnsi="Times New Roman" w:cs="Times New Roman"/>
          <w:sz w:val="24"/>
          <w:szCs w:val="24"/>
        </w:rPr>
        <w:t>następstwami używania tytoniu i wyrobów tytoniowych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 (Dz. U. z 2021 r. poz. 276) </w:t>
      </w:r>
      <w:r w:rsidRPr="009C3462">
        <w:rPr>
          <w:rFonts w:ascii="Times New Roman" w:eastAsia="MS Mincho" w:hAnsi="Times New Roman" w:cs="Times New Roman"/>
          <w:sz w:val="24"/>
          <w:szCs w:val="24"/>
        </w:rPr>
        <w:t xml:space="preserve">stanowi podstawę prawną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 w:rsidRPr="009C3462">
        <w:rPr>
          <w:rFonts w:ascii="Times New Roman" w:eastAsia="MS Mincho" w:hAnsi="Times New Roman" w:cs="Times New Roman"/>
          <w:sz w:val="24"/>
          <w:szCs w:val="24"/>
        </w:rPr>
        <w:t>do ustalenia przez radę,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 w odrębnej uchwale, jako strefy wolne od dymu tytoniowego, pary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C3462">
        <w:rPr>
          <w:rFonts w:ascii="Times New Roman" w:eastAsia="Calibri" w:hAnsi="Times New Roman" w:cs="Times New Roman"/>
          <w:sz w:val="24"/>
          <w:szCs w:val="24"/>
        </w:rPr>
        <w:t>z papierosów elektronicznych i substancji uwalnianych za pomo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cą nowatorskiego wyrobu tytoniowego, miejsca na terenie gminy przeznaczone do użytku publicznego, </w:t>
      </w:r>
      <w:bookmarkStart w:id="3" w:name="_Hlk80087756"/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inne niż wymienione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w ustawie. A zatem tylko uchwała, podejmowana, w oparciu o powołany wyżej przepis, może być źródłem wprowadzenia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akcie prawnym </w:t>
      </w:r>
      <w:r w:rsidRPr="009C3462">
        <w:rPr>
          <w:rFonts w:ascii="Times New Roman" w:eastAsia="Calibri" w:hAnsi="Times New Roman" w:cs="Times New Roman"/>
          <w:sz w:val="24"/>
          <w:szCs w:val="24"/>
        </w:rPr>
        <w:t>zakazu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alenia</w:t>
      </w:r>
      <w:r w:rsidRPr="009C3462">
        <w:rPr>
          <w:rFonts w:ascii="Times New Roman" w:eastAsia="Calibri" w:hAnsi="Times New Roman" w:cs="Times New Roman"/>
          <w:sz w:val="24"/>
          <w:szCs w:val="24"/>
        </w:rPr>
        <w:t>, w innych niż wymienionych przez ustawodawcę miejscach publicznych na terenie gminy.</w:t>
      </w:r>
    </w:p>
    <w:bookmarkEnd w:id="3"/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W przypadku spożywania alkoholu, przepis art. 14 ust. 2a ustawy z dnia 26 października </w:t>
      </w:r>
      <w:r w:rsidRPr="009C3462">
        <w:rPr>
          <w:rFonts w:ascii="Times New Roman" w:eastAsia="Calibri" w:hAnsi="Times New Roman" w:cs="Times New Roman"/>
          <w:sz w:val="24"/>
          <w:szCs w:val="24"/>
        </w:rPr>
        <w:br/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1982 r. o wychowaniu w trzeźwości i przeciwdziałaniu alkoholizmowi (Dz. U. z 2021 r. poz. 1119) zabrania spożywania napojów alkoholowych w miejscu publicznym, z wyjątkiem miejsc </w:t>
      </w:r>
      <w:r w:rsidRPr="009C34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przeznaczonych do ich spożycia na miejscu, w punktach sprzedaży tych napojów. </w:t>
      </w:r>
      <w:r w:rsidRPr="009C3462">
        <w:rPr>
          <w:rFonts w:ascii="Times New Roman" w:eastAsia="Calibri" w:hAnsi="Times New Roman" w:cs="Times New Roman"/>
          <w:sz w:val="24"/>
          <w:szCs w:val="24"/>
        </w:rPr>
        <w:t>Na mocy ust. 5 powołanego przepisu, spożywanie napojów zawierających więcej niż 4,5% alkoholu, może się odbywać na imprezach na otwartym powietrzu oraz na stadionach i innych obiektach sportowych tylko za zezwoleniem i tylko w miejscach do tego wyznaczonyc</w:t>
      </w:r>
      <w:r w:rsidRPr="009C3462">
        <w:rPr>
          <w:rFonts w:ascii="Times New Roman" w:eastAsia="Calibri" w:hAnsi="Times New Roman" w:cs="Times New Roman"/>
          <w:sz w:val="24"/>
          <w:szCs w:val="24"/>
        </w:rPr>
        <w:t>h. Odmienną regulację rada gminy może wprowadzić, w drodze odrębnej uchwały (na podstawie art. 14 ust. 2b lub art. 14 ust. 6 ustawy). W określonym miejscu publicznym na terenie gminy organ może uchwalić, odstępstwo od zakazu spożywania napojów alkoholowych</w:t>
      </w:r>
      <w:r w:rsidRPr="009C3462">
        <w:rPr>
          <w:rFonts w:ascii="Times New Roman" w:eastAsia="Calibri" w:hAnsi="Times New Roman" w:cs="Times New Roman"/>
          <w:sz w:val="24"/>
          <w:szCs w:val="24"/>
        </w:rPr>
        <w:t>, jeżeli uzna, że nie będzie to miało negatywnego wpływu na odpowiednie kształtowanie polityki społecznej w zakresie przeciwdziałania alkoholizmowi i nie będzie zakłócało bezpieczeństwa i porządku publicznego albo może wprowadzić czasowy lub stały zakaz sp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rzedaży, podawania, spożywania oraz wnoszenia napojów alkoholowych w innych niewymienionych miejscach, obiektach lub na określonych obszarach gminy, ze względu na ich charakter. </w:t>
      </w:r>
    </w:p>
    <w:p w:rsidR="009C3462" w:rsidRPr="009C3462" w:rsidRDefault="00155459" w:rsidP="009C3462">
      <w:pPr>
        <w:widowControl w:val="0"/>
        <w:spacing w:after="0" w:line="36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Natomiast w odniesieniu zakazu spożywania substancji odurzających na terenie </w:t>
      </w:r>
      <w:r w:rsidRPr="009C3462">
        <w:rPr>
          <w:rFonts w:ascii="Times New Roman" w:eastAsia="Calibri" w:hAnsi="Times New Roman" w:cs="Times New Roman"/>
          <w:sz w:val="24"/>
          <w:szCs w:val="24"/>
        </w:rPr>
        <w:t>GPP, podkreślić należy, że w świetle art. 62 ustawy z dnia 29 lipca 2005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462">
        <w:rPr>
          <w:rFonts w:ascii="Times New Roman" w:eastAsia="Calibri" w:hAnsi="Times New Roman" w:cs="Times New Roman"/>
          <w:sz w:val="24"/>
          <w:szCs w:val="24"/>
        </w:rPr>
        <w:t>o przeciwdziałaniu narkomanii (Dz.U. z 2020 r. poz. 2050, z późn. zm.), penalizowane jest  już samo posiadanie środków odurzających, dlatego regulacja przyjęta przez Radę Gminy Les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znowola, w tym zakresie, stanowi modyfikację ww. przepisu ustawy. </w:t>
      </w:r>
    </w:p>
    <w:p w:rsidR="009C3462" w:rsidRDefault="00155459" w:rsidP="009C346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Mając na uwadze, że przepisy ustawy </w:t>
      </w:r>
      <w:r w:rsidRPr="009C3462">
        <w:rPr>
          <w:rFonts w:ascii="Times New Roman" w:eastAsia="MS Mincho" w:hAnsi="Times New Roman" w:cs="Times New Roman"/>
          <w:sz w:val="24"/>
          <w:szCs w:val="24"/>
        </w:rPr>
        <w:t xml:space="preserve">o ochronie zdrowia przed następstwami używania tytoniu i wyrobów tytoniowych, ustawy </w:t>
      </w:r>
      <w:r w:rsidRPr="009C3462">
        <w:rPr>
          <w:rFonts w:ascii="Times New Roman" w:eastAsia="Calibri" w:hAnsi="Times New Roman" w:cs="Times New Roman"/>
          <w:sz w:val="24"/>
          <w:szCs w:val="24"/>
        </w:rPr>
        <w:t>o wychowaniu w trzeźwości i przeciwdziałaniu alkoholizmowi oraz usta</w:t>
      </w:r>
      <w:r w:rsidRPr="009C3462">
        <w:rPr>
          <w:rFonts w:ascii="Times New Roman" w:eastAsia="Calibri" w:hAnsi="Times New Roman" w:cs="Times New Roman"/>
          <w:sz w:val="24"/>
          <w:szCs w:val="24"/>
        </w:rPr>
        <w:t xml:space="preserve">wy o przeciwdziałaniu narkomanii, w sposób jednoznaczny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C3462">
        <w:rPr>
          <w:rFonts w:ascii="Times New Roman" w:eastAsia="Calibri" w:hAnsi="Times New Roman" w:cs="Times New Roman"/>
          <w:sz w:val="24"/>
          <w:szCs w:val="24"/>
        </w:rPr>
        <w:t>i komplementarny regulują kwestie</w:t>
      </w:r>
      <w:r w:rsidRPr="009C3462">
        <w:rPr>
          <w:rFonts w:ascii="Times New Roman" w:eastAsia="MS Mincho" w:hAnsi="Times New Roman" w:cs="Times New Roman"/>
          <w:sz w:val="24"/>
          <w:szCs w:val="24"/>
        </w:rPr>
        <w:t xml:space="preserve"> palenia tytoniu, spożywania alkoholu i substancji odurzających w miejscach publicznych, wymienione wyżej postanowienia Regulaminu,  powielają lub modyfikują materię </w:t>
      </w:r>
      <w:r w:rsidRPr="009C3462">
        <w:rPr>
          <w:rFonts w:ascii="Times New Roman" w:eastAsia="MS Mincho" w:hAnsi="Times New Roman" w:cs="Times New Roman"/>
          <w:sz w:val="24"/>
          <w:szCs w:val="24"/>
        </w:rPr>
        <w:t>ustawową.</w:t>
      </w:r>
    </w:p>
    <w:p w:rsidR="00491397" w:rsidRDefault="00155459" w:rsidP="009C346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Dodatkowo, obok uchybień uchwały istotnie naruszających przepisy </w:t>
      </w:r>
      <w:r>
        <w:rPr>
          <w:rFonts w:ascii="Times New Roman" w:eastAsia="MS Mincho" w:hAnsi="Times New Roman" w:cs="Times New Roman"/>
          <w:sz w:val="24"/>
          <w:szCs w:val="24"/>
        </w:rPr>
        <w:t>prawa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należy wskazać, że w Załączniku </w:t>
      </w:r>
      <w:r w:rsidRPr="009C3462">
        <w:rPr>
          <w:rFonts w:ascii="Times New Roman" w:eastAsia="Times New Roman" w:hAnsi="Times New Roman" w:cs="Times New Roman"/>
          <w:sz w:val="24"/>
          <w:szCs w:val="24"/>
          <w:lang w:eastAsia="pl-PL"/>
        </w:rPr>
        <w:t>Nr 2 do uchwały Nr 469/XLI/2021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pominięto jednostkę redakcyjną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–„§ 1”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tj. pierwszy paragraf </w:t>
      </w:r>
      <w:r w:rsidRPr="006677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491397" w:rsidRPr="009C3462" w:rsidRDefault="00155459" w:rsidP="009C346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Biorąc pod uwagę powyższe, </w:t>
      </w:r>
      <w:r>
        <w:rPr>
          <w:rFonts w:ascii="Times New Roman" w:eastAsia="MS Mincho" w:hAnsi="Times New Roman" w:cs="Times New Roman"/>
          <w:sz w:val="24"/>
          <w:szCs w:val="24"/>
        </w:rPr>
        <w:t>stwierdzenie nieważności uchwały Rady Gminy Lesznowola</w:t>
      </w:r>
      <w:r>
        <w:rPr>
          <w:rFonts w:ascii="Times New Roman" w:eastAsia="MS Mincho" w:hAnsi="Times New Roman" w:cs="Times New Roman"/>
          <w:sz w:val="24"/>
          <w:szCs w:val="24"/>
        </w:rPr>
        <w:br/>
        <w:t xml:space="preserve">Nr 469/XLI/2021, w zakresie określonym w </w:t>
      </w:r>
      <w:r w:rsidRPr="00491397">
        <w:rPr>
          <w:rFonts w:ascii="Times New Roman" w:eastAsia="MS Mincho" w:hAnsi="Times New Roman" w:cs="Times New Roman"/>
          <w:i/>
          <w:sz w:val="24"/>
          <w:szCs w:val="24"/>
        </w:rPr>
        <w:t>petitum</w:t>
      </w:r>
      <w:r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rozstrzygnięcia nadzorczego, jest uzasadnione.</w:t>
      </w:r>
    </w:p>
    <w:p w:rsidR="006677CF" w:rsidRDefault="00155459" w:rsidP="009C346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>Na niniejsze rozstrzygnięcie nadzorcze Gminie przysługuje skarga do Wojewódzkiego Sądu Administracyjnego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 Warszawie w terminie 30 dni od daty jego doręczenia, wnoszona </w:t>
      </w: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br/>
        <w:t>za pośrednictwem organu, który skarżone orzeczenie wydał.</w:t>
      </w:r>
    </w:p>
    <w:p w:rsidR="009C3462" w:rsidRPr="009C3462" w:rsidRDefault="00155459" w:rsidP="009C34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62"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 xml:space="preserve">Informuję, że rozstrzygnięcie nadzorcze wstrzymuje wykonanie uchwały, w części objętej rozstrzygnięciem, </w:t>
      </w:r>
      <w:r w:rsidRPr="009C3462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 mocy prawa, </w:t>
      </w:r>
      <w:r w:rsidRPr="009C3462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z dniem jego </w:t>
      </w:r>
      <w:r w:rsidRPr="009C3462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doręczenia.</w:t>
      </w:r>
    </w:p>
    <w:p w:rsidR="009C3462" w:rsidRPr="009C3462" w:rsidRDefault="00155459" w:rsidP="009C3462">
      <w:pPr>
        <w:spacing w:after="0" w:line="36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4" w:name="ezdPracownikNazwa"/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Sylwester Dąbrowski</w:t>
      </w:r>
      <w:bookmarkEnd w:id="4"/>
    </w:p>
    <w:p w:rsidR="009C3462" w:rsidRPr="009C3462" w:rsidRDefault="00155459" w:rsidP="009C3462">
      <w:pPr>
        <w:spacing w:after="0" w:line="36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5" w:name="ezdPracownikStanowisko"/>
      <w:r w:rsidRPr="009C34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Wicewojewoda Mazowiecki</w:t>
      </w:r>
      <w:bookmarkEnd w:id="5"/>
    </w:p>
    <w:p w:rsidR="009C3462" w:rsidRPr="009C3462" w:rsidRDefault="00155459" w:rsidP="009C346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360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3462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/podpisano bezpiecznym podpisem elektronicznym</w:t>
      </w:r>
    </w:p>
    <w:p w:rsidR="009C3462" w:rsidRPr="009C3462" w:rsidRDefault="00155459" w:rsidP="009C3462">
      <w:pPr>
        <w:spacing w:after="0" w:line="360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3462">
        <w:rPr>
          <w:rFonts w:ascii="Times New Roman" w:eastAsia="Times New Roman" w:hAnsi="Times New Roman" w:cs="Times New Roman"/>
          <w:sz w:val="20"/>
          <w:szCs w:val="20"/>
          <w:lang w:eastAsia="pl-PL"/>
        </w:rPr>
        <w:t>weryfikowanym ważnym kwalifikowanym certyfikatem/</w:t>
      </w:r>
    </w:p>
    <w:p w:rsidR="009C3462" w:rsidRPr="009C3462" w:rsidRDefault="00155459" w:rsidP="009C3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462" w:rsidRPr="009C3462" w:rsidRDefault="00155459" w:rsidP="009C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E8B" w:rsidRDefault="00155459"/>
    <w:sectPr w:rsidR="00FC0E8B" w:rsidSect="001D4E87">
      <w:footerReference w:type="default" r:id="rId16"/>
      <w:footerReference w:type="first" r:id="rId17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59" w:rsidRDefault="00155459">
      <w:pPr>
        <w:spacing w:after="0" w:line="240" w:lineRule="auto"/>
      </w:pPr>
      <w:r>
        <w:separator/>
      </w:r>
    </w:p>
  </w:endnote>
  <w:endnote w:type="continuationSeparator" w:id="0">
    <w:p w:rsidR="00155459" w:rsidRDefault="0015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058928"/>
      <w:docPartObj>
        <w:docPartGallery w:val="Page Numbers (Bottom of Page)"/>
        <w:docPartUnique/>
      </w:docPartObj>
    </w:sdtPr>
    <w:sdtEndPr/>
    <w:sdtContent>
      <w:p w:rsidR="00A46F82" w:rsidRDefault="001554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73C">
          <w:rPr>
            <w:noProof/>
          </w:rPr>
          <w:t>3</w:t>
        </w:r>
        <w:r>
          <w:fldChar w:fldCharType="end"/>
        </w:r>
      </w:p>
    </w:sdtContent>
  </w:sdt>
  <w:p w:rsidR="001D4E87" w:rsidRPr="004A1390" w:rsidRDefault="00155459" w:rsidP="001D4E87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754336"/>
      <w:docPartObj>
        <w:docPartGallery w:val="Page Numbers (Bottom of Page)"/>
        <w:docPartUnique/>
      </w:docPartObj>
    </w:sdtPr>
    <w:sdtEndPr/>
    <w:sdtContent>
      <w:p w:rsidR="009C3462" w:rsidRDefault="001554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73C">
          <w:rPr>
            <w:noProof/>
          </w:rPr>
          <w:t>1</w:t>
        </w:r>
        <w:r>
          <w:fldChar w:fldCharType="end"/>
        </w:r>
      </w:p>
    </w:sdtContent>
  </w:sdt>
  <w:p w:rsidR="009C3462" w:rsidRDefault="00155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59" w:rsidRDefault="00155459">
      <w:pPr>
        <w:spacing w:after="0" w:line="240" w:lineRule="auto"/>
      </w:pPr>
      <w:r>
        <w:separator/>
      </w:r>
    </w:p>
  </w:footnote>
  <w:footnote w:type="continuationSeparator" w:id="0">
    <w:p w:rsidR="00155459" w:rsidRDefault="00155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3C"/>
    <w:rsid w:val="00155459"/>
    <w:rsid w:val="00C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A1C99-6AC9-4A46-8F71-9501F98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3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4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462"/>
  </w:style>
  <w:style w:type="paragraph" w:styleId="Tekstdymka">
    <w:name w:val="Balloon Text"/>
    <w:basedOn w:val="Normalny"/>
    <w:link w:val="TekstdymkaZnak"/>
    <w:uiPriority w:val="99"/>
    <w:semiHidden/>
    <w:unhideWhenUsed/>
    <w:rsid w:val="0049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q4tgmjoobqxalrsgu4tkmq" TargetMode="External"/><Relationship Id="rId13" Type="http://schemas.openxmlformats.org/officeDocument/2006/relationships/hyperlink" Target="https://sip.legalis.pl/document-view.seam?documentId=mfrxilrsgq4tgmjoobqxalrsgu4tkm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uguytcnbwgi4s44dboaxdcmbtgmydcmrr" TargetMode="External"/><Relationship Id="rId12" Type="http://schemas.openxmlformats.org/officeDocument/2006/relationships/hyperlink" Target="https://sip.legalis.pl/document-view.seam?documentId=mfrxilrsgq4tgmjoobqxalrsgu4tkmq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p.legalis.pl/document-view.seam?documentId=mfrxilrsgq4tgmjoobqxalrsgu4tkm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p.legalis.pl/document-view.seam?documentId=mrswglryguytemjvhe3q&amp;refSource=hyplink" TargetMode="External"/><Relationship Id="rId10" Type="http://schemas.openxmlformats.org/officeDocument/2006/relationships/hyperlink" Target="https://sip.legalis.pl/document-view.seam?documentId=mfrxilrsgq4tgmjoobqxalrsgu4dmn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uguytcnbwgi4s44dboaxdcmbtgmydcmrq" TargetMode="External"/><Relationship Id="rId14" Type="http://schemas.openxmlformats.org/officeDocument/2006/relationships/hyperlink" Target="https://sip.legalis.pl/document-view.seam?documentId=mfrxilruguytcnbwgi4s44dboaxdcmbtgmydcmr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2779</Words>
  <Characters>16678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Paulina Kolaszyńska</cp:lastModifiedBy>
  <cp:revision>2</cp:revision>
  <cp:lastPrinted>2021-08-17T09:44:00Z</cp:lastPrinted>
  <dcterms:created xsi:type="dcterms:W3CDTF">2021-08-18T11:35:00Z</dcterms:created>
  <dcterms:modified xsi:type="dcterms:W3CDTF">2021-08-18T11:35:00Z</dcterms:modified>
</cp:coreProperties>
</file>