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CB" w:rsidRDefault="000C00A6" w:rsidP="000A23CB">
      <w:pPr>
        <w:spacing w:before="720" w:after="1000" w:line="240" w:lineRule="auto"/>
        <w:ind w:left="5041"/>
        <w:rPr>
          <w:rFonts w:ascii="Arial" w:hAnsi="Arial" w:cs="Arial"/>
        </w:rPr>
      </w:pPr>
      <w:r>
        <w:rPr>
          <w:rFonts w:ascii="Arial" w:hAnsi="Arial" w:cs="Arial"/>
        </w:rPr>
        <w:t xml:space="preserve">Warszawa, </w:t>
      </w:r>
      <w:bookmarkStart w:id="0" w:name="ezdDataPodpisu"/>
      <w:bookmarkEnd w:id="0"/>
      <w:r w:rsidR="008501C5">
        <w:rPr>
          <w:rFonts w:ascii="Arial" w:hAnsi="Arial" w:cs="Arial"/>
        </w:rPr>
        <w:t>2</w:t>
      </w:r>
      <w:r w:rsidR="004F6073">
        <w:rPr>
          <w:rFonts w:ascii="Arial" w:hAnsi="Arial" w:cs="Arial"/>
        </w:rPr>
        <w:t>9</w:t>
      </w:r>
      <w:r w:rsidR="008501C5">
        <w:rPr>
          <w:rFonts w:ascii="Arial" w:hAnsi="Arial" w:cs="Arial"/>
        </w:rPr>
        <w:t xml:space="preserve"> czerwca 2018 r.</w:t>
      </w:r>
    </w:p>
    <w:p w:rsidR="000A23CB" w:rsidRDefault="000C00A6" w:rsidP="000A23CB">
      <w:pPr>
        <w:spacing w:before="120" w:after="660" w:line="240" w:lineRule="auto"/>
        <w:rPr>
          <w:rFonts w:ascii="Arial" w:hAnsi="Arial" w:cs="Arial"/>
        </w:rPr>
      </w:pPr>
      <w:bookmarkStart w:id="1" w:name="ezdSprawaZnak"/>
      <w:r>
        <w:rPr>
          <w:rFonts w:ascii="Arial" w:hAnsi="Arial" w:cs="Arial"/>
        </w:rPr>
        <w:t>FGZ.270.</w:t>
      </w:r>
      <w:r w:rsidR="008501C5">
        <w:rPr>
          <w:rFonts w:ascii="Arial" w:hAnsi="Arial" w:cs="Arial"/>
        </w:rPr>
        <w:t>32</w:t>
      </w:r>
      <w:r>
        <w:rPr>
          <w:rFonts w:ascii="Arial" w:hAnsi="Arial" w:cs="Arial"/>
        </w:rPr>
        <w:t>.2018</w:t>
      </w:r>
      <w:bookmarkEnd w:id="1"/>
      <w:r>
        <w:rPr>
          <w:rFonts w:ascii="Arial" w:hAnsi="Arial" w:cs="Arial"/>
        </w:rPr>
        <w:t>.</w:t>
      </w:r>
      <w:r w:rsidR="00885C9D">
        <w:rPr>
          <w:rFonts w:ascii="Arial" w:hAnsi="Arial" w:cs="Arial"/>
        </w:rPr>
        <w:t>SB</w:t>
      </w:r>
      <w:bookmarkStart w:id="2" w:name="_GoBack"/>
      <w:bookmarkEnd w:id="2"/>
    </w:p>
    <w:p w:rsidR="000A23CB" w:rsidRPr="00124A93" w:rsidRDefault="00124A93" w:rsidP="000A23CB">
      <w:pPr>
        <w:spacing w:after="0" w:line="360" w:lineRule="auto"/>
        <w:ind w:left="5041"/>
        <w:rPr>
          <w:rStyle w:val="pismamzZnak"/>
          <w:b/>
        </w:rPr>
      </w:pPr>
      <w:r w:rsidRPr="00124A93">
        <w:rPr>
          <w:rStyle w:val="pismamzZnak"/>
          <w:b/>
        </w:rPr>
        <w:t>Wszyscy Wykonawcy</w:t>
      </w:r>
    </w:p>
    <w:p w:rsidR="00124A93" w:rsidRDefault="00124A93" w:rsidP="000A23CB">
      <w:pPr>
        <w:pStyle w:val="pismamz"/>
        <w:tabs>
          <w:tab w:val="left" w:pos="5400"/>
        </w:tabs>
        <w:spacing w:before="1120"/>
      </w:pPr>
      <w:r>
        <w:t xml:space="preserve">Dotyczy: postępowania o udzielenie zamówienia publicznego </w:t>
      </w:r>
      <w:r w:rsidR="008501C5">
        <w:t>pn. „</w:t>
      </w:r>
      <w:r w:rsidR="008501C5" w:rsidRPr="008501C5">
        <w:t>Dostawa Systemu Kontroli Dostępu, zwanego dalej SKD, razem z usługą utrzymania systemu przez okres 12 miesięcy – postępowanie po unieważnieniu</w:t>
      </w:r>
      <w:r w:rsidR="008501C5">
        <w:t>”</w:t>
      </w:r>
      <w:r>
        <w:t>.</w:t>
      </w:r>
    </w:p>
    <w:p w:rsidR="00124A93" w:rsidRDefault="00124A93" w:rsidP="000A23CB">
      <w:pPr>
        <w:pStyle w:val="pismamz"/>
        <w:tabs>
          <w:tab w:val="left" w:pos="5400"/>
        </w:tabs>
        <w:spacing w:before="1120"/>
      </w:pPr>
    </w:p>
    <w:p w:rsidR="00124A93" w:rsidRDefault="00124A93" w:rsidP="00124A93">
      <w:pPr>
        <w:pStyle w:val="pismamz"/>
        <w:tabs>
          <w:tab w:val="left" w:pos="5400"/>
        </w:tabs>
        <w:spacing w:before="1120"/>
        <w:jc w:val="center"/>
        <w:rPr>
          <w:b/>
        </w:rPr>
      </w:pPr>
      <w:r w:rsidRPr="00124A93">
        <w:rPr>
          <w:b/>
        </w:rPr>
        <w:t>Odpowiedzi na pytania do treści SIWZ</w:t>
      </w:r>
    </w:p>
    <w:p w:rsidR="00124A93" w:rsidRPr="00124A93" w:rsidRDefault="00124A93" w:rsidP="00124A93">
      <w:pPr>
        <w:pStyle w:val="pismamz"/>
        <w:tabs>
          <w:tab w:val="left" w:pos="5400"/>
        </w:tabs>
        <w:spacing w:before="1120"/>
        <w:jc w:val="center"/>
        <w:rPr>
          <w:b/>
        </w:rPr>
      </w:pPr>
    </w:p>
    <w:p w:rsidR="000A23CB" w:rsidRDefault="00124A93" w:rsidP="00124A93">
      <w:pPr>
        <w:pStyle w:val="pismamz"/>
        <w:tabs>
          <w:tab w:val="left" w:pos="5400"/>
        </w:tabs>
        <w:spacing w:before="1120"/>
      </w:pPr>
      <w:r>
        <w:t>Zamawiający, działając na podstawie art. 38 ust. 1 i ust. 2 ustawy z dnia 29 stycznia 2004 r. Prawo zamówień publicznych (</w:t>
      </w:r>
      <w:r w:rsidRPr="00124A93">
        <w:t>Dz. U. z 2017 r. poz. 1579 z późn. zm.)</w:t>
      </w:r>
      <w:r>
        <w:t xml:space="preserve"> zwanej dalej „ustawą” przekazuje następujące informacje w związ</w:t>
      </w:r>
      <w:r w:rsidR="008501C5">
        <w:t>ku z pytaniami złożonymi w dniach 2</w:t>
      </w:r>
      <w:r w:rsidR="005B2B19">
        <w:t>7</w:t>
      </w:r>
      <w:r w:rsidR="008501C5">
        <w:t xml:space="preserve"> – 2</w:t>
      </w:r>
      <w:r w:rsidR="005B2B19">
        <w:t>8</w:t>
      </w:r>
      <w:r w:rsidR="008501C5">
        <w:t xml:space="preserve"> czerwca </w:t>
      </w:r>
      <w:r>
        <w:t>2018 r.</w:t>
      </w:r>
      <w:r w:rsidR="00094C26">
        <w:t>:</w:t>
      </w:r>
      <w:r>
        <w:t xml:space="preserve"> </w:t>
      </w:r>
    </w:p>
    <w:p w:rsidR="00124A93" w:rsidRDefault="00124A93" w:rsidP="00124A93">
      <w:pPr>
        <w:pStyle w:val="pismamz"/>
        <w:tabs>
          <w:tab w:val="left" w:pos="5400"/>
        </w:tabs>
        <w:spacing w:before="1120"/>
      </w:pPr>
    </w:p>
    <w:p w:rsidR="00124A93" w:rsidRPr="00124A93" w:rsidRDefault="00124A93" w:rsidP="00124A93">
      <w:pPr>
        <w:pStyle w:val="pismamz"/>
        <w:tabs>
          <w:tab w:val="left" w:pos="5400"/>
        </w:tabs>
        <w:spacing w:before="1120"/>
        <w:rPr>
          <w:b/>
        </w:rPr>
      </w:pPr>
      <w:r w:rsidRPr="00124A93">
        <w:rPr>
          <w:b/>
        </w:rPr>
        <w:t xml:space="preserve">Pytanie nr 1 </w:t>
      </w:r>
    </w:p>
    <w:p w:rsidR="005B2B19" w:rsidRDefault="005E3EAA" w:rsidP="008501C5">
      <w:pPr>
        <w:pStyle w:val="pismamz"/>
        <w:tabs>
          <w:tab w:val="left" w:pos="5400"/>
        </w:tabs>
        <w:ind w:left="57"/>
        <w:rPr>
          <w:i/>
        </w:rPr>
      </w:pPr>
      <w:r w:rsidRPr="005E3EAA">
        <w:rPr>
          <w:i/>
        </w:rPr>
        <w:t>„</w:t>
      </w:r>
      <w:r w:rsidR="005B2B19">
        <w:rPr>
          <w:i/>
        </w:rPr>
        <w:t xml:space="preserve">W związku z analizą wymagań przestawionych w OPZ do SIWZ przez Zamawiającego dotyczącego dostawy systemu kontroli dostępu dla Ministerstwa Zdrowia stwierdzamy, ze potencjalni oferenci nie będą mieli możliwości dotrzymania terminów realizacji poszczególnych etapów zadania jak i jego całości. Zwracamy uwagę szczególnie na zapisy: </w:t>
      </w:r>
    </w:p>
    <w:p w:rsidR="008501C5" w:rsidRDefault="005B2B19" w:rsidP="005B2B19">
      <w:pPr>
        <w:pStyle w:val="pismamz"/>
        <w:numPr>
          <w:ilvl w:val="0"/>
          <w:numId w:val="18"/>
        </w:numPr>
        <w:tabs>
          <w:tab w:val="left" w:pos="5400"/>
        </w:tabs>
        <w:rPr>
          <w:i/>
        </w:rPr>
      </w:pPr>
      <w:r>
        <w:rPr>
          <w:i/>
        </w:rPr>
        <w:t>„</w:t>
      </w:r>
      <w:r w:rsidRPr="005B2B19">
        <w:rPr>
          <w:i/>
        </w:rPr>
        <w:t xml:space="preserve">Wykonawca wykona i przedstawi do zatwierdzenia Zamawiającemu w ciągu </w:t>
      </w:r>
      <w:r>
        <w:rPr>
          <w:i/>
        </w:rPr>
        <w:t>14</w:t>
      </w:r>
      <w:r w:rsidRPr="005B2B19">
        <w:rPr>
          <w:i/>
        </w:rPr>
        <w:t xml:space="preserve"> dni od daty podpisania umowy, projekt Systemu Kontroli Dostępu</w:t>
      </w:r>
      <w:r>
        <w:rPr>
          <w:i/>
        </w:rPr>
        <w:t xml:space="preserve">” – wykonanie projektu SKD wiąże się z koniecznością uzyskania przez projektanta map do celów projektowych dla każdego z obiektów w którym jest planowana kontrola dostępu, które to są wydawane przez Urząd m. st. Warszawy Biuro Geodezji i Katastru w ciągu 5 tygodni od daty złożenia wniosku w urzędzie. </w:t>
      </w:r>
    </w:p>
    <w:p w:rsidR="005B2B19" w:rsidRDefault="005B2B19" w:rsidP="005B2B19">
      <w:pPr>
        <w:pStyle w:val="pismamz"/>
        <w:numPr>
          <w:ilvl w:val="0"/>
          <w:numId w:val="18"/>
        </w:numPr>
        <w:tabs>
          <w:tab w:val="left" w:pos="5400"/>
        </w:tabs>
        <w:rPr>
          <w:i/>
        </w:rPr>
      </w:pPr>
      <w:r>
        <w:rPr>
          <w:i/>
        </w:rPr>
        <w:lastRenderedPageBreak/>
        <w:t>„</w:t>
      </w:r>
      <w:r w:rsidRPr="005B2B19">
        <w:rPr>
          <w:i/>
        </w:rPr>
        <w:t>Projekt podlega odbiorowi zgodnie z procedurami odbioru przedmiotu umowy przewidzianymi dla dokumentacji. Po zatwierdzeniu projektu przez Zamawiającego (przez co należy rozumieć dokonanie jego odbioru bez zastrzeżeń przez Zamawiającego), Wykonawca jest zobowiązany do podjęcia wszelkich czynności związanych z przedłożeniem projektu do akceptacji przez konserwatora zabytków oraz pozyskania akceptacji konserwatora zabytków. Wykonawca jest zobowiązany do reprezentacji Zamawiającego w powyższym zakresie oraz modyfikacji projektu celem jego akceptacji przez konserwatora zabytków</w:t>
      </w:r>
      <w:r>
        <w:rPr>
          <w:i/>
        </w:rPr>
        <w:t>” oraz „</w:t>
      </w:r>
      <w:r w:rsidRPr="005B2B19">
        <w:rPr>
          <w:i/>
        </w:rPr>
        <w:t>Prace wdrożeniowe rozpoczną się po akceptacji ww. projektu przez Zamawiającego oraz po uzyskaniu przez Wykonawcę w  imieniu Zamawiającego wszelkich wymaganych prawem uzgodnień, pozwoleń i decyzji,  w szczególności wojewódzkiego konserwatora zabytków</w:t>
      </w:r>
      <w:r>
        <w:rPr>
          <w:i/>
        </w:rPr>
        <w:t xml:space="preserve">” – uzyskanie akceptacji konserwatora zabytków dla przestawionego projektu na pojedynczą lokalizację wiąże się z ustawowym czasem oczekiwania od 30 do nawet 60 dni (o wydłużeniu terminu powyżej 30 dni informuje urzędnik po analizie dokumentacji). Dodatkowo projekt będzie wymagał uzyskania pozwolenia na budowę – czas oczekiwania na decyzję urzędową to 30 dni. </w:t>
      </w:r>
    </w:p>
    <w:p w:rsidR="005B2B19" w:rsidRDefault="005B2B19" w:rsidP="005B2B19">
      <w:pPr>
        <w:pStyle w:val="pismamz"/>
        <w:tabs>
          <w:tab w:val="left" w:pos="5400"/>
        </w:tabs>
        <w:ind w:left="57"/>
        <w:rPr>
          <w:i/>
        </w:rPr>
      </w:pPr>
      <w:r>
        <w:rPr>
          <w:i/>
        </w:rPr>
        <w:t xml:space="preserve">W związku z powyższymi zapisami oferent zwraca się z prośbą o udzielnie odpowiedzi czy Zamawiający dopuszcza wydłużenie terminu realizacji poszczególnych etapów jak i całego zadania pierwotnie planowanego na okres 120 dni ze względu na konieczność uzyskania niezbędnych decyzji administracyjnych. </w:t>
      </w:r>
    </w:p>
    <w:p w:rsidR="008501C5" w:rsidRDefault="008501C5" w:rsidP="008501C5">
      <w:pPr>
        <w:pStyle w:val="pismamz"/>
        <w:tabs>
          <w:tab w:val="left" w:pos="5400"/>
        </w:tabs>
        <w:ind w:left="57"/>
        <w:rPr>
          <w:b/>
          <w:i/>
        </w:rPr>
      </w:pPr>
      <w:r w:rsidRPr="008501C5">
        <w:rPr>
          <w:b/>
        </w:rPr>
        <w:t>Odpowiedź nr 1</w:t>
      </w:r>
      <w:r w:rsidRPr="008501C5">
        <w:rPr>
          <w:b/>
          <w:i/>
        </w:rPr>
        <w:t xml:space="preserve"> </w:t>
      </w:r>
    </w:p>
    <w:p w:rsidR="00A27C26" w:rsidRPr="004F6073" w:rsidRDefault="004F6073" w:rsidP="008501C5">
      <w:pPr>
        <w:pStyle w:val="pismamz"/>
        <w:tabs>
          <w:tab w:val="left" w:pos="5400"/>
        </w:tabs>
        <w:ind w:left="57"/>
      </w:pPr>
      <w:r>
        <w:t xml:space="preserve">Zamawiający podkreśla, że zgodnie z pkt. 4.1 Opisu przedmiotu zamówienia </w:t>
      </w:r>
      <w:r w:rsidRPr="004F6073">
        <w:rPr>
          <w:i/>
        </w:rPr>
        <w:t>„Wykonawca wykona i przedstawi do zatwierdzenia Zamawiającemu w ciągu do 45 dni od daty podpisania umowy, projekt Systemu Kontroli Dostępu.”</w:t>
      </w:r>
      <w:r>
        <w:rPr>
          <w:i/>
        </w:rPr>
        <w:t xml:space="preserve"> </w:t>
      </w:r>
      <w:r>
        <w:t>Jednocześnie Zamawiający podtrzymuje treść zapisu pkt. 2.9 Opisu przedmiotu zamówienia, iż </w:t>
      </w:r>
      <w:r w:rsidRPr="004F6073">
        <w:rPr>
          <w:i/>
        </w:rPr>
        <w:t>„Dostawa SKD obejmuje Wykonanie wszystkich ww. prac w terminie zadeklarowanym przez wykonawcę w</w:t>
      </w:r>
      <w:r>
        <w:rPr>
          <w:i/>
        </w:rPr>
        <w:t> </w:t>
      </w:r>
      <w:r w:rsidRPr="004F6073">
        <w:rPr>
          <w:i/>
        </w:rPr>
        <w:t>ofercie, nie dłuższym jednak niż 120 dni od dnia podpisania umowy.”</w:t>
      </w:r>
    </w:p>
    <w:p w:rsidR="005B2B19" w:rsidRDefault="005B2B19" w:rsidP="000C63AB">
      <w:pPr>
        <w:pStyle w:val="pismamz"/>
        <w:tabs>
          <w:tab w:val="left" w:pos="5400"/>
        </w:tabs>
        <w:spacing w:before="1120"/>
        <w:rPr>
          <w:b/>
        </w:rPr>
      </w:pPr>
    </w:p>
    <w:p w:rsidR="000C63AB" w:rsidRPr="00124A93" w:rsidRDefault="000C63AB" w:rsidP="000C63AB">
      <w:pPr>
        <w:pStyle w:val="pismamz"/>
        <w:tabs>
          <w:tab w:val="left" w:pos="5400"/>
        </w:tabs>
        <w:spacing w:before="1120"/>
        <w:rPr>
          <w:b/>
        </w:rPr>
      </w:pPr>
      <w:r>
        <w:rPr>
          <w:b/>
        </w:rPr>
        <w:t>Pytanie nr 2</w:t>
      </w:r>
    </w:p>
    <w:p w:rsidR="000C63AB" w:rsidRPr="000C63AB" w:rsidRDefault="000C63AB" w:rsidP="00A27C26">
      <w:pPr>
        <w:pStyle w:val="pismamz"/>
        <w:tabs>
          <w:tab w:val="left" w:pos="5400"/>
        </w:tabs>
        <w:ind w:left="57"/>
        <w:rPr>
          <w:i/>
        </w:rPr>
      </w:pPr>
      <w:r>
        <w:rPr>
          <w:i/>
        </w:rPr>
        <w:t>„</w:t>
      </w:r>
      <w:r w:rsidR="00A27C26">
        <w:rPr>
          <w:i/>
        </w:rPr>
        <w:t xml:space="preserve">Zamawiający w Specyfikacji Istotnych Warunków Zamówienia w rozdziale 5 pkt 5.1 wymienia dokumenty jakie należy złożyć wraz z ofertą. W ppkt 5.1.1 wymienia między innymi stosowne oświadczenia w tym załącznik 4b – oświadczenie o grupie kapitałowej. W kolejnym pkt 5.2 załącznik 4b o grupie kapitałowej należy złożyć w terminie 3 dni od zamieszczenia informacji na stronie internetowej z otwarcia ofert. W obecnym brzmieniu </w:t>
      </w:r>
      <w:r w:rsidR="00A27C26">
        <w:rPr>
          <w:i/>
        </w:rPr>
        <w:lastRenderedPageBreak/>
        <w:t>SIWZ oświadczenie o grupie kapitałowej składane jest z ofertą (co jest bezcelowe) i po otwarciu ofert. W związku z powyższym prosimy o wykreślenie z pkt. 5.1 ppkt 5.1.1 załącznika 4b.</w:t>
      </w:r>
      <w:r w:rsidRPr="000C63AB">
        <w:rPr>
          <w:i/>
        </w:rPr>
        <w:t xml:space="preserve">”  </w:t>
      </w:r>
    </w:p>
    <w:p w:rsidR="000C63AB" w:rsidRDefault="000C63AB" w:rsidP="000C63AB">
      <w:pPr>
        <w:pStyle w:val="pismamz"/>
        <w:tabs>
          <w:tab w:val="left" w:pos="5400"/>
        </w:tabs>
        <w:ind w:left="57"/>
        <w:rPr>
          <w:b/>
        </w:rPr>
      </w:pPr>
      <w:r>
        <w:rPr>
          <w:b/>
        </w:rPr>
        <w:t>Odpowiedź nr 2</w:t>
      </w:r>
    </w:p>
    <w:p w:rsidR="000C63AB" w:rsidRDefault="00A27C26" w:rsidP="000C63AB">
      <w:pPr>
        <w:pStyle w:val="pismamz"/>
        <w:tabs>
          <w:tab w:val="left" w:pos="5400"/>
        </w:tabs>
        <w:ind w:left="57"/>
      </w:pPr>
      <w:r>
        <w:t>Zamawiający wykreśla z pkt 5.1.1 SIWZ „Załącznik nr 4b”. Pkt 5.1.1 otrzymuje następujące brzmienie:</w:t>
      </w:r>
    </w:p>
    <w:p w:rsidR="00A27C26" w:rsidRPr="00A27C26" w:rsidRDefault="00A27C26" w:rsidP="000C63AB">
      <w:pPr>
        <w:pStyle w:val="pismamz"/>
        <w:tabs>
          <w:tab w:val="left" w:pos="5400"/>
        </w:tabs>
        <w:ind w:left="57"/>
        <w:rPr>
          <w:i/>
        </w:rPr>
      </w:pPr>
      <w:r w:rsidRPr="00A27C26">
        <w:rPr>
          <w:i/>
        </w:rPr>
        <w:t>„aktualne na dzień składania ofert oświadczenia w zakresie wskazanym w Załączniku Nr 4, 4a do SIWZ. Informacje zawarte w oświadczeniach będą stanowić wstępne potwierdzenie, że wykonawca nie podlega wykluczeniu z postępowania oraz spełnia warunki udziału w postępowaniu. Oświadczenia te wykonawca składa zgodnie ze wzorami stanowiącymi Załącznik Nr 4, 4a do SIWZ.”</w:t>
      </w:r>
    </w:p>
    <w:sectPr w:rsidR="00A27C26" w:rsidRPr="00A27C26" w:rsidSect="00D2623E">
      <w:footerReference w:type="even" r:id="rId8"/>
      <w:footerReference w:type="default" r:id="rId9"/>
      <w:headerReference w:type="first" r:id="rId10"/>
      <w:footerReference w:type="first" r:id="rId11"/>
      <w:pgSz w:w="11906" w:h="16838"/>
      <w:pgMar w:top="1418"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A2" w:rsidRDefault="000664A2">
      <w:pPr>
        <w:spacing w:after="0" w:line="240" w:lineRule="auto"/>
      </w:pPr>
      <w:r>
        <w:separator/>
      </w:r>
    </w:p>
  </w:endnote>
  <w:endnote w:type="continuationSeparator" w:id="0">
    <w:p w:rsidR="000664A2" w:rsidRDefault="0006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0C00A6">
    <w:pPr>
      <w:pStyle w:val="Stopka"/>
      <w:jc w:val="center"/>
    </w:pPr>
    <w:r>
      <w:fldChar w:fldCharType="begin"/>
    </w:r>
    <w:r>
      <w:instrText>PAGE   \* MERGEFORMAT</w:instrText>
    </w:r>
    <w:r>
      <w:fldChar w:fldCharType="separate"/>
    </w:r>
    <w:r w:rsidR="004F6073">
      <w:rPr>
        <w:noProof/>
      </w:rPr>
      <w:t>2</w:t>
    </w:r>
    <w:r>
      <w:fldChar w:fldCharType="end"/>
    </w:r>
  </w:p>
  <w:p w:rsidR="0043063F" w:rsidRDefault="004F607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0C00A6">
    <w:pPr>
      <w:pStyle w:val="Stopka"/>
      <w:jc w:val="center"/>
    </w:pPr>
    <w:r>
      <w:fldChar w:fldCharType="begin"/>
    </w:r>
    <w:r>
      <w:instrText>PAGE   \* MERGEFORMAT</w:instrText>
    </w:r>
    <w:r>
      <w:fldChar w:fldCharType="separate"/>
    </w:r>
    <w:r w:rsidR="004F6073">
      <w:rPr>
        <w:noProof/>
      </w:rPr>
      <w:t>3</w:t>
    </w:r>
    <w:r>
      <w:fldChar w:fldCharType="end"/>
    </w:r>
  </w:p>
  <w:p w:rsidR="0043063F" w:rsidRDefault="004F607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DC" w:rsidRDefault="000C00A6">
    <w:pPr>
      <w:pStyle w:val="Stopka"/>
    </w:pPr>
    <w:r w:rsidRPr="00191940">
      <w:rPr>
        <w:noProof/>
        <w:lang w:eastAsia="pl-PL"/>
      </w:rPr>
      <w:drawing>
        <wp:anchor distT="0" distB="0" distL="114300" distR="114300" simplePos="0" relativeHeight="251659264" behindDoc="1" locked="0" layoutInCell="1" allowOverlap="1">
          <wp:simplePos x="0" y="0"/>
          <wp:positionH relativeFrom="column">
            <wp:posOffset>-3810</wp:posOffset>
          </wp:positionH>
          <wp:positionV relativeFrom="paragraph">
            <wp:posOffset>-603250</wp:posOffset>
          </wp:positionV>
          <wp:extent cx="5400040" cy="658045"/>
          <wp:effectExtent l="0" t="0" r="0" b="8890"/>
          <wp:wrapNone/>
          <wp:docPr id="2" name="Obraz 2" descr="C:\Users\s.barycki\Documents\b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rycki\Documents\bdg.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00040" cy="658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A2" w:rsidRDefault="000664A2">
      <w:pPr>
        <w:spacing w:after="0" w:line="240" w:lineRule="auto"/>
      </w:pPr>
      <w:r>
        <w:separator/>
      </w:r>
    </w:p>
  </w:footnote>
  <w:footnote w:type="continuationSeparator" w:id="0">
    <w:p w:rsidR="000664A2" w:rsidRDefault="00066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DC" w:rsidRDefault="000C00A6">
    <w:pPr>
      <w:pStyle w:val="Nagwek"/>
    </w:pPr>
    <w:r w:rsidRPr="00E104F2">
      <w:rPr>
        <w:noProof/>
        <w:lang w:eastAsia="pl-PL"/>
      </w:rPr>
      <w:drawing>
        <wp:anchor distT="0" distB="0" distL="114300" distR="114300" simplePos="0" relativeHeight="251658240" behindDoc="0" locked="0" layoutInCell="1" allowOverlap="1">
          <wp:simplePos x="0" y="0"/>
          <wp:positionH relativeFrom="column">
            <wp:posOffset>-39259</wp:posOffset>
          </wp:positionH>
          <wp:positionV relativeFrom="paragraph">
            <wp:posOffset>91440</wp:posOffset>
          </wp:positionV>
          <wp:extent cx="1747280" cy="1044670"/>
          <wp:effectExtent l="0" t="0" r="0" b="0"/>
          <wp:wrapNone/>
          <wp:docPr id="3" name="Obraz 3" descr="G:\!!grafika MZ\bfg_fz-z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ka MZ\bfg_fz-ze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47280" cy="104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03C"/>
    <w:multiLevelType w:val="hybridMultilevel"/>
    <w:tmpl w:val="CAB658DC"/>
    <w:lvl w:ilvl="0" w:tplc="149634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615DD3"/>
    <w:multiLevelType w:val="hybridMultilevel"/>
    <w:tmpl w:val="96B63D54"/>
    <w:lvl w:ilvl="0" w:tplc="01C069C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 w15:restartNumberingAfterBreak="0">
    <w:nsid w:val="0DF234C2"/>
    <w:multiLevelType w:val="hybridMultilevel"/>
    <w:tmpl w:val="6046F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BB218B"/>
    <w:multiLevelType w:val="hybridMultilevel"/>
    <w:tmpl w:val="D62C0F9C"/>
    <w:lvl w:ilvl="0" w:tplc="36388F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CC703E3"/>
    <w:multiLevelType w:val="hybridMultilevel"/>
    <w:tmpl w:val="8C44A462"/>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 w15:restartNumberingAfterBreak="0">
    <w:nsid w:val="2F271D96"/>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3DF3A96"/>
    <w:multiLevelType w:val="hybridMultilevel"/>
    <w:tmpl w:val="A5F2C3F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90A6836"/>
    <w:multiLevelType w:val="hybridMultilevel"/>
    <w:tmpl w:val="E4FC17F2"/>
    <w:lvl w:ilvl="0" w:tplc="04150001">
      <w:start w:val="1"/>
      <w:numFmt w:val="bullet"/>
      <w:lvlText w:val=""/>
      <w:lvlJc w:val="left"/>
      <w:pPr>
        <w:ind w:left="360" w:hanging="360"/>
      </w:pPr>
      <w:rPr>
        <w:rFonts w:ascii="Symbol" w:hAnsi="Symbol" w:hint="default"/>
      </w:rPr>
    </w:lvl>
    <w:lvl w:ilvl="1" w:tplc="0068F5D4">
      <w:numFmt w:val="bullet"/>
      <w:lvlText w:val="·"/>
      <w:lvlJc w:val="left"/>
      <w:pPr>
        <w:ind w:left="1080" w:hanging="360"/>
      </w:pPr>
      <w:rPr>
        <w:rFonts w:ascii="Calibri" w:eastAsiaTheme="minorHAnsi" w:hAnsi="Calibri" w:cs="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F7631D7"/>
    <w:multiLevelType w:val="hybridMultilevel"/>
    <w:tmpl w:val="883C0BEE"/>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 w15:restartNumberingAfterBreak="0">
    <w:nsid w:val="54AF1004"/>
    <w:multiLevelType w:val="hybridMultilevel"/>
    <w:tmpl w:val="0E763A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D35797"/>
    <w:multiLevelType w:val="hybridMultilevel"/>
    <w:tmpl w:val="FA4A9FB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 w15:restartNumberingAfterBreak="0">
    <w:nsid w:val="5C8E0EBD"/>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3B90234"/>
    <w:multiLevelType w:val="hybridMultilevel"/>
    <w:tmpl w:val="0ECC28C0"/>
    <w:lvl w:ilvl="0" w:tplc="D6425D3A">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3" w15:restartNumberingAfterBreak="0">
    <w:nsid w:val="6849128A"/>
    <w:multiLevelType w:val="hybridMultilevel"/>
    <w:tmpl w:val="DD0EE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121009"/>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80C4839"/>
    <w:multiLevelType w:val="hybridMultilevel"/>
    <w:tmpl w:val="4404D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02498D"/>
    <w:multiLevelType w:val="hybridMultilevel"/>
    <w:tmpl w:val="8FB0F77E"/>
    <w:lvl w:ilvl="0" w:tplc="6002B49E">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5"/>
  </w:num>
  <w:num w:numId="5">
    <w:abstractNumId w:val="15"/>
  </w:num>
  <w:num w:numId="6">
    <w:abstractNumId w:val="10"/>
  </w:num>
  <w:num w:numId="7">
    <w:abstractNumId w:val="3"/>
  </w:num>
  <w:num w:numId="8">
    <w:abstractNumId w:val="14"/>
  </w:num>
  <w:num w:numId="9">
    <w:abstractNumId w:val="11"/>
  </w:num>
  <w:num w:numId="10">
    <w:abstractNumId w:val="0"/>
  </w:num>
  <w:num w:numId="11">
    <w:abstractNumId w:val="13"/>
  </w:num>
  <w:num w:numId="12">
    <w:abstractNumId w:val="2"/>
  </w:num>
  <w:num w:numId="13">
    <w:abstractNumId w:val="4"/>
  </w:num>
  <w:num w:numId="14">
    <w:abstractNumId w:val="12"/>
  </w:num>
  <w:num w:numId="15">
    <w:abstractNumId w:val="7"/>
  </w:num>
  <w:num w:numId="16">
    <w:abstractNumId w:val="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formatting="1" w:enforcement="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93"/>
    <w:rsid w:val="000664A2"/>
    <w:rsid w:val="00094C26"/>
    <w:rsid w:val="000B6316"/>
    <w:rsid w:val="000C00A6"/>
    <w:rsid w:val="000C63AB"/>
    <w:rsid w:val="0012017B"/>
    <w:rsid w:val="00121C52"/>
    <w:rsid w:val="00124A93"/>
    <w:rsid w:val="00211CD7"/>
    <w:rsid w:val="003A6A1F"/>
    <w:rsid w:val="004F6073"/>
    <w:rsid w:val="005B2B19"/>
    <w:rsid w:val="005E3EAA"/>
    <w:rsid w:val="00644930"/>
    <w:rsid w:val="00682279"/>
    <w:rsid w:val="007802E7"/>
    <w:rsid w:val="007903C7"/>
    <w:rsid w:val="007E390C"/>
    <w:rsid w:val="008501C5"/>
    <w:rsid w:val="00885C9D"/>
    <w:rsid w:val="008C243C"/>
    <w:rsid w:val="00A00F6A"/>
    <w:rsid w:val="00A27C26"/>
    <w:rsid w:val="00CC2D1B"/>
    <w:rsid w:val="00D41DE1"/>
    <w:rsid w:val="00EB1E03"/>
    <w:rsid w:val="00F7479A"/>
    <w:rsid w:val="00F86F86"/>
    <w:rsid w:val="00F94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9152C-C663-4EAE-A24C-7265E09F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F5AF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7BE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27BE3"/>
    <w:rPr>
      <w:rFonts w:ascii="Tahoma" w:hAnsi="Tahoma" w:cs="Tahoma"/>
      <w:sz w:val="16"/>
      <w:szCs w:val="16"/>
    </w:rPr>
  </w:style>
  <w:style w:type="character" w:styleId="Tekstzastpczy">
    <w:name w:val="Placeholder Text"/>
    <w:uiPriority w:val="99"/>
    <w:semiHidden/>
    <w:rsid w:val="002C05F4"/>
    <w:rPr>
      <w:color w:val="808080"/>
    </w:rPr>
  </w:style>
  <w:style w:type="paragraph" w:customStyle="1" w:styleId="adresat">
    <w:name w:val="adresat"/>
    <w:basedOn w:val="Normalny"/>
    <w:link w:val="adresatZnak"/>
    <w:rsid w:val="00E441AC"/>
    <w:pPr>
      <w:spacing w:after="120" w:line="360" w:lineRule="auto"/>
    </w:pPr>
  </w:style>
  <w:style w:type="paragraph" w:customStyle="1" w:styleId="pismamz">
    <w:name w:val="pisma_mz"/>
    <w:basedOn w:val="Normalny"/>
    <w:link w:val="pismamzZnak"/>
    <w:qFormat/>
    <w:rsid w:val="003F4345"/>
    <w:pPr>
      <w:spacing w:after="0" w:line="360" w:lineRule="auto"/>
      <w:contextualSpacing/>
      <w:jc w:val="both"/>
    </w:pPr>
    <w:rPr>
      <w:rFonts w:ascii="Arial" w:hAnsi="Arial"/>
    </w:rPr>
  </w:style>
  <w:style w:type="character" w:customStyle="1" w:styleId="adresatZnak">
    <w:name w:val="adresat Znak"/>
    <w:basedOn w:val="Domylnaczcionkaakapitu"/>
    <w:link w:val="adresat"/>
    <w:rsid w:val="00E441AC"/>
  </w:style>
  <w:style w:type="character" w:customStyle="1" w:styleId="pismamzZnak">
    <w:name w:val="pisma_mz Znak"/>
    <w:link w:val="pismamz"/>
    <w:rsid w:val="003F4345"/>
    <w:rPr>
      <w:rFonts w:ascii="Arial" w:hAnsi="Arial"/>
    </w:rPr>
  </w:style>
  <w:style w:type="paragraph" w:styleId="Nagwek">
    <w:name w:val="header"/>
    <w:basedOn w:val="Normalny"/>
    <w:link w:val="NagwekZnak"/>
    <w:uiPriority w:val="99"/>
    <w:unhideWhenUsed/>
    <w:rsid w:val="005179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930"/>
  </w:style>
  <w:style w:type="paragraph" w:styleId="Stopka">
    <w:name w:val="footer"/>
    <w:basedOn w:val="Normalny"/>
    <w:link w:val="StopkaZnak"/>
    <w:uiPriority w:val="99"/>
    <w:unhideWhenUsed/>
    <w:rsid w:val="005179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930"/>
  </w:style>
  <w:style w:type="paragraph" w:styleId="Akapitzlist">
    <w:name w:val="List Paragraph"/>
    <w:basedOn w:val="Normalny"/>
    <w:uiPriority w:val="34"/>
    <w:qFormat/>
    <w:rsid w:val="005E3EAA"/>
    <w:pPr>
      <w:ind w:left="720"/>
      <w:contextualSpacing/>
    </w:pPr>
  </w:style>
  <w:style w:type="character" w:styleId="Wyrnieniedelikatne">
    <w:name w:val="Subtle Emphasis"/>
    <w:basedOn w:val="Domylnaczcionkaakapitu"/>
    <w:uiPriority w:val="19"/>
    <w:qFormat/>
    <w:rsid w:val="00F7479A"/>
    <w:rPr>
      <w:i/>
      <w:iCs/>
      <w:color w:val="404040" w:themeColor="text1" w:themeTint="BF"/>
    </w:rPr>
  </w:style>
  <w:style w:type="paragraph" w:customStyle="1" w:styleId="Default">
    <w:name w:val="Default"/>
    <w:rsid w:val="00121C52"/>
    <w:pPr>
      <w:autoSpaceDE w:val="0"/>
      <w:autoSpaceDN w:val="0"/>
      <w:adjustRightInd w:val="0"/>
    </w:pPr>
    <w:rPr>
      <w:rFonts w:ascii="Garamond" w:eastAsiaTheme="minorHAnsi" w:hAnsi="Garamond" w:cs="Garamond"/>
      <w:color w:val="000000"/>
      <w:sz w:val="24"/>
      <w:szCs w:val="24"/>
      <w:lang w:eastAsia="en-US"/>
    </w:rPr>
  </w:style>
  <w:style w:type="paragraph" w:styleId="Tekstkomentarza">
    <w:name w:val="annotation text"/>
    <w:basedOn w:val="Normalny"/>
    <w:link w:val="TekstkomentarzaZnak"/>
    <w:uiPriority w:val="99"/>
    <w:unhideWhenUsed/>
    <w:rsid w:val="00121C52"/>
    <w:pPr>
      <w:spacing w:line="240" w:lineRule="auto"/>
    </w:pPr>
    <w:rPr>
      <w:sz w:val="20"/>
      <w:szCs w:val="20"/>
    </w:rPr>
  </w:style>
  <w:style w:type="character" w:customStyle="1" w:styleId="TekstkomentarzaZnak">
    <w:name w:val="Tekst komentarza Znak"/>
    <w:basedOn w:val="Domylnaczcionkaakapitu"/>
    <w:link w:val="Tekstkomentarza"/>
    <w:uiPriority w:val="99"/>
    <w:rsid w:val="00121C52"/>
    <w:rPr>
      <w:lang w:eastAsia="en-US"/>
    </w:rPr>
  </w:style>
  <w:style w:type="paragraph" w:styleId="Tekstprzypisukocowego">
    <w:name w:val="endnote text"/>
    <w:basedOn w:val="Normalny"/>
    <w:link w:val="TekstprzypisukocowegoZnak"/>
    <w:uiPriority w:val="99"/>
    <w:semiHidden/>
    <w:unhideWhenUsed/>
    <w:rsid w:val="00A27C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7C26"/>
    <w:rPr>
      <w:lang w:eastAsia="en-US"/>
    </w:rPr>
  </w:style>
  <w:style w:type="character" w:styleId="Odwoanieprzypisukocowego">
    <w:name w:val="endnote reference"/>
    <w:basedOn w:val="Domylnaczcionkaakapitu"/>
    <w:uiPriority w:val="99"/>
    <w:semiHidden/>
    <w:unhideWhenUsed/>
    <w:rsid w:val="00A27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0415">
      <w:bodyDiv w:val="1"/>
      <w:marLeft w:val="0"/>
      <w:marRight w:val="0"/>
      <w:marTop w:val="0"/>
      <w:marBottom w:val="0"/>
      <w:divBdr>
        <w:top w:val="none" w:sz="0" w:space="0" w:color="auto"/>
        <w:left w:val="none" w:sz="0" w:space="0" w:color="auto"/>
        <w:bottom w:val="none" w:sz="0" w:space="0" w:color="auto"/>
        <w:right w:val="none" w:sz="0" w:space="0" w:color="auto"/>
      </w:divBdr>
    </w:div>
    <w:div w:id="9265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D17E1-8E03-434F-B5CD-2B258027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3829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Barycki Sebastian</dc:creator>
  <cp:lastModifiedBy>Bulwan Szymon</cp:lastModifiedBy>
  <cp:revision>2</cp:revision>
  <cp:lastPrinted>2018-04-27T08:07:00Z</cp:lastPrinted>
  <dcterms:created xsi:type="dcterms:W3CDTF">2018-06-29T11:52:00Z</dcterms:created>
  <dcterms:modified xsi:type="dcterms:W3CDTF">2018-06-29T11:52:00Z</dcterms:modified>
</cp:coreProperties>
</file>