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DA4170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A4170">
              <w:t xml:space="preserve"> </w:t>
            </w:r>
            <w:r w:rsidR="00DA4170" w:rsidRPr="00DA417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uchwały Rady Ministrów w sprawie przyjęcia projektu programu „Fundusze Europejsk</w:t>
            </w:r>
            <w:r w:rsidR="00DA417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ie na Rozwój Cyfrowy 2021–2027”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D6B17" w:rsidRPr="00A06425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55B3">
              <w:rPr>
                <w:rFonts w:asciiTheme="minorHAnsi" w:hAnsiTheme="minorHAnsi" w:cstheme="minorHAnsi"/>
                <w:sz w:val="22"/>
                <w:szCs w:val="22"/>
              </w:rPr>
              <w:t>Tymczasem tylko 20% jednostek administracji samorządowej posiadało politykę lub strategię otwierania danych, podczas gdy w administracji rządowej miała ją blisko połowa podmiotów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(s. 12)</w:t>
            </w:r>
          </w:p>
        </w:tc>
        <w:tc>
          <w:tcPr>
            <w:tcW w:w="4678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wskazano roku, do którego odnoszą się statystyki. </w:t>
            </w:r>
          </w:p>
        </w:tc>
        <w:tc>
          <w:tcPr>
            <w:tcW w:w="5812" w:type="dxa"/>
            <w:shd w:val="clear" w:color="auto" w:fill="auto"/>
          </w:tcPr>
          <w:p w:rsidR="009D6B17" w:rsidRPr="00696F30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F30">
              <w:rPr>
                <w:rFonts w:asciiTheme="minorHAnsi" w:hAnsiTheme="minorHAnsi" w:cstheme="minorHAnsi"/>
                <w:sz w:val="22"/>
                <w:szCs w:val="22"/>
              </w:rPr>
              <w:t>Tymczasem</w:t>
            </w:r>
            <w:r w:rsidRPr="00696F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2020 r.</w:t>
            </w:r>
            <w:r w:rsidRPr="00696F30">
              <w:rPr>
                <w:rFonts w:asciiTheme="minorHAnsi" w:hAnsiTheme="minorHAnsi" w:cstheme="minorHAnsi"/>
                <w:sz w:val="22"/>
                <w:szCs w:val="22"/>
              </w:rPr>
              <w:t xml:space="preserve"> tylko 20% jednostek administracji samorządowej posiadało politykę lub strategię otwierania danych, podczas gdy w administracji rządowej miała ją blisko połowa podmiotów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D6B17" w:rsidRPr="00A06425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700D">
              <w:rPr>
                <w:rFonts w:asciiTheme="minorHAnsi" w:hAnsiTheme="minorHAnsi" w:cstheme="minorHAnsi"/>
                <w:sz w:val="22"/>
                <w:szCs w:val="22"/>
              </w:rPr>
              <w:t xml:space="preserve">Konieczne jest wsparcie rozwoju infrastruktury służącej wymianie danych oraz projektów sektora publicznego i prywatnego, które pozwolą na szersze użycie zbiorów danych przez administrację i </w:t>
            </w:r>
            <w:r w:rsidRPr="00C270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przedsiębiorstwa.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(s. 12)</w:t>
            </w:r>
          </w:p>
        </w:tc>
        <w:tc>
          <w:tcPr>
            <w:tcW w:w="4678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Sugerujemy na końcu wskazanego fragmentu dodać zapis dot. pofragmentowania infrastruktury. </w:t>
            </w:r>
          </w:p>
        </w:tc>
        <w:tc>
          <w:tcPr>
            <w:tcW w:w="5812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tym kontekście należy podjąć działania mające na celu sfederowanie już istniejących, ale pofragmentowanych infrastruktur informatycznych i bazodanowych.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D6B17" w:rsidRPr="00A06425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  <w:r w:rsidR="00F10F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F2372">
              <w:rPr>
                <w:rFonts w:asciiTheme="minorHAnsi" w:hAnsiTheme="minorHAnsi" w:cstheme="minorHAnsi"/>
                <w:sz w:val="22"/>
                <w:szCs w:val="22"/>
              </w:rPr>
              <w:t>Badanie poziomu adopcji cyfrowej transformacji w Polsce wskazuje na zaufanie rodzimych organizacji do tych zjawisk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(IDC CEE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Transformation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Survey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 2017)</w:t>
            </w:r>
          </w:p>
          <w:p w:rsidR="003E2E4F" w:rsidRPr="009F2372" w:rsidRDefault="003E2E4F" w:rsidP="009D6B1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(s.13)</w:t>
            </w:r>
          </w:p>
        </w:tc>
        <w:tc>
          <w:tcPr>
            <w:tcW w:w="4678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Odwoływanie się do statystyk z 2017 r. wydaje się już nieadekwatne pod koniec 2021 r. Sugerujemy aktualizację. </w:t>
            </w:r>
          </w:p>
        </w:tc>
        <w:tc>
          <w:tcPr>
            <w:tcW w:w="5812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D6B17" w:rsidRPr="00A06425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20C1">
              <w:rPr>
                <w:rFonts w:asciiTheme="minorHAnsi" w:hAnsiTheme="minorHAnsi" w:cstheme="minorHAnsi"/>
                <w:sz w:val="22"/>
                <w:szCs w:val="22"/>
              </w:rPr>
              <w:t>Otwartość polskich organizacji na procesy cyfrowej transformacji wpływa korzystnie na oczekiwany wysoki poziom wykorzystania innowacyjnych rozwiązań cyfrowych. Obecnie ich użycie nie jest zbyt duże. Potwierdza to raport Indeks gospodarki cyfrowej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 (s. 13)</w:t>
            </w:r>
          </w:p>
        </w:tc>
        <w:tc>
          <w:tcPr>
            <w:tcW w:w="4678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Nawiązując do </w:t>
            </w:r>
            <w:r w:rsidR="00897AA0">
              <w:rPr>
                <w:rFonts w:asciiTheme="minorHAnsi" w:hAnsiTheme="minorHAnsi" w:cstheme="minorHAnsi"/>
                <w:sz w:val="22"/>
                <w:szCs w:val="22"/>
              </w:rPr>
              <w:t>uwagi 3 – autorzy, opierając 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ę na danych z 2017 r.,  wskazują na „wysoką otwartość </w:t>
            </w:r>
            <w:r w:rsidRPr="00BF20C1">
              <w:rPr>
                <w:rFonts w:asciiTheme="minorHAnsi" w:hAnsiTheme="minorHAnsi" w:cstheme="minorHAnsi"/>
                <w:sz w:val="22"/>
                <w:szCs w:val="22"/>
              </w:rPr>
              <w:t>polskich organizacji na procesy cyfrowej transformacji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i „oczekiwany wysoki poziom, wykorzystania innowacyjnych rozwiązań”. Następnie, przyznają oni, że w 2020 r. poziom ten „nie jest zbyt duży”. Brak komentarza na temat przyczyn tego, że pomimo uzasadnionych wysokich oczekiwań z 2017 r. , cztery lata później nie zostały one spełnione. </w:t>
            </w:r>
          </w:p>
        </w:tc>
        <w:tc>
          <w:tcPr>
            <w:tcW w:w="5812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 skorzystanie z nowszych statystyk. Jednocześnie, konieczne może być przeredagowanie akapitu, aby odnieść się do rozdźwięku pomiędzy oczekiwaniami z 2017 r, a rzeczywistością roku 2020.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D6B17" w:rsidRPr="00A06425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4174">
              <w:rPr>
                <w:rFonts w:asciiTheme="minorHAnsi" w:hAnsiTheme="minorHAnsi" w:cstheme="minorHAnsi"/>
                <w:sz w:val="22"/>
                <w:szCs w:val="22"/>
              </w:rPr>
              <w:t xml:space="preserve">Oparte na systemach łączności najnowszych </w:t>
            </w:r>
            <w:r w:rsidRPr="008D41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generacji rozwiązania umożliwią powstanie nowoczesnego społeczeństwa informacyjnego.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(s. 13)</w:t>
            </w:r>
          </w:p>
        </w:tc>
        <w:tc>
          <w:tcPr>
            <w:tcW w:w="4678" w:type="dxa"/>
            <w:shd w:val="clear" w:color="auto" w:fill="auto"/>
          </w:tcPr>
          <w:p w:rsidR="009D6B17" w:rsidRPr="00A06425" w:rsidRDefault="00D46F72" w:rsidP="00D46F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Taka redakcja zdania sugerowałaby</w:t>
            </w:r>
            <w:r w:rsidR="009D6B17">
              <w:rPr>
                <w:rFonts w:asciiTheme="minorHAnsi" w:hAnsiTheme="minorHAnsi" w:cstheme="minorHAnsi"/>
                <w:sz w:val="22"/>
                <w:szCs w:val="22"/>
              </w:rPr>
              <w:t xml:space="preserve"> wskazanie przykładów rozwiązań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które umożliwią powstanie nowoczesnego społeczeństwa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informacyjnego</w:t>
            </w:r>
            <w:r w:rsidR="009D6B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6B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Konieczne jest doprecyzowanie</w:t>
            </w:r>
            <w:r w:rsidR="00A37A1E">
              <w:rPr>
                <w:rFonts w:asciiTheme="minorHAnsi" w:hAnsiTheme="minorHAnsi" w:cstheme="minorHAnsi"/>
                <w:sz w:val="22"/>
                <w:szCs w:val="22"/>
              </w:rPr>
              <w:t xml:space="preserve"> i wskazanie przykładów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E63B7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D6B17" w:rsidRPr="00E63B7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E63B7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Współpraca międzysektorowa w obszarze cyfryzacji obejmująca w szczególności administrację publiczną, przedsiębiorców, uczelnie i podmioty nauki*</w:t>
            </w:r>
          </w:p>
          <w:p w:rsidR="009D6B17" w:rsidRDefault="00E63B7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(s. 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cały dokument</w:t>
            </w: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63B77" w:rsidRPr="00E63B77" w:rsidRDefault="00E63B7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D6B17" w:rsidRPr="00E63B7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*Podmioty wchodzące w skład systemu szkolnictwa wyższego i nauki zgodnie z Prawem o szkolnictwie wyższym i nauce (</w:t>
            </w:r>
            <w:r w:rsidR="00E63B77" w:rsidRPr="00E63B77">
              <w:rPr>
                <w:rFonts w:asciiTheme="minorHAnsi" w:hAnsiTheme="minorHAnsi" w:cstheme="minorHAnsi"/>
                <w:sz w:val="22"/>
                <w:szCs w:val="22"/>
              </w:rPr>
              <w:t>Dz. U. z 2021 r. poz. 478, 619, 1630</w:t>
            </w:r>
            <w:r w:rsidR="00E63B7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63B77" w:rsidRPr="00E63B77" w:rsidRDefault="00E63B77" w:rsidP="00E63B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Suger</w:t>
            </w:r>
            <w:r w:rsidR="00DA4170" w:rsidRPr="00E63B77">
              <w:rPr>
                <w:rFonts w:asciiTheme="minorHAnsi" w:hAnsiTheme="minorHAnsi" w:cstheme="minorHAnsi"/>
                <w:sz w:val="22"/>
                <w:szCs w:val="22"/>
              </w:rPr>
              <w:t xml:space="preserve">ujemy </w:t>
            </w:r>
            <w:r w:rsidR="00E63B77">
              <w:rPr>
                <w:rFonts w:asciiTheme="minorHAnsi" w:hAnsiTheme="minorHAnsi" w:cstheme="minorHAnsi"/>
                <w:sz w:val="22"/>
                <w:szCs w:val="22"/>
              </w:rPr>
              <w:t xml:space="preserve">w przytoczonym zdaniu oraz całym tekście </w:t>
            </w:r>
            <w:r w:rsidR="00DA4170" w:rsidRPr="00E63B77">
              <w:rPr>
                <w:rFonts w:asciiTheme="minorHAnsi" w:hAnsiTheme="minorHAnsi" w:cstheme="minorHAnsi"/>
                <w:sz w:val="22"/>
                <w:szCs w:val="22"/>
              </w:rPr>
              <w:t xml:space="preserve">zmianę zapisu na </w:t>
            </w: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>odpowiadający nomenklaturze stosowanej w ustawie Prawo o szkolnictwie wyższym i nauce</w:t>
            </w:r>
            <w:r w:rsidR="00862D7D">
              <w:rPr>
                <w:rFonts w:asciiTheme="minorHAnsi" w:hAnsiTheme="minorHAnsi" w:cstheme="minorHAnsi"/>
                <w:sz w:val="22"/>
                <w:szCs w:val="22"/>
              </w:rPr>
              <w:t>, tzn.</w:t>
            </w:r>
          </w:p>
          <w:p w:rsidR="00862D7D" w:rsidRPr="00862D7D" w:rsidRDefault="00862D7D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2D7D">
              <w:rPr>
                <w:rFonts w:asciiTheme="minorHAnsi" w:hAnsiTheme="minorHAnsi" w:cstheme="minorHAnsi"/>
                <w:noProof/>
                <w:sz w:val="22"/>
                <w:lang w:bidi="pl-PL"/>
              </w:rPr>
              <w:t>podmioty systemu szkolnictwa wyższego i nauki lub podmioty wchodzące w skład systemu szkolnictwa wyższego i nauki</w:t>
            </w:r>
            <w:r>
              <w:rPr>
                <w:rFonts w:asciiTheme="minorHAnsi" w:hAnsiTheme="minorHAnsi" w:cstheme="minorHAnsi"/>
                <w:noProof/>
                <w:sz w:val="22"/>
                <w:lang w:bidi="pl-P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9D6B17" w:rsidRPr="00E63B77" w:rsidRDefault="009D6B17" w:rsidP="009D6B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sz w:val="22"/>
                <w:szCs w:val="22"/>
              </w:rPr>
              <w:t xml:space="preserve">Współpraca międzysektorowa w obszarze cyfryzacji obejmująca w szczególności administrację publiczną, przedsiębiorców </w:t>
            </w: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oraz</w:t>
            </w:r>
            <w:r w:rsidRPr="00E63B77">
              <w:rPr>
                <w:b/>
              </w:rPr>
              <w:t xml:space="preserve"> </w:t>
            </w: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podmioty wchodzące w skład systemu szkolnictwa wyższego i nauki. *</w:t>
            </w:r>
          </w:p>
          <w:p w:rsidR="009D6B17" w:rsidRPr="00E63B77" w:rsidRDefault="009D6B17" w:rsidP="009D6B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D6B17" w:rsidRPr="00E63B77" w:rsidRDefault="009D6B17" w:rsidP="009D6B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D6B17" w:rsidRPr="00E63B77" w:rsidRDefault="009D6B17" w:rsidP="00DA41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Pr="00E63B77">
              <w:t xml:space="preserve"> </w:t>
            </w: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o </w:t>
            </w:r>
            <w:r w:rsidR="00DA4170"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>szkolnictwie wyższym i nauce (Dz. U. z 2021 r. poz. 478, 619, 1630</w:t>
            </w:r>
            <w:r w:rsidRPr="00E63B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). 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7E322A">
              <w:rPr>
                <w:rFonts w:asciiTheme="minorHAnsi" w:hAnsiTheme="minorHAnsi" w:cstheme="minorHAnsi"/>
                <w:sz w:val="22"/>
                <w:szCs w:val="22"/>
              </w:rPr>
              <w:t xml:space="preserve">co będzie skutkowało przyspieszeniem rozwoju, a nawet </w:t>
            </w:r>
            <w:r w:rsidRPr="007E3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przekształceniem takich obszarów jak np.: motoryzacja, e-zdrowie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9D6B17" w:rsidRPr="008D4174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14)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Sugerujemy usunięcie zapisu o przekształceniu obszarów gospodarki, lub wyjaśnienie, o jakim przekształceniu mowa. Obecnie st</w:t>
            </w:r>
            <w:r w:rsidR="00897AA0">
              <w:rPr>
                <w:rFonts w:asciiTheme="minorHAnsi" w:hAnsiTheme="minorHAnsi" w:cstheme="minorHAnsi"/>
                <w:sz w:val="22"/>
                <w:szCs w:val="22"/>
              </w:rPr>
              <w:t>anowi on jedynie wypełniacz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wzbogacający treści.</w:t>
            </w:r>
          </w:p>
        </w:tc>
        <w:tc>
          <w:tcPr>
            <w:tcW w:w="5812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7E322A">
              <w:rPr>
                <w:rFonts w:asciiTheme="minorHAnsi" w:hAnsiTheme="minorHAnsi" w:cstheme="minorHAnsi"/>
                <w:sz w:val="22"/>
                <w:szCs w:val="22"/>
              </w:rPr>
              <w:t>co będzie skutkowało przyspieszeniem rozwoju</w:t>
            </w:r>
            <w:r w:rsidRPr="00D460D7">
              <w:rPr>
                <w:rFonts w:asciiTheme="minorHAnsi" w:hAnsiTheme="minorHAnsi" w:cstheme="minorHAnsi"/>
                <w:b/>
                <w:strike/>
                <w:sz w:val="22"/>
                <w:szCs w:val="22"/>
              </w:rPr>
              <w:t>, a nawet przekształceniem</w:t>
            </w:r>
            <w:r w:rsidRPr="007E322A">
              <w:rPr>
                <w:rFonts w:asciiTheme="minorHAnsi" w:hAnsiTheme="minorHAnsi" w:cstheme="minorHAnsi"/>
                <w:sz w:val="22"/>
                <w:szCs w:val="22"/>
              </w:rPr>
              <w:t xml:space="preserve"> takich obszarów jak np.: motoryzacja, e-zdrowie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Pr="00A06425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Pr="008D4174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2A0">
              <w:rPr>
                <w:rFonts w:asciiTheme="minorHAnsi" w:hAnsiTheme="minorHAnsi" w:cstheme="minorHAnsi"/>
                <w:sz w:val="22"/>
                <w:szCs w:val="22"/>
              </w:rPr>
              <w:t>Dzięki rozwojowi technologii informacyjno-komunikacyjnych miasta będą mogły stać się bardziej przyjazne mieszkańcom, lepiej zorganizowane i efektywniej wykorzystujące dostępne zasoby.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(s. 14) 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Niepoprawne uzgodnienie: „miasta będą mogły stać się (…) efektywniej wykorzystujące dostępne zasoby”.</w:t>
            </w:r>
          </w:p>
        </w:tc>
        <w:tc>
          <w:tcPr>
            <w:tcW w:w="5812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2A0">
              <w:rPr>
                <w:rFonts w:asciiTheme="minorHAnsi" w:hAnsiTheme="minorHAnsi" w:cstheme="minorHAnsi"/>
                <w:sz w:val="22"/>
                <w:szCs w:val="22"/>
              </w:rPr>
              <w:t xml:space="preserve">Dzięki rozwojowi technologii informacyjno-komunikacyjnych miasta będą mogły stać się bardziej przyjazne mieszkańcom, lepiej zorganizowane i efektywniej </w:t>
            </w:r>
            <w:r w:rsidRPr="00413B40">
              <w:rPr>
                <w:rFonts w:asciiTheme="minorHAnsi" w:hAnsiTheme="minorHAnsi" w:cstheme="minorHAnsi"/>
                <w:b/>
                <w:sz w:val="22"/>
                <w:szCs w:val="22"/>
              </w:rPr>
              <w:t>wykorzystywać</w:t>
            </w:r>
            <w:r w:rsidRPr="003802A0">
              <w:rPr>
                <w:rFonts w:asciiTheme="minorHAnsi" w:hAnsiTheme="minorHAnsi" w:cstheme="minorHAnsi"/>
                <w:sz w:val="22"/>
                <w:szCs w:val="22"/>
              </w:rPr>
              <w:t xml:space="preserve"> dostępne zasoby.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491C">
              <w:rPr>
                <w:rFonts w:asciiTheme="minorHAnsi" w:hAnsiTheme="minorHAnsi" w:cstheme="minorHAnsi"/>
                <w:sz w:val="22"/>
                <w:szCs w:val="22"/>
              </w:rPr>
              <w:t xml:space="preserve">Instytucje i społeczeństwo stają wobec wyzwania sprostania potrzebom zmian, w tym zapotrzebowaniu na pracowników o wyższych kompetencjach cyfrowych - szczególnie mając na uwadze niedostosowanie poziomu kompetencji osób aktywnych </w:t>
            </w:r>
            <w:r w:rsidRPr="00D049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zawodowo, w tym pracowników administracji publicznej.</w:t>
            </w:r>
          </w:p>
          <w:p w:rsidR="009D6B17" w:rsidRPr="003802A0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14)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Sugerowana zmiana zapisu. </w:t>
            </w:r>
          </w:p>
        </w:tc>
        <w:tc>
          <w:tcPr>
            <w:tcW w:w="5812" w:type="dxa"/>
            <w:shd w:val="clear" w:color="auto" w:fill="auto"/>
          </w:tcPr>
          <w:p w:rsidR="009D6B17" w:rsidRPr="00696F30" w:rsidRDefault="005E2A31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F30">
              <w:rPr>
                <w:rFonts w:asciiTheme="minorHAnsi" w:hAnsiTheme="minorHAnsi" w:cstheme="minorHAnsi"/>
                <w:sz w:val="22"/>
                <w:szCs w:val="22"/>
              </w:rPr>
              <w:t>Instytucje i społeczeństwo muszą</w:t>
            </w:r>
            <w:r w:rsidR="009D6B17" w:rsidRPr="00696F30">
              <w:rPr>
                <w:rFonts w:asciiTheme="minorHAnsi" w:hAnsiTheme="minorHAnsi" w:cstheme="minorHAnsi"/>
                <w:sz w:val="22"/>
                <w:szCs w:val="22"/>
              </w:rPr>
              <w:t xml:space="preserve"> stawić czoła zmianom, takim jak rosnące zapotrzebowanie na pracowników o wyższych kompetencjach cyfrowych. Jest to szczególnie ważne w kontekście niewystraczającego poziomu kompetencji cyfrowych u osób aktywnych zawodowo (w tym pracowników administracji publicznej).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222">
              <w:rPr>
                <w:rFonts w:asciiTheme="minorHAnsi" w:hAnsiTheme="minorHAnsi" w:cstheme="minorHAnsi"/>
                <w:sz w:val="22"/>
                <w:szCs w:val="22"/>
              </w:rPr>
              <w:t>Oznacza to, że bez znajomości korzystania z nowoczesnych  technologii niemożliwe stanie się efektywne świadczenie pracy.</w:t>
            </w:r>
          </w:p>
          <w:p w:rsidR="009D6B17" w:rsidRPr="003802A0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14)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Sugerowana zmiana zapisu.</w:t>
            </w:r>
          </w:p>
        </w:tc>
        <w:tc>
          <w:tcPr>
            <w:tcW w:w="5812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222">
              <w:rPr>
                <w:rFonts w:asciiTheme="minorHAnsi" w:hAnsiTheme="minorHAnsi" w:cstheme="minorHAnsi"/>
                <w:sz w:val="22"/>
                <w:szCs w:val="22"/>
              </w:rPr>
              <w:t xml:space="preserve">Oznacza to, że bez </w:t>
            </w:r>
            <w:r w:rsidRPr="00B26222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  <w:r w:rsidRPr="00B26222">
              <w:rPr>
                <w:rFonts w:asciiTheme="minorHAnsi" w:hAnsiTheme="minorHAnsi" w:cstheme="minorHAnsi"/>
                <w:sz w:val="22"/>
                <w:szCs w:val="22"/>
              </w:rPr>
              <w:t xml:space="preserve"> korzystania z nowoczesnych  technologii niemożliwe stanie się efektywne świadczenie pracy.</w:t>
            </w:r>
          </w:p>
          <w:p w:rsidR="009D6B17" w:rsidRPr="003802A0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633D">
              <w:rPr>
                <w:rFonts w:asciiTheme="minorHAnsi" w:hAnsiTheme="minorHAnsi" w:cstheme="minorHAnsi"/>
                <w:sz w:val="22"/>
                <w:szCs w:val="22"/>
              </w:rPr>
              <w:t xml:space="preserve">Dostęp do </w:t>
            </w:r>
            <w:proofErr w:type="spellStart"/>
            <w:r w:rsidRPr="0084633D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84633D">
              <w:rPr>
                <w:rFonts w:asciiTheme="minorHAnsi" w:hAnsiTheme="minorHAnsi" w:cstheme="minorHAnsi"/>
                <w:sz w:val="22"/>
                <w:szCs w:val="22"/>
              </w:rPr>
              <w:t xml:space="preserve"> staje się coraz bardziej powszechny.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(cały akapit)</w:t>
            </w:r>
          </w:p>
          <w:p w:rsidR="009D6B17" w:rsidRPr="00B26222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15)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zaprezentowanie statystyk przywołanych w tym akapicie w formie graficznej. </w:t>
            </w:r>
          </w:p>
        </w:tc>
        <w:tc>
          <w:tcPr>
            <w:tcW w:w="5812" w:type="dxa"/>
            <w:shd w:val="clear" w:color="auto" w:fill="auto"/>
          </w:tcPr>
          <w:p w:rsidR="009D6B17" w:rsidRPr="00B26222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F2F">
              <w:rPr>
                <w:rFonts w:asciiTheme="minorHAnsi" w:hAnsiTheme="minorHAnsi" w:cstheme="minorHAnsi"/>
                <w:sz w:val="22"/>
                <w:szCs w:val="22"/>
              </w:rPr>
              <w:t xml:space="preserve">Należy podkreślić, że indeks umiejętności cyfrowych wskazuje na wciąż niski odsetek osób posiadających co najmniej podstawowe umiejętności cyfrowe, który w 2020 r. wyniósł 50%, tj. o 6 </w:t>
            </w:r>
            <w:proofErr w:type="spellStart"/>
            <w:r w:rsidRPr="000B4F2F">
              <w:rPr>
                <w:rFonts w:asciiTheme="minorHAnsi" w:hAnsiTheme="minorHAnsi" w:cstheme="minorHAnsi"/>
                <w:sz w:val="22"/>
                <w:szCs w:val="22"/>
              </w:rPr>
              <w:t>p.p</w:t>
            </w:r>
            <w:proofErr w:type="spellEnd"/>
            <w:r w:rsidRPr="000B4F2F">
              <w:rPr>
                <w:rFonts w:asciiTheme="minorHAnsi" w:hAnsiTheme="minorHAnsi" w:cstheme="minorHAnsi"/>
                <w:sz w:val="22"/>
                <w:szCs w:val="22"/>
              </w:rPr>
              <w:t>. więcej niż rok wcześniej.</w:t>
            </w:r>
          </w:p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15)</w:t>
            </w:r>
          </w:p>
        </w:tc>
        <w:tc>
          <w:tcPr>
            <w:tcW w:w="4678" w:type="dxa"/>
            <w:shd w:val="clear" w:color="auto" w:fill="auto"/>
          </w:tcPr>
          <w:p w:rsidR="009D6B17" w:rsidRDefault="005E2A31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Sugerowana zmiana zapisu.</w:t>
            </w:r>
          </w:p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F2F">
              <w:rPr>
                <w:rFonts w:asciiTheme="minorHAnsi" w:hAnsiTheme="minorHAnsi" w:cstheme="minorHAnsi"/>
                <w:sz w:val="22"/>
                <w:szCs w:val="22"/>
              </w:rPr>
              <w:t>Należy podkreślić, że indeks umiejętności cyfrowych wskazuje na wciąż niski odsetek osób posiadających co najmniej podstawowe umiejętności cyfrowe</w:t>
            </w:r>
            <w:r w:rsidRPr="000B4F2F">
              <w:rPr>
                <w:rFonts w:asciiTheme="minorHAnsi" w:hAnsiTheme="minorHAnsi" w:cstheme="minorHAnsi"/>
                <w:b/>
                <w:sz w:val="22"/>
                <w:szCs w:val="22"/>
              </w:rPr>
              <w:t>. W</w:t>
            </w:r>
            <w:r w:rsidRPr="000B4F2F">
              <w:rPr>
                <w:rFonts w:asciiTheme="minorHAnsi" w:hAnsiTheme="minorHAnsi" w:cstheme="minorHAnsi"/>
                <w:sz w:val="22"/>
                <w:szCs w:val="22"/>
              </w:rPr>
              <w:t xml:space="preserve"> 2020 r. wyniósł </w:t>
            </w:r>
            <w:r w:rsidRPr="000B4F2F">
              <w:rPr>
                <w:rFonts w:asciiTheme="minorHAnsi" w:hAnsiTheme="minorHAnsi" w:cstheme="minorHAnsi"/>
                <w:b/>
                <w:sz w:val="22"/>
                <w:szCs w:val="22"/>
              </w:rPr>
              <w:t>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50%, tj. o 6 </w:t>
            </w:r>
            <w:proofErr w:type="spellStart"/>
            <w:r w:rsidRPr="00860F84">
              <w:rPr>
                <w:rFonts w:asciiTheme="minorHAnsi" w:hAnsiTheme="minorHAnsi" w:cstheme="minorHAnsi"/>
                <w:sz w:val="22"/>
                <w:szCs w:val="22"/>
              </w:rPr>
              <w:t>p.p</w:t>
            </w:r>
            <w:proofErr w:type="spellEnd"/>
            <w:r w:rsidRPr="00860F8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B4F2F">
              <w:rPr>
                <w:rFonts w:asciiTheme="minorHAnsi" w:hAnsiTheme="minorHAnsi" w:cstheme="minorHAnsi"/>
                <w:sz w:val="22"/>
                <w:szCs w:val="22"/>
              </w:rPr>
              <w:t xml:space="preserve"> więcej niż rok wcześniej.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B17" w:rsidRPr="00A06425" w:rsidTr="00A06425">
        <w:tc>
          <w:tcPr>
            <w:tcW w:w="562" w:type="dxa"/>
            <w:shd w:val="clear" w:color="auto" w:fill="auto"/>
          </w:tcPr>
          <w:p w:rsidR="009D6B17" w:rsidRDefault="009D6B17" w:rsidP="009D6B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shd w:val="clear" w:color="auto" w:fill="auto"/>
          </w:tcPr>
          <w:p w:rsidR="009D6B17" w:rsidRDefault="00E86612" w:rsidP="009D6B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  <w:r w:rsidR="00F10F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53EC">
              <w:rPr>
                <w:rFonts w:asciiTheme="minorHAnsi" w:hAnsiTheme="minorHAnsi" w:cstheme="minorHAnsi"/>
                <w:sz w:val="22"/>
                <w:szCs w:val="22"/>
              </w:rPr>
              <w:t>Promowane będzie również udostępnianie danych prywatnych instytucjom publicznym, podmiotom systemu szkolnictwa wyższego i nauki w celu realizacji interesu publicznego.</w:t>
            </w:r>
          </w:p>
          <w:p w:rsidR="009D6B17" w:rsidRPr="000B4F2F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37)</w:t>
            </w:r>
          </w:p>
        </w:tc>
        <w:tc>
          <w:tcPr>
            <w:tcW w:w="4678" w:type="dxa"/>
            <w:shd w:val="clear" w:color="auto" w:fill="auto"/>
          </w:tcPr>
          <w:p w:rsidR="009D6B17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Wśród podmiotów prywatnych (przedsiębiorstw) zaobserwowano wyraźną niechęć do dzielenia się danymi. Stąd wydaje się, że przekonanie ich do udostępniania swoich danych podmiotom publicznym musiałoby wiązać się z wymiernymi zachętami i wyraźną korzyścią dla danego przedsiębiorstwa. W tym kontekście bardzo istotna jest również kwestia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anonimizacji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danych, która w ogóle nie została poruszona w przedmiotowym akapicie.</w:t>
            </w:r>
          </w:p>
        </w:tc>
        <w:tc>
          <w:tcPr>
            <w:tcW w:w="5812" w:type="dxa"/>
            <w:shd w:val="clear" w:color="auto" w:fill="auto"/>
          </w:tcPr>
          <w:p w:rsidR="009D6B17" w:rsidRPr="000B4F2F" w:rsidRDefault="00696F30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 rozwinięcie tekstu o podniesione kwestie.</w:t>
            </w:r>
          </w:p>
        </w:tc>
        <w:tc>
          <w:tcPr>
            <w:tcW w:w="1359" w:type="dxa"/>
          </w:tcPr>
          <w:p w:rsidR="009D6B17" w:rsidRPr="00A06425" w:rsidRDefault="009D6B17" w:rsidP="009D6B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47E9" w:rsidRPr="00A06425" w:rsidTr="00A06425">
        <w:tc>
          <w:tcPr>
            <w:tcW w:w="562" w:type="dxa"/>
            <w:shd w:val="clear" w:color="auto" w:fill="auto"/>
          </w:tcPr>
          <w:p w:rsidR="008747E9" w:rsidRPr="00A06425" w:rsidRDefault="008747E9" w:rsidP="008747E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747E9" w:rsidRPr="00A06425" w:rsidRDefault="00F10F9E" w:rsidP="008747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MEiN </w:t>
            </w:r>
          </w:p>
        </w:tc>
        <w:tc>
          <w:tcPr>
            <w:tcW w:w="1843" w:type="dxa"/>
            <w:shd w:val="clear" w:color="auto" w:fill="auto"/>
          </w:tcPr>
          <w:p w:rsidR="008747E9" w:rsidRPr="00EB2B00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 xml:space="preserve">Wnioski w zakresie budowy społeczeństwa informacyjnego i rozwoju </w:t>
            </w:r>
          </w:p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>e-kompetencji</w:t>
            </w:r>
          </w:p>
        </w:tc>
        <w:tc>
          <w:tcPr>
            <w:tcW w:w="4678" w:type="dxa"/>
            <w:shd w:val="clear" w:color="auto" w:fill="auto"/>
          </w:tcPr>
          <w:p w:rsidR="008747E9" w:rsidRPr="00686C63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Przyjęta przez Radę Ministrów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 xml:space="preserve">„Zintegrowana Strategia Umiejętności 2030” </w:t>
            </w:r>
            <w:r w:rsidRPr="009D549B">
              <w:rPr>
                <w:rFonts w:asciiTheme="minorHAnsi" w:hAnsiTheme="minorHAnsi" w:cstheme="minorHAnsi"/>
                <w:sz w:val="22"/>
                <w:szCs w:val="22"/>
              </w:rPr>
              <w:t xml:space="preserve">ma status polityki publicznej. Zawarte w tym dokumencie kierunki interwencji (tematy działań) dotyczą także kwestii ujętych 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FERC 2021-2027</w:t>
            </w:r>
            <w:r w:rsidRPr="009D549B">
              <w:rPr>
                <w:rFonts w:asciiTheme="minorHAnsi" w:hAnsiTheme="minorHAnsi" w:cstheme="minorHAnsi"/>
                <w:sz w:val="22"/>
                <w:szCs w:val="22"/>
              </w:rPr>
              <w:t xml:space="preserve">, np. temat działania: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9D549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Upowszechnianie istniejących oraz opracowanie i wdrażanie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nowych rozwiązań na rzecz rozwoju umiejętności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podstawowych i przekrojowych oraz zawodowych dzieci,</w:t>
            </w:r>
          </w:p>
          <w:p w:rsidR="008747E9" w:rsidRPr="00686C63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młodzieży i osób dorosłych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549B">
              <w:rPr>
                <w:rFonts w:asciiTheme="minorHAnsi" w:hAnsiTheme="minorHAnsi" w:cstheme="minorHAnsi"/>
                <w:sz w:val="22"/>
                <w:szCs w:val="22"/>
              </w:rPr>
              <w:t>(w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np.</w:t>
            </w:r>
            <w:r w:rsidRPr="009D549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2.2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rozwój umiejętności osób w każdym wieku na wszystkich</w:t>
            </w:r>
          </w:p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 xml:space="preserve">etapach edukacji formalnej, </w:t>
            </w:r>
            <w:proofErr w:type="spellStart"/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pozaformalnej</w:t>
            </w:r>
            <w:proofErr w:type="spellEnd"/>
            <w:r w:rsidRPr="00686C63">
              <w:rPr>
                <w:rFonts w:asciiTheme="minorHAnsi" w:hAnsiTheme="minorHAnsi" w:cstheme="minorHAnsi"/>
                <w:sz w:val="22"/>
                <w:szCs w:val="22"/>
              </w:rPr>
              <w:t xml:space="preserve"> i uczenia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nieformalnego,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w tym: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wykorzystanie ICT i AI w ramach edukacji formalnej,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wzmacnianie świadomości i rozwijanie umiejętności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wykorzystania technologii AI, w tym rozwijanie i promowanie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etyki dotyczącej AI, na przykład w ramach szkolnych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programów nauczania i programów studiów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E2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dopisanie zdania (jako ostatniego) w podrozdziale  „</w:t>
            </w: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>Wnioski w zakresie budowy społeczeństwa informacyjnego i rozwoju e-kompetencji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– str. 16:</w:t>
            </w:r>
          </w:p>
          <w:p w:rsidR="008747E9" w:rsidRPr="006B44FE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7E9" w:rsidRPr="006B44FE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4FE">
              <w:rPr>
                <w:rFonts w:asciiTheme="minorHAnsi" w:hAnsiTheme="minorHAnsi" w:cstheme="minorHAnsi"/>
                <w:sz w:val="22"/>
                <w:szCs w:val="22"/>
              </w:rPr>
              <w:t>Kwestie dotyczące budowy społeczeństwa informacyjnego i rozwoju e-kompetencji podkreślono także w dokumencie o statusie polityki publicznej „Zintegrowana Strategia Umiejętności 2030” (część ogólna ZSU 2030: uchwała nr 12/2019 Rady Ministrów z dnia 25 stycznia 2019 r., część szczegółowa ZSU 2030: uchwała nr 195/2020 Rady Ministrów z dnia 28 grudnia 2020 r.).”.</w:t>
            </w:r>
          </w:p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47E9" w:rsidRPr="00A06425" w:rsidTr="00A06425">
        <w:tc>
          <w:tcPr>
            <w:tcW w:w="562" w:type="dxa"/>
            <w:shd w:val="clear" w:color="auto" w:fill="auto"/>
          </w:tcPr>
          <w:p w:rsidR="008747E9" w:rsidRPr="00A06425" w:rsidRDefault="008747E9" w:rsidP="008747E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8747E9" w:rsidRPr="00A06425" w:rsidRDefault="00F10F9E" w:rsidP="008747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MEiN </w:t>
            </w:r>
          </w:p>
        </w:tc>
        <w:tc>
          <w:tcPr>
            <w:tcW w:w="1843" w:type="dxa"/>
            <w:shd w:val="clear" w:color="auto" w:fill="auto"/>
          </w:tcPr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Cały dokument</w:t>
            </w:r>
          </w:p>
        </w:tc>
        <w:tc>
          <w:tcPr>
            <w:tcW w:w="4678" w:type="dxa"/>
            <w:shd w:val="clear" w:color="auto" w:fill="auto"/>
          </w:tcPr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6C63">
              <w:rPr>
                <w:rFonts w:asciiTheme="minorHAnsi" w:hAnsiTheme="minorHAnsi" w:cstheme="minorHAnsi"/>
                <w:sz w:val="22"/>
                <w:szCs w:val="22"/>
              </w:rPr>
              <w:t>Zmiana dot. zastosowania terminów zgodnie z polityką publiczną „Zintegrowana Strategia Umiejętności 2030”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Zgodnie z powyższą Strategią 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termin „umiejętności” oznacza zdolność</w:t>
            </w:r>
          </w:p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 prawidłowego i sprawnego wykonywania określonego rodzaju czynności, zadania lub funkcji.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prawidłowe wykonywanie rozumie się wykorzystywanie w działaniu odpowiedniej wiedzy teoretycznej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i praktycznej oraz stosowanie się do norm społecznych, w szczególności odnoszących się do danego</w:t>
            </w:r>
          </w:p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rodzaju działalności.</w:t>
            </w:r>
          </w:p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Przyjęta definicja umiejętności jest zbieżna z zaleceniami Parlamentu Europejskiego i Rady w</w:t>
            </w:r>
          </w:p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sprawie Europejskiej Ramy Kwalifikacji (ERK) oraz z definicją przyjętą przez Organizację Współpracy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Gospodarczej i Rozwoju (OECD). Zarówno w polskiej, jak i w międzynarodowych definicjach tego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>pojęcia wiedza i postawy stanowią integralny komponent rozwoju i wykorzystywania umiejętności.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7E9" w:rsidRPr="00497BB2" w:rsidRDefault="008747E9" w:rsidP="00DB3B3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Umiejętności cyfrowe, rozumiane w Strategii jako </w:t>
            </w:r>
            <w:r w:rsidRPr="00497BB2">
              <w:rPr>
                <w:rFonts w:asciiTheme="minorHAnsi" w:hAnsiTheme="minorHAnsi" w:cstheme="minorHAnsi"/>
                <w:i/>
                <w:sz w:val="22"/>
                <w:szCs w:val="22"/>
              </w:rPr>
              <w:t>pewne, krytyczne i odpowiedzialne korzystanie z technologii cyfrowych i interesowanie się nimi do celów uczenia się, pracy i udziału w społeczeństwie; umiejętność korzystania z informacji i danych, komunikowanie się i współpraca, umiejętność korzystania z mediów, tworzenie treści cyfrowych (w tym programowanie), bezpieczeństwo (w tym komfort cyfrowy i kompetencje związane</w:t>
            </w:r>
          </w:p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 </w:t>
            </w:r>
            <w:proofErr w:type="spellStart"/>
            <w:r w:rsidRPr="00497BB2">
              <w:rPr>
                <w:rFonts w:asciiTheme="minorHAnsi" w:hAnsiTheme="minorHAnsi" w:cstheme="minorHAnsi"/>
                <w:i/>
                <w:sz w:val="22"/>
                <w:szCs w:val="22"/>
              </w:rPr>
              <w:t>cyberbezpieczeństwem</w:t>
            </w:r>
            <w:proofErr w:type="spellEnd"/>
            <w:r w:rsidRPr="00497BB2">
              <w:rPr>
                <w:rFonts w:asciiTheme="minorHAnsi" w:hAnsiTheme="minorHAnsi" w:cstheme="minorHAnsi"/>
                <w:i/>
                <w:sz w:val="22"/>
                <w:szCs w:val="22"/>
              </w:rPr>
              <w:t>), kwestie dotyczące własności intelektualnej, rozwiązywanie problemów i krytyczne myślenie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stanowią jedną z umiejętności przekrojowych.</w:t>
            </w:r>
          </w:p>
        </w:tc>
        <w:tc>
          <w:tcPr>
            <w:tcW w:w="5812" w:type="dxa"/>
            <w:shd w:val="clear" w:color="auto" w:fill="auto"/>
          </w:tcPr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Prośba o dokonanie korekty w zdaniu, tj. zastąpienie słowa „kompetencje” wyrażeniem „umiejętności”, np.: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str. 34: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B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Realizowane będą również działania wspierające współpracę międzysektorową na rzecz cyfrowych rozwiązań problemów społeczno-gospodarczych oraz rozwój zaawansowanych </w:t>
            </w:r>
            <w:r w:rsidRPr="006B44F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cyfrowych;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str. 37: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 xml:space="preserve">Wyzwaniem dla perspektywy finansowej 2021-2027 jest zaspokojenie rosnącego zapotrzebowania, w szczególności na zaawansowane </w:t>
            </w:r>
            <w:r w:rsidRPr="006B44F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 xml:space="preserve"> cyfrowe, z takich obszarów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str. 89:</w:t>
            </w:r>
          </w:p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 xml:space="preserve">W FERC wsparcie rozwoju </w:t>
            </w:r>
            <w:r w:rsidRPr="006B44F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 xml:space="preserve"> cyfrowych ukierunkowano na pracowników instytucji sektora publicznego istotnych dla sprawnego funkcjonowania współczesnej administracji oraz realizacji polityk publicznych, ze szczególnym uwzględnieniem rozwoju zaawansowanych </w:t>
            </w:r>
            <w:r w:rsidRPr="006B44F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  <w:r w:rsidRPr="00497BB2">
              <w:rPr>
                <w:rFonts w:asciiTheme="minorHAnsi" w:hAnsiTheme="minorHAnsi" w:cstheme="minorHAnsi"/>
                <w:sz w:val="22"/>
                <w:szCs w:val="22"/>
              </w:rPr>
              <w:t xml:space="preserve"> cyfrowych</w:t>
            </w:r>
          </w:p>
        </w:tc>
        <w:tc>
          <w:tcPr>
            <w:tcW w:w="1359" w:type="dxa"/>
          </w:tcPr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47E9" w:rsidRPr="00A06425" w:rsidTr="00A06425">
        <w:tc>
          <w:tcPr>
            <w:tcW w:w="562" w:type="dxa"/>
            <w:shd w:val="clear" w:color="auto" w:fill="auto"/>
          </w:tcPr>
          <w:p w:rsidR="008747E9" w:rsidRPr="00A06425" w:rsidRDefault="008747E9" w:rsidP="008747E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8747E9" w:rsidRPr="00A06425" w:rsidRDefault="00F10F9E" w:rsidP="008747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MEiN </w:t>
            </w:r>
          </w:p>
        </w:tc>
        <w:tc>
          <w:tcPr>
            <w:tcW w:w="1843" w:type="dxa"/>
            <w:shd w:val="clear" w:color="auto" w:fill="auto"/>
          </w:tcPr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 Wsparcie umiejętności cyfrowych</w:t>
            </w:r>
          </w:p>
        </w:tc>
        <w:tc>
          <w:tcPr>
            <w:tcW w:w="4678" w:type="dxa"/>
            <w:shd w:val="clear" w:color="auto" w:fill="auto"/>
          </w:tcPr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Doprecyzowanie polityki publicznej, która dot. rozwoju umiejętności – także w obszarze umiejętności cyfrowych.</w:t>
            </w:r>
          </w:p>
        </w:tc>
        <w:tc>
          <w:tcPr>
            <w:tcW w:w="5812" w:type="dxa"/>
            <w:shd w:val="clear" w:color="auto" w:fill="auto"/>
          </w:tcPr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dopisanie odniesienia do „Zintegrowanej Strategii Umiejętności 2030” w zdaniu:</w:t>
            </w:r>
          </w:p>
          <w:p w:rsidR="008747E9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47E9" w:rsidRPr="00A06425" w:rsidRDefault="008747E9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>Szczególnie istotne są one dla sprawnego funkcjonowania współczesnej administracji oraz realizacji polityk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7C9B">
              <w:rPr>
                <w:rFonts w:asciiTheme="minorHAnsi" w:hAnsiTheme="minorHAnsi" w:cstheme="minorHAnsi"/>
                <w:b/>
                <w:sz w:val="22"/>
                <w:szCs w:val="22"/>
              </w:rPr>
              <w:t>(w tym m.in. „Zintegrowanej Strategii Umiejętności 2030”)</w:t>
            </w:r>
            <w:r w:rsidRPr="00EB2B00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EB2B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tym polityk rozwojowych, co wymaga stałego podnoszenia kompetencji pracowników instytucji sektora publicznego.</w:t>
            </w:r>
          </w:p>
        </w:tc>
        <w:tc>
          <w:tcPr>
            <w:tcW w:w="1359" w:type="dxa"/>
          </w:tcPr>
          <w:p w:rsidR="008747E9" w:rsidRPr="00A06425" w:rsidRDefault="008747E9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3B32" w:rsidRPr="00A06425" w:rsidTr="00A06425">
        <w:tc>
          <w:tcPr>
            <w:tcW w:w="562" w:type="dxa"/>
            <w:shd w:val="clear" w:color="auto" w:fill="auto"/>
          </w:tcPr>
          <w:p w:rsidR="00DB3B32" w:rsidRDefault="00DB3B32" w:rsidP="008747E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DB3B32" w:rsidRDefault="00DB3B32" w:rsidP="008747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DB3B32" w:rsidRDefault="00DB3B32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DB3B32">
              <w:rPr>
                <w:rFonts w:asciiTheme="minorHAnsi" w:hAnsiTheme="minorHAnsi" w:cstheme="minorHAnsi"/>
                <w:sz w:val="22"/>
                <w:szCs w:val="22"/>
              </w:rPr>
              <w:t>digitalizację zasobów kultury, administracji i nauki (m.in. dane z badań naukowych oraz zasobów edukacyjnych finansowanych ze środków publicznych),</w:t>
            </w:r>
          </w:p>
          <w:p w:rsidR="00DB3B32" w:rsidRDefault="00DB3B32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(s. 80)</w:t>
            </w:r>
          </w:p>
        </w:tc>
        <w:tc>
          <w:tcPr>
            <w:tcW w:w="4678" w:type="dxa"/>
            <w:shd w:val="clear" w:color="auto" w:fill="auto"/>
          </w:tcPr>
          <w:p w:rsidR="00DB3B32" w:rsidRDefault="00DB3B32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Sformułowanie „… </w:t>
            </w:r>
            <w:r w:rsidRPr="00DB3B32">
              <w:rPr>
                <w:rFonts w:asciiTheme="minorHAnsi" w:hAnsiTheme="minorHAnsi" w:cstheme="minorHAnsi"/>
                <w:sz w:val="22"/>
                <w:szCs w:val="22"/>
              </w:rPr>
              <w:t>zasobów edukacyjnych finansowanych ze środków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jest niejasne. Czy autor ma na myśli materiały edukacyjne przygotowane/wytworzone przez beneficjentów czy być może całość dotyczy danych badawczych, o których mowa w ustawie </w:t>
            </w:r>
            <w:r w:rsidRPr="00DB3B32">
              <w:rPr>
                <w:rFonts w:asciiTheme="minorHAnsi" w:hAnsiTheme="minorHAnsi" w:cstheme="minorHAnsi"/>
                <w:sz w:val="22"/>
                <w:szCs w:val="22"/>
              </w:rPr>
              <w:t>o otwartych danych i ponownym wykorzystywaniu informacji sektora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5812" w:type="dxa"/>
            <w:shd w:val="clear" w:color="auto" w:fill="auto"/>
          </w:tcPr>
          <w:p w:rsidR="00DB3B32" w:rsidRDefault="00DB3B32" w:rsidP="00DB3B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DB3B32" w:rsidRPr="00A06425" w:rsidRDefault="00DB3B32" w:rsidP="008747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F10F9E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1ACC"/>
    <w:rsid w:val="003B4105"/>
    <w:rsid w:val="003E2E4F"/>
    <w:rsid w:val="004D086F"/>
    <w:rsid w:val="005E2A31"/>
    <w:rsid w:val="005F6527"/>
    <w:rsid w:val="006705EC"/>
    <w:rsid w:val="00696F30"/>
    <w:rsid w:val="006B44FE"/>
    <w:rsid w:val="006E16E9"/>
    <w:rsid w:val="00710A8A"/>
    <w:rsid w:val="00807385"/>
    <w:rsid w:val="00862D7D"/>
    <w:rsid w:val="008747E9"/>
    <w:rsid w:val="00875F02"/>
    <w:rsid w:val="00897AA0"/>
    <w:rsid w:val="00944932"/>
    <w:rsid w:val="009D6B17"/>
    <w:rsid w:val="009E5FDB"/>
    <w:rsid w:val="00A06425"/>
    <w:rsid w:val="00A245BB"/>
    <w:rsid w:val="00A37A1E"/>
    <w:rsid w:val="00AC7796"/>
    <w:rsid w:val="00B871B6"/>
    <w:rsid w:val="00C64B1B"/>
    <w:rsid w:val="00CA7C9B"/>
    <w:rsid w:val="00CD5EB0"/>
    <w:rsid w:val="00D46F72"/>
    <w:rsid w:val="00DA4170"/>
    <w:rsid w:val="00DB3B32"/>
    <w:rsid w:val="00E14C33"/>
    <w:rsid w:val="00E63B77"/>
    <w:rsid w:val="00E86612"/>
    <w:rsid w:val="00F1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BF4A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1640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 Izabela</cp:lastModifiedBy>
  <cp:revision>14</cp:revision>
  <dcterms:created xsi:type="dcterms:W3CDTF">2021-11-30T14:47:00Z</dcterms:created>
  <dcterms:modified xsi:type="dcterms:W3CDTF">2021-12-01T09:07:00Z</dcterms:modified>
</cp:coreProperties>
</file>