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4A6A" w:rsidRPr="001B4A6A" w:rsidRDefault="001B4A6A" w:rsidP="001B4A6A">
      <w:pPr>
        <w:spacing w:before="120" w:after="120" w:line="360" w:lineRule="auto"/>
        <w:jc w:val="both"/>
        <w:rPr>
          <w:rFonts w:asciiTheme="minorHAnsi" w:hAnsiTheme="minorHAnsi" w:cstheme="minorHAnsi"/>
          <w:b/>
          <w:sz w:val="22"/>
          <w:szCs w:val="22"/>
        </w:rPr>
      </w:pPr>
      <w:r w:rsidRPr="001B4A6A">
        <w:rPr>
          <w:rFonts w:asciiTheme="minorHAnsi" w:hAnsiTheme="minorHAnsi" w:cstheme="minorHAnsi"/>
          <w:b/>
          <w:sz w:val="22"/>
          <w:szCs w:val="22"/>
        </w:rPr>
        <w:t>Załącznik 09 do „Wytycznych”. Zalecenia dotyczące przestrzegania zasad równości płci, równego dostępu do informacji publicznej a wynikającego z przesłanek równego traktowania i elimin</w:t>
      </w:r>
      <w:r w:rsidRPr="001B4A6A">
        <w:rPr>
          <w:rFonts w:asciiTheme="minorHAnsi" w:hAnsiTheme="minorHAnsi" w:cstheme="minorHAnsi"/>
          <w:b/>
          <w:sz w:val="22"/>
          <w:szCs w:val="22"/>
        </w:rPr>
        <w:t>o</w:t>
      </w:r>
      <w:r w:rsidRPr="001B4A6A">
        <w:rPr>
          <w:rFonts w:asciiTheme="minorHAnsi" w:hAnsiTheme="minorHAnsi" w:cstheme="minorHAnsi"/>
          <w:b/>
          <w:sz w:val="22"/>
          <w:szCs w:val="22"/>
        </w:rPr>
        <w:t>wania wszelkich form dyskryminacji bezpośredniej i pośredniej</w:t>
      </w:r>
    </w:p>
    <w:p w:rsidR="001B4A6A" w:rsidRPr="001B4A6A" w:rsidRDefault="001B4A6A" w:rsidP="001B4A6A">
      <w:pPr>
        <w:spacing w:before="120" w:after="120" w:line="360" w:lineRule="auto"/>
        <w:jc w:val="both"/>
        <w:rPr>
          <w:rFonts w:asciiTheme="minorHAnsi" w:hAnsiTheme="minorHAnsi" w:cstheme="minorHAnsi"/>
          <w:sz w:val="22"/>
          <w:szCs w:val="22"/>
        </w:rPr>
      </w:pPr>
    </w:p>
    <w:p w:rsidR="001B4A6A" w:rsidRPr="001B4A6A" w:rsidRDefault="001B4A6A" w:rsidP="00C74D9F">
      <w:pPr>
        <w:spacing w:before="120" w:after="120" w:line="360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1B4A6A">
        <w:rPr>
          <w:rFonts w:asciiTheme="minorHAnsi" w:hAnsiTheme="minorHAnsi" w:cstheme="minorHAnsi"/>
          <w:sz w:val="22"/>
          <w:szCs w:val="22"/>
        </w:rPr>
        <w:t xml:space="preserve">W niniejszym załączniku zgromadziliśmy zalecenia dotyczące przestrzegania zasad równości </w:t>
      </w:r>
      <w:r w:rsidRPr="001B4A6A">
        <w:rPr>
          <w:rFonts w:asciiTheme="minorHAnsi" w:hAnsiTheme="minorHAnsi" w:cstheme="minorHAnsi"/>
          <w:sz w:val="22"/>
          <w:szCs w:val="22"/>
        </w:rPr>
        <w:br/>
        <w:t>i równego dostępu, które są także zawarte w poszczególnych częściach wytycznych. Jednakże ze względu na wagę jak i obligatoryjność tych zaleceń przedstawiamy je zbiorczo.</w:t>
      </w:r>
    </w:p>
    <w:p w:rsidR="001B4A6A" w:rsidRPr="001B4A6A" w:rsidRDefault="001B4A6A" w:rsidP="00C74D9F">
      <w:pPr>
        <w:spacing w:before="120" w:after="120" w:line="360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1B4A6A">
        <w:rPr>
          <w:rFonts w:asciiTheme="minorHAnsi" w:hAnsiTheme="minorHAnsi" w:cstheme="minorHAnsi"/>
          <w:sz w:val="22"/>
          <w:szCs w:val="22"/>
        </w:rPr>
        <w:t xml:space="preserve">W czasie całego procesu przygotowania standardów obsługi w urzędach państwowych należy szczególną uwagę zwracać na neutralność języka, kierowanie informacji </w:t>
      </w:r>
      <w:r w:rsidRPr="001B4A6A">
        <w:rPr>
          <w:rFonts w:asciiTheme="minorHAnsi" w:hAnsiTheme="minorHAnsi" w:cstheme="minorHAnsi"/>
          <w:sz w:val="22"/>
          <w:szCs w:val="22"/>
        </w:rPr>
        <w:br/>
        <w:t xml:space="preserve">i formułowanie informacji w języku neutralnym poprzez używanie sformułowań takich, jak osoba/ osoby, lub naprzemiennego stosowania form męskich i żeńskich. Stosowanie liczby mnogiej </w:t>
      </w:r>
      <w:r w:rsidR="00C74D9F">
        <w:rPr>
          <w:rFonts w:asciiTheme="minorHAnsi" w:hAnsiTheme="minorHAnsi" w:cstheme="minorHAnsi"/>
          <w:sz w:val="22"/>
          <w:szCs w:val="22"/>
        </w:rPr>
        <w:br/>
      </w:r>
      <w:r w:rsidRPr="001B4A6A">
        <w:rPr>
          <w:rFonts w:asciiTheme="minorHAnsi" w:hAnsiTheme="minorHAnsi" w:cstheme="minorHAnsi"/>
          <w:sz w:val="22"/>
          <w:szCs w:val="22"/>
        </w:rPr>
        <w:t xml:space="preserve">męskoosobowej jest w wielu kontekstach pozorną neutralnością. </w:t>
      </w:r>
    </w:p>
    <w:p w:rsidR="001B4A6A" w:rsidRPr="001B4A6A" w:rsidRDefault="001B4A6A" w:rsidP="00C74D9F">
      <w:pPr>
        <w:spacing w:before="120" w:after="120" w:line="360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1B4A6A">
        <w:rPr>
          <w:rFonts w:asciiTheme="minorHAnsi" w:hAnsiTheme="minorHAnsi" w:cstheme="minorHAnsi"/>
          <w:sz w:val="22"/>
          <w:szCs w:val="22"/>
        </w:rPr>
        <w:t xml:space="preserve">Powyższe zalecenia szczególnie należy stosować na kolejnych etapach prac nad przygotowaniem </w:t>
      </w:r>
      <w:r w:rsidR="00C74D9F">
        <w:rPr>
          <w:rFonts w:asciiTheme="minorHAnsi" w:hAnsiTheme="minorHAnsi" w:cstheme="minorHAnsi"/>
          <w:sz w:val="22"/>
          <w:szCs w:val="22"/>
        </w:rPr>
        <w:br/>
      </w:r>
      <w:r w:rsidRPr="001B4A6A">
        <w:rPr>
          <w:rFonts w:asciiTheme="minorHAnsi" w:hAnsiTheme="minorHAnsi" w:cstheme="minorHAnsi"/>
          <w:sz w:val="22"/>
          <w:szCs w:val="22"/>
        </w:rPr>
        <w:t>i wdrażaniem standardów obsługi:</w:t>
      </w:r>
    </w:p>
    <w:p w:rsidR="001B4A6A" w:rsidRPr="001B4A6A" w:rsidRDefault="001B4A6A" w:rsidP="00C74D9F">
      <w:pPr>
        <w:spacing w:before="120" w:after="120" w:line="360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1B4A6A">
        <w:rPr>
          <w:rFonts w:asciiTheme="minorHAnsi" w:hAnsiTheme="minorHAnsi" w:cstheme="minorHAnsi"/>
          <w:b/>
          <w:sz w:val="22"/>
          <w:szCs w:val="22"/>
        </w:rPr>
        <w:t xml:space="preserve">Etap badania </w:t>
      </w:r>
    </w:p>
    <w:p w:rsidR="001B4A6A" w:rsidRPr="001B4A6A" w:rsidRDefault="001B4A6A" w:rsidP="00C74D9F">
      <w:pPr>
        <w:pStyle w:val="Akapitzlist"/>
        <w:numPr>
          <w:ilvl w:val="0"/>
          <w:numId w:val="30"/>
        </w:numPr>
        <w:spacing w:before="120" w:after="120" w:line="360" w:lineRule="auto"/>
        <w:ind w:right="0"/>
        <w:jc w:val="both"/>
        <w:rPr>
          <w:rFonts w:asciiTheme="minorHAnsi" w:hAnsiTheme="minorHAnsi" w:cstheme="minorHAnsi"/>
          <w:sz w:val="22"/>
          <w:szCs w:val="22"/>
        </w:rPr>
      </w:pPr>
      <w:r w:rsidRPr="001B4A6A">
        <w:rPr>
          <w:rFonts w:asciiTheme="minorHAnsi" w:hAnsiTheme="minorHAnsi" w:cstheme="minorHAnsi"/>
          <w:sz w:val="22"/>
          <w:szCs w:val="22"/>
          <w:u w:val="single"/>
        </w:rPr>
        <w:t>Badania satysfakcji</w:t>
      </w:r>
      <w:r w:rsidRPr="001B4A6A">
        <w:rPr>
          <w:rFonts w:asciiTheme="minorHAnsi" w:hAnsiTheme="minorHAnsi" w:cstheme="minorHAnsi"/>
          <w:sz w:val="22"/>
          <w:szCs w:val="22"/>
        </w:rPr>
        <w:t xml:space="preserve"> – ankiety kierowane do kobiet i mężczyzn powinny zawierać pytania adres</w:t>
      </w:r>
      <w:r w:rsidRPr="001B4A6A">
        <w:rPr>
          <w:rFonts w:asciiTheme="minorHAnsi" w:hAnsiTheme="minorHAnsi" w:cstheme="minorHAnsi"/>
          <w:sz w:val="22"/>
          <w:szCs w:val="22"/>
        </w:rPr>
        <w:t>o</w:t>
      </w:r>
      <w:r w:rsidRPr="001B4A6A">
        <w:rPr>
          <w:rFonts w:asciiTheme="minorHAnsi" w:hAnsiTheme="minorHAnsi" w:cstheme="minorHAnsi"/>
          <w:sz w:val="22"/>
          <w:szCs w:val="22"/>
        </w:rPr>
        <w:t xml:space="preserve">wane do obu płci typu: </w:t>
      </w:r>
      <w:r w:rsidRPr="001B4A6A">
        <w:rPr>
          <w:rFonts w:asciiTheme="minorHAnsi" w:hAnsiTheme="minorHAnsi" w:cstheme="minorHAnsi"/>
          <w:i/>
          <w:sz w:val="22"/>
          <w:szCs w:val="22"/>
        </w:rPr>
        <w:t>„Czy Pan/Pani ...”</w:t>
      </w:r>
      <w:r w:rsidRPr="001B4A6A">
        <w:rPr>
          <w:rFonts w:asciiTheme="minorHAnsi" w:hAnsiTheme="minorHAnsi" w:cstheme="minorHAnsi"/>
          <w:sz w:val="22"/>
          <w:szCs w:val="22"/>
        </w:rPr>
        <w:t>. Jeśli przyjmuje się tę formułę, to oznaczenia „</w:t>
      </w:r>
      <w:r w:rsidRPr="001B4A6A">
        <w:rPr>
          <w:rFonts w:asciiTheme="minorHAnsi" w:hAnsiTheme="minorHAnsi" w:cstheme="minorHAnsi"/>
          <w:i/>
          <w:sz w:val="22"/>
          <w:szCs w:val="22"/>
        </w:rPr>
        <w:t>Pan/Pani”</w:t>
      </w:r>
      <w:r w:rsidRPr="001B4A6A">
        <w:rPr>
          <w:rFonts w:asciiTheme="minorHAnsi" w:hAnsiTheme="minorHAnsi" w:cstheme="minorHAnsi"/>
          <w:sz w:val="22"/>
          <w:szCs w:val="22"/>
        </w:rPr>
        <w:t xml:space="preserve"> powinny być w pełnym brzmieniu, a nie w wersji skrótowej ( te dopuszcza się tylko </w:t>
      </w:r>
      <w:r>
        <w:rPr>
          <w:rFonts w:asciiTheme="minorHAnsi" w:hAnsiTheme="minorHAnsi" w:cstheme="minorHAnsi"/>
          <w:sz w:val="22"/>
          <w:szCs w:val="22"/>
        </w:rPr>
        <w:br/>
      </w:r>
      <w:r w:rsidRPr="001B4A6A">
        <w:rPr>
          <w:rFonts w:asciiTheme="minorHAnsi" w:hAnsiTheme="minorHAnsi" w:cstheme="minorHAnsi"/>
          <w:sz w:val="22"/>
          <w:szCs w:val="22"/>
        </w:rPr>
        <w:t xml:space="preserve">w roboczych arkuszach naliczeń ), i dalej konsekwentnie: </w:t>
      </w:r>
      <w:r w:rsidRPr="001B4A6A">
        <w:rPr>
          <w:rFonts w:asciiTheme="minorHAnsi" w:hAnsiTheme="minorHAnsi" w:cstheme="minorHAnsi"/>
          <w:i/>
          <w:sz w:val="22"/>
          <w:szCs w:val="22"/>
        </w:rPr>
        <w:t>„Czy czytał Pan/czytała Pani…”</w:t>
      </w:r>
    </w:p>
    <w:p w:rsidR="001B4A6A" w:rsidRPr="001B4A6A" w:rsidRDefault="001B4A6A" w:rsidP="00253C28">
      <w:pPr>
        <w:pStyle w:val="Akapitzlist"/>
        <w:spacing w:before="120" w:after="120" w:line="360" w:lineRule="auto"/>
        <w:ind w:left="360" w:right="0"/>
        <w:jc w:val="both"/>
        <w:rPr>
          <w:rFonts w:asciiTheme="minorHAnsi" w:hAnsiTheme="minorHAnsi" w:cstheme="minorHAnsi"/>
          <w:sz w:val="22"/>
          <w:szCs w:val="22"/>
        </w:rPr>
      </w:pPr>
      <w:r w:rsidRPr="001B4A6A">
        <w:rPr>
          <w:rFonts w:asciiTheme="minorHAnsi" w:hAnsiTheme="minorHAnsi" w:cstheme="minorHAnsi"/>
          <w:sz w:val="22"/>
          <w:szCs w:val="22"/>
        </w:rPr>
        <w:t xml:space="preserve">Cała ankieta może być osobno kierowana do kobiet czy mężczyzn, osobno definiowane K/M </w:t>
      </w:r>
      <w:r w:rsidR="00253C28">
        <w:rPr>
          <w:rFonts w:asciiTheme="minorHAnsi" w:hAnsiTheme="minorHAnsi" w:cstheme="minorHAnsi"/>
          <w:sz w:val="22"/>
          <w:szCs w:val="22"/>
        </w:rPr>
        <w:t>n</w:t>
      </w:r>
      <w:r w:rsidRPr="001B4A6A">
        <w:rPr>
          <w:rFonts w:asciiTheme="minorHAnsi" w:hAnsiTheme="minorHAnsi" w:cstheme="minorHAnsi"/>
          <w:sz w:val="22"/>
          <w:szCs w:val="22"/>
        </w:rPr>
        <w:t>a poziomie metryczki, a dalej także jako osobne ankiety według płci pytania powinny być formuł</w:t>
      </w:r>
      <w:r w:rsidRPr="001B4A6A">
        <w:rPr>
          <w:rFonts w:asciiTheme="minorHAnsi" w:hAnsiTheme="minorHAnsi" w:cstheme="minorHAnsi"/>
          <w:sz w:val="22"/>
          <w:szCs w:val="22"/>
        </w:rPr>
        <w:t>o</w:t>
      </w:r>
      <w:r w:rsidRPr="001B4A6A">
        <w:rPr>
          <w:rFonts w:asciiTheme="minorHAnsi" w:hAnsiTheme="minorHAnsi" w:cstheme="minorHAnsi"/>
          <w:sz w:val="22"/>
          <w:szCs w:val="22"/>
        </w:rPr>
        <w:t>wane komunikatem bezpośrednim adresowanym według rodzaju:</w:t>
      </w:r>
    </w:p>
    <w:p w:rsidR="001B4A6A" w:rsidRPr="001B4A6A" w:rsidRDefault="001B4A6A" w:rsidP="00C74D9F">
      <w:pPr>
        <w:pStyle w:val="Akapitzlist"/>
        <w:numPr>
          <w:ilvl w:val="0"/>
          <w:numId w:val="32"/>
        </w:numPr>
        <w:spacing w:before="120" w:after="120" w:line="360" w:lineRule="auto"/>
        <w:ind w:right="0"/>
        <w:jc w:val="both"/>
        <w:rPr>
          <w:rFonts w:asciiTheme="minorHAnsi" w:hAnsiTheme="minorHAnsi" w:cstheme="minorHAnsi"/>
          <w:i/>
          <w:sz w:val="22"/>
          <w:szCs w:val="22"/>
        </w:rPr>
      </w:pPr>
      <w:r w:rsidRPr="001B4A6A">
        <w:rPr>
          <w:rFonts w:asciiTheme="minorHAnsi" w:hAnsiTheme="minorHAnsi" w:cstheme="minorHAnsi"/>
          <w:i/>
          <w:sz w:val="22"/>
          <w:szCs w:val="22"/>
        </w:rPr>
        <w:t>„Jak pani ocenia ...” dla ankiet K</w:t>
      </w:r>
    </w:p>
    <w:p w:rsidR="001B4A6A" w:rsidRPr="001B4A6A" w:rsidRDefault="001B4A6A" w:rsidP="00C74D9F">
      <w:pPr>
        <w:pStyle w:val="Akapitzlist"/>
        <w:numPr>
          <w:ilvl w:val="0"/>
          <w:numId w:val="32"/>
        </w:numPr>
        <w:spacing w:before="120" w:after="120" w:line="360" w:lineRule="auto"/>
        <w:ind w:right="0"/>
        <w:jc w:val="both"/>
        <w:rPr>
          <w:rFonts w:asciiTheme="minorHAnsi" w:hAnsiTheme="minorHAnsi" w:cstheme="minorHAnsi"/>
          <w:i/>
          <w:sz w:val="22"/>
          <w:szCs w:val="22"/>
        </w:rPr>
      </w:pPr>
      <w:r w:rsidRPr="001B4A6A">
        <w:rPr>
          <w:rFonts w:asciiTheme="minorHAnsi" w:hAnsiTheme="minorHAnsi" w:cstheme="minorHAnsi"/>
          <w:i/>
          <w:sz w:val="22"/>
          <w:szCs w:val="22"/>
        </w:rPr>
        <w:t xml:space="preserve">„Jak pan ocenia ...” dla ankiet M </w:t>
      </w:r>
    </w:p>
    <w:p w:rsidR="001B4A6A" w:rsidRPr="001B4A6A" w:rsidRDefault="001B4A6A" w:rsidP="00C74D9F">
      <w:pPr>
        <w:pStyle w:val="Akapitzlist"/>
        <w:numPr>
          <w:ilvl w:val="0"/>
          <w:numId w:val="30"/>
        </w:numPr>
        <w:spacing w:before="120" w:after="120" w:line="360" w:lineRule="auto"/>
        <w:ind w:right="0"/>
        <w:jc w:val="both"/>
        <w:rPr>
          <w:rFonts w:asciiTheme="minorHAnsi" w:hAnsiTheme="minorHAnsi" w:cstheme="minorHAnsi"/>
          <w:sz w:val="22"/>
          <w:szCs w:val="22"/>
        </w:rPr>
      </w:pPr>
      <w:r w:rsidRPr="001B4A6A">
        <w:rPr>
          <w:rFonts w:asciiTheme="minorHAnsi" w:hAnsiTheme="minorHAnsi" w:cstheme="minorHAnsi"/>
          <w:sz w:val="22"/>
          <w:szCs w:val="22"/>
          <w:u w:val="single"/>
        </w:rPr>
        <w:t>Agregacja, segregacja i analiza danych (płeć)</w:t>
      </w:r>
      <w:r w:rsidRPr="001B4A6A">
        <w:rPr>
          <w:rFonts w:asciiTheme="minorHAnsi" w:hAnsiTheme="minorHAnsi" w:cstheme="minorHAnsi"/>
          <w:sz w:val="22"/>
          <w:szCs w:val="22"/>
        </w:rPr>
        <w:t xml:space="preserve"> – dla każdego obszaru badania należy analizować rezultaty z perspektywy kobiet i mężczyzn. Z badań EUROSTAT (2004-2005) wynika, że w niekt</w:t>
      </w:r>
      <w:r w:rsidRPr="001B4A6A">
        <w:rPr>
          <w:rFonts w:asciiTheme="minorHAnsi" w:hAnsiTheme="minorHAnsi" w:cstheme="minorHAnsi"/>
          <w:sz w:val="22"/>
          <w:szCs w:val="22"/>
        </w:rPr>
        <w:t>ó</w:t>
      </w:r>
      <w:r w:rsidRPr="001B4A6A">
        <w:rPr>
          <w:rFonts w:asciiTheme="minorHAnsi" w:hAnsiTheme="minorHAnsi" w:cstheme="minorHAnsi"/>
          <w:sz w:val="22"/>
          <w:szCs w:val="22"/>
        </w:rPr>
        <w:t xml:space="preserve">rych obszarach w powiązaniu z płcią i wiekiem występują różnice w sposobie pozyskiwania </w:t>
      </w:r>
      <w:r>
        <w:rPr>
          <w:rFonts w:asciiTheme="minorHAnsi" w:hAnsiTheme="minorHAnsi" w:cstheme="minorHAnsi"/>
          <w:sz w:val="22"/>
          <w:szCs w:val="22"/>
        </w:rPr>
        <w:br/>
      </w:r>
      <w:r w:rsidRPr="001B4A6A">
        <w:rPr>
          <w:rFonts w:asciiTheme="minorHAnsi" w:hAnsiTheme="minorHAnsi" w:cstheme="minorHAnsi"/>
          <w:sz w:val="22"/>
          <w:szCs w:val="22"/>
        </w:rPr>
        <w:t>i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1B4A6A">
        <w:rPr>
          <w:rFonts w:asciiTheme="minorHAnsi" w:hAnsiTheme="minorHAnsi" w:cstheme="minorHAnsi"/>
          <w:sz w:val="22"/>
          <w:szCs w:val="22"/>
        </w:rPr>
        <w:t xml:space="preserve">formacji, i potrzebach dotyczących obsługi. </w:t>
      </w:r>
    </w:p>
    <w:p w:rsidR="001B4A6A" w:rsidRPr="00253C28" w:rsidRDefault="001B4A6A" w:rsidP="00C74D9F">
      <w:pPr>
        <w:pStyle w:val="Akapitzlist"/>
        <w:numPr>
          <w:ilvl w:val="0"/>
          <w:numId w:val="30"/>
        </w:numPr>
        <w:spacing w:before="120" w:after="120" w:line="360" w:lineRule="auto"/>
        <w:ind w:right="0"/>
        <w:jc w:val="both"/>
        <w:rPr>
          <w:rFonts w:asciiTheme="minorHAnsi" w:hAnsiTheme="minorHAnsi" w:cstheme="minorHAnsi"/>
          <w:sz w:val="22"/>
          <w:szCs w:val="22"/>
        </w:rPr>
      </w:pPr>
      <w:r w:rsidRPr="00253C28">
        <w:rPr>
          <w:rFonts w:asciiTheme="minorHAnsi" w:hAnsiTheme="minorHAnsi" w:cstheme="minorHAnsi"/>
          <w:sz w:val="22"/>
          <w:szCs w:val="22"/>
          <w:u w:val="single"/>
        </w:rPr>
        <w:t>Krzyżowa analiza danych (wiek)</w:t>
      </w:r>
      <w:r w:rsidRPr="00253C28">
        <w:rPr>
          <w:rFonts w:asciiTheme="minorHAnsi" w:hAnsiTheme="minorHAnsi" w:cstheme="minorHAnsi"/>
          <w:sz w:val="22"/>
          <w:szCs w:val="22"/>
        </w:rPr>
        <w:t xml:space="preserve"> – dla każdego obszaru badania należy analizować rezultaty z pe</w:t>
      </w:r>
      <w:r w:rsidRPr="00253C28">
        <w:rPr>
          <w:rFonts w:asciiTheme="minorHAnsi" w:hAnsiTheme="minorHAnsi" w:cstheme="minorHAnsi"/>
          <w:sz w:val="22"/>
          <w:szCs w:val="22"/>
        </w:rPr>
        <w:t>r</w:t>
      </w:r>
      <w:r w:rsidRPr="00253C28">
        <w:rPr>
          <w:rFonts w:asciiTheme="minorHAnsi" w:hAnsiTheme="minorHAnsi" w:cstheme="minorHAnsi"/>
          <w:sz w:val="22"/>
          <w:szCs w:val="22"/>
        </w:rPr>
        <w:t>spektywy wieku. Z badań EUROSTAT (2004-2005) wynika, że w niektórych obszarach w powiąz</w:t>
      </w:r>
      <w:r w:rsidRPr="00253C28">
        <w:rPr>
          <w:rFonts w:asciiTheme="minorHAnsi" w:hAnsiTheme="minorHAnsi" w:cstheme="minorHAnsi"/>
          <w:sz w:val="22"/>
          <w:szCs w:val="22"/>
        </w:rPr>
        <w:t>a</w:t>
      </w:r>
      <w:r w:rsidRPr="00253C28">
        <w:rPr>
          <w:rFonts w:asciiTheme="minorHAnsi" w:hAnsiTheme="minorHAnsi" w:cstheme="minorHAnsi"/>
          <w:sz w:val="22"/>
          <w:szCs w:val="22"/>
        </w:rPr>
        <w:lastRenderedPageBreak/>
        <w:t>niu z płcią i wiekiem występują różnice w sposobie pozyskiwania informacji i potrzebach dotycz</w:t>
      </w:r>
      <w:r w:rsidRPr="00253C28">
        <w:rPr>
          <w:rFonts w:asciiTheme="minorHAnsi" w:hAnsiTheme="minorHAnsi" w:cstheme="minorHAnsi"/>
          <w:sz w:val="22"/>
          <w:szCs w:val="22"/>
        </w:rPr>
        <w:t>ą</w:t>
      </w:r>
      <w:r w:rsidRPr="00253C28">
        <w:rPr>
          <w:rFonts w:asciiTheme="minorHAnsi" w:hAnsiTheme="minorHAnsi" w:cstheme="minorHAnsi"/>
          <w:sz w:val="22"/>
          <w:szCs w:val="22"/>
        </w:rPr>
        <w:t>cych obsługi. Szczególnie kategoria wieku może być czynnikiem krytycznym a dotyczącym roz</w:t>
      </w:r>
      <w:r w:rsidRPr="00253C28">
        <w:rPr>
          <w:rFonts w:asciiTheme="minorHAnsi" w:hAnsiTheme="minorHAnsi" w:cstheme="minorHAnsi"/>
          <w:sz w:val="22"/>
          <w:szCs w:val="22"/>
        </w:rPr>
        <w:t>u</w:t>
      </w:r>
      <w:r w:rsidRPr="00253C28">
        <w:rPr>
          <w:rFonts w:asciiTheme="minorHAnsi" w:hAnsiTheme="minorHAnsi" w:cstheme="minorHAnsi"/>
          <w:sz w:val="22"/>
          <w:szCs w:val="22"/>
        </w:rPr>
        <w:t xml:space="preserve">mienia instrukcji, rozumienia procesu usługi. </w:t>
      </w:r>
    </w:p>
    <w:p w:rsidR="001B4A6A" w:rsidRPr="001B4A6A" w:rsidRDefault="001B4A6A" w:rsidP="00C74D9F">
      <w:pPr>
        <w:pStyle w:val="Akapitzlist"/>
        <w:spacing w:before="120" w:after="120" w:line="360" w:lineRule="auto"/>
        <w:ind w:left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1B4A6A">
        <w:rPr>
          <w:rFonts w:asciiTheme="minorHAnsi" w:hAnsiTheme="minorHAnsi" w:cstheme="minorHAnsi"/>
          <w:b/>
          <w:sz w:val="22"/>
          <w:szCs w:val="22"/>
        </w:rPr>
        <w:t xml:space="preserve">Etap tworzenia Kart Usług </w:t>
      </w:r>
    </w:p>
    <w:p w:rsidR="001B4A6A" w:rsidRPr="001B4A6A" w:rsidRDefault="001B4A6A" w:rsidP="00C74D9F">
      <w:pPr>
        <w:pStyle w:val="Akapitzlist"/>
        <w:numPr>
          <w:ilvl w:val="0"/>
          <w:numId w:val="31"/>
        </w:numPr>
        <w:spacing w:before="120" w:after="120" w:line="360" w:lineRule="auto"/>
        <w:ind w:left="360" w:right="0"/>
        <w:jc w:val="both"/>
        <w:rPr>
          <w:rFonts w:asciiTheme="minorHAnsi" w:hAnsiTheme="minorHAnsi" w:cstheme="minorHAnsi"/>
          <w:sz w:val="22"/>
          <w:szCs w:val="22"/>
        </w:rPr>
      </w:pPr>
      <w:r w:rsidRPr="001B4A6A">
        <w:rPr>
          <w:rFonts w:asciiTheme="minorHAnsi" w:hAnsiTheme="minorHAnsi" w:cstheme="minorHAnsi"/>
          <w:sz w:val="22"/>
          <w:szCs w:val="22"/>
          <w:u w:val="single"/>
        </w:rPr>
        <w:t>Należy zadbać o neutralność i bezpośredniość instrukcji.</w:t>
      </w:r>
      <w:r w:rsidRPr="001B4A6A">
        <w:rPr>
          <w:rFonts w:asciiTheme="minorHAnsi" w:hAnsiTheme="minorHAnsi" w:cstheme="minorHAnsi"/>
          <w:sz w:val="22"/>
          <w:szCs w:val="22"/>
        </w:rPr>
        <w:t xml:space="preserve"> Zwracanie się bezpośrednie za pomocą wyrażeń typu: „</w:t>
      </w:r>
      <w:r w:rsidRPr="001B4A6A">
        <w:rPr>
          <w:rFonts w:asciiTheme="minorHAnsi" w:hAnsiTheme="minorHAnsi" w:cstheme="minorHAnsi"/>
          <w:i/>
          <w:sz w:val="22"/>
          <w:szCs w:val="22"/>
        </w:rPr>
        <w:t>pobierz, sprawdź przed udaniem się do urzędu”</w:t>
      </w:r>
      <w:r w:rsidRPr="001B4A6A">
        <w:rPr>
          <w:rFonts w:asciiTheme="minorHAnsi" w:hAnsiTheme="minorHAnsi" w:cstheme="minorHAnsi"/>
          <w:sz w:val="22"/>
          <w:szCs w:val="22"/>
        </w:rPr>
        <w:t xml:space="preserve"> daje lepszy efekt na poziomie z</w:t>
      </w:r>
      <w:r w:rsidRPr="001B4A6A">
        <w:rPr>
          <w:rFonts w:asciiTheme="minorHAnsi" w:hAnsiTheme="minorHAnsi" w:cstheme="minorHAnsi"/>
          <w:sz w:val="22"/>
          <w:szCs w:val="22"/>
        </w:rPr>
        <w:t>a</w:t>
      </w:r>
      <w:r w:rsidRPr="001B4A6A">
        <w:rPr>
          <w:rFonts w:asciiTheme="minorHAnsi" w:hAnsiTheme="minorHAnsi" w:cstheme="minorHAnsi"/>
          <w:sz w:val="22"/>
          <w:szCs w:val="22"/>
        </w:rPr>
        <w:t>chowań osób postępujących według instrukcji krok po kroku, eliminuje pułapki językowe związ</w:t>
      </w:r>
      <w:r w:rsidRPr="001B4A6A">
        <w:rPr>
          <w:rFonts w:asciiTheme="minorHAnsi" w:hAnsiTheme="minorHAnsi" w:cstheme="minorHAnsi"/>
          <w:sz w:val="22"/>
          <w:szCs w:val="22"/>
        </w:rPr>
        <w:t>a</w:t>
      </w:r>
      <w:r w:rsidRPr="001B4A6A">
        <w:rPr>
          <w:rFonts w:asciiTheme="minorHAnsi" w:hAnsiTheme="minorHAnsi" w:cstheme="minorHAnsi"/>
          <w:sz w:val="22"/>
          <w:szCs w:val="22"/>
        </w:rPr>
        <w:t xml:space="preserve">ne z rodzajem (płcią). Szczególnie na to zalecenie powinny zwrócić uwagę urzędy skarbowe, w których dominuje pojęcie </w:t>
      </w:r>
      <w:r w:rsidRPr="001B4A6A">
        <w:rPr>
          <w:rFonts w:asciiTheme="minorHAnsi" w:hAnsiTheme="minorHAnsi" w:cstheme="minorHAnsi"/>
          <w:i/>
          <w:sz w:val="22"/>
          <w:szCs w:val="22"/>
        </w:rPr>
        <w:t>„podatnik”,</w:t>
      </w:r>
      <w:r w:rsidRPr="001B4A6A">
        <w:rPr>
          <w:rFonts w:asciiTheme="minorHAnsi" w:hAnsiTheme="minorHAnsi" w:cstheme="minorHAnsi"/>
          <w:sz w:val="22"/>
          <w:szCs w:val="22"/>
        </w:rPr>
        <w:t xml:space="preserve"> a rzadko lub wcale </w:t>
      </w:r>
      <w:r w:rsidRPr="001B4A6A">
        <w:rPr>
          <w:rFonts w:asciiTheme="minorHAnsi" w:hAnsiTheme="minorHAnsi" w:cstheme="minorHAnsi"/>
          <w:i/>
          <w:sz w:val="22"/>
          <w:szCs w:val="22"/>
        </w:rPr>
        <w:t>„podatniczka”</w:t>
      </w:r>
      <w:r w:rsidRPr="001B4A6A">
        <w:rPr>
          <w:rFonts w:asciiTheme="minorHAnsi" w:hAnsiTheme="minorHAnsi" w:cstheme="minorHAnsi"/>
          <w:sz w:val="22"/>
          <w:szCs w:val="22"/>
        </w:rPr>
        <w:t>. Zważywszy, że najwię</w:t>
      </w:r>
      <w:r w:rsidRPr="001B4A6A">
        <w:rPr>
          <w:rFonts w:asciiTheme="minorHAnsi" w:hAnsiTheme="minorHAnsi" w:cstheme="minorHAnsi"/>
          <w:sz w:val="22"/>
          <w:szCs w:val="22"/>
        </w:rPr>
        <w:t>k</w:t>
      </w:r>
      <w:r w:rsidRPr="001B4A6A">
        <w:rPr>
          <w:rFonts w:asciiTheme="minorHAnsi" w:hAnsiTheme="minorHAnsi" w:cstheme="minorHAnsi"/>
          <w:sz w:val="22"/>
          <w:szCs w:val="22"/>
        </w:rPr>
        <w:t xml:space="preserve">szą grupę osób </w:t>
      </w:r>
      <w:proofErr w:type="spellStart"/>
      <w:r w:rsidRPr="001B4A6A">
        <w:rPr>
          <w:rFonts w:asciiTheme="minorHAnsi" w:hAnsiTheme="minorHAnsi" w:cstheme="minorHAnsi"/>
          <w:sz w:val="22"/>
          <w:szCs w:val="22"/>
        </w:rPr>
        <w:t>samozatrudnionych</w:t>
      </w:r>
      <w:proofErr w:type="spellEnd"/>
      <w:r w:rsidRPr="001B4A6A">
        <w:rPr>
          <w:rFonts w:asciiTheme="minorHAnsi" w:hAnsiTheme="minorHAnsi" w:cstheme="minorHAnsi"/>
          <w:sz w:val="22"/>
          <w:szCs w:val="22"/>
        </w:rPr>
        <w:t xml:space="preserve"> stanowią kobiety, nierzadko zmuszone sytuacją do założenia działalności gospodarczej, należy uznać ten czynnik za wystarczający do odpowiedniego form</w:t>
      </w:r>
      <w:r w:rsidRPr="001B4A6A">
        <w:rPr>
          <w:rFonts w:asciiTheme="minorHAnsi" w:hAnsiTheme="minorHAnsi" w:cstheme="minorHAnsi"/>
          <w:sz w:val="22"/>
          <w:szCs w:val="22"/>
        </w:rPr>
        <w:t>u</w:t>
      </w:r>
      <w:r w:rsidRPr="001B4A6A">
        <w:rPr>
          <w:rFonts w:asciiTheme="minorHAnsi" w:hAnsiTheme="minorHAnsi" w:cstheme="minorHAnsi"/>
          <w:sz w:val="22"/>
          <w:szCs w:val="22"/>
        </w:rPr>
        <w:t>łowania instrukcji i zaleceń w Kartach Usług.</w:t>
      </w:r>
    </w:p>
    <w:p w:rsidR="001B4A6A" w:rsidRPr="001B4A6A" w:rsidRDefault="001B4A6A" w:rsidP="00C74D9F">
      <w:pPr>
        <w:pStyle w:val="Akapitzlist"/>
        <w:numPr>
          <w:ilvl w:val="0"/>
          <w:numId w:val="31"/>
        </w:numPr>
        <w:spacing w:before="120" w:after="120" w:line="360" w:lineRule="auto"/>
        <w:ind w:left="360" w:right="0"/>
        <w:jc w:val="both"/>
        <w:rPr>
          <w:rFonts w:asciiTheme="minorHAnsi" w:hAnsiTheme="minorHAnsi" w:cstheme="minorHAnsi"/>
          <w:sz w:val="22"/>
          <w:szCs w:val="22"/>
        </w:rPr>
      </w:pPr>
      <w:r w:rsidRPr="001B4A6A">
        <w:rPr>
          <w:rFonts w:asciiTheme="minorHAnsi" w:hAnsiTheme="minorHAnsi" w:cstheme="minorHAnsi"/>
          <w:sz w:val="22"/>
          <w:szCs w:val="22"/>
          <w:u w:val="single"/>
        </w:rPr>
        <w:t>Dostępność podstawowych instrukcji w językach obcych</w:t>
      </w:r>
      <w:r w:rsidRPr="001B4A6A">
        <w:rPr>
          <w:rFonts w:asciiTheme="minorHAnsi" w:hAnsiTheme="minorHAnsi" w:cstheme="minorHAnsi"/>
          <w:sz w:val="22"/>
          <w:szCs w:val="22"/>
        </w:rPr>
        <w:t xml:space="preserve"> reprezentowanych przez mniejszości oraz osoby mieszkające i prowadzące działalność na terenie RP. Powyższe zalecenie wynika z d</w:t>
      </w:r>
      <w:r w:rsidRPr="001B4A6A">
        <w:rPr>
          <w:rFonts w:asciiTheme="minorHAnsi" w:hAnsiTheme="minorHAnsi" w:cstheme="minorHAnsi"/>
          <w:sz w:val="22"/>
          <w:szCs w:val="22"/>
        </w:rPr>
        <w:t>y</w:t>
      </w:r>
      <w:r w:rsidRPr="001B4A6A">
        <w:rPr>
          <w:rFonts w:asciiTheme="minorHAnsi" w:hAnsiTheme="minorHAnsi" w:cstheme="minorHAnsi"/>
          <w:sz w:val="22"/>
          <w:szCs w:val="22"/>
        </w:rPr>
        <w:t>rektyw i zaleceń KE dotyczących wspierania mobilności, dostępu do informacji, swobody gosp</w:t>
      </w:r>
      <w:r w:rsidRPr="001B4A6A">
        <w:rPr>
          <w:rFonts w:asciiTheme="minorHAnsi" w:hAnsiTheme="minorHAnsi" w:cstheme="minorHAnsi"/>
          <w:sz w:val="22"/>
          <w:szCs w:val="22"/>
        </w:rPr>
        <w:t>o</w:t>
      </w:r>
      <w:r w:rsidRPr="001B4A6A">
        <w:rPr>
          <w:rFonts w:asciiTheme="minorHAnsi" w:hAnsiTheme="minorHAnsi" w:cstheme="minorHAnsi"/>
          <w:sz w:val="22"/>
          <w:szCs w:val="22"/>
        </w:rPr>
        <w:t xml:space="preserve">darczej. Na poziomie zarządzania usługami w urzędach pozwala efektywnie/produktywnie zarządzać czasem i zadaniami. W szczególności uwaga dotyczy Wydziałów Spraw Obywatelskich </w:t>
      </w:r>
      <w:r w:rsidR="00253C28">
        <w:rPr>
          <w:rFonts w:asciiTheme="minorHAnsi" w:hAnsiTheme="minorHAnsi" w:cstheme="minorHAnsi"/>
          <w:sz w:val="22"/>
          <w:szCs w:val="22"/>
        </w:rPr>
        <w:br/>
      </w:r>
      <w:r w:rsidRPr="001B4A6A">
        <w:rPr>
          <w:rFonts w:asciiTheme="minorHAnsi" w:hAnsiTheme="minorHAnsi" w:cstheme="minorHAnsi"/>
          <w:sz w:val="22"/>
          <w:szCs w:val="22"/>
        </w:rPr>
        <w:t>i języków takich jak rosyjski, ukraiński, wietnamski, chiński, niemiecki oraz angielski jako najpo</w:t>
      </w:r>
      <w:r w:rsidRPr="001B4A6A">
        <w:rPr>
          <w:rFonts w:asciiTheme="minorHAnsi" w:hAnsiTheme="minorHAnsi" w:cstheme="minorHAnsi"/>
          <w:sz w:val="22"/>
          <w:szCs w:val="22"/>
        </w:rPr>
        <w:t>w</w:t>
      </w:r>
      <w:r w:rsidRPr="001B4A6A">
        <w:rPr>
          <w:rFonts w:asciiTheme="minorHAnsi" w:hAnsiTheme="minorHAnsi" w:cstheme="minorHAnsi"/>
          <w:sz w:val="22"/>
          <w:szCs w:val="22"/>
        </w:rPr>
        <w:t xml:space="preserve">szechniejszy w UE. </w:t>
      </w:r>
    </w:p>
    <w:p w:rsidR="001B4A6A" w:rsidRPr="001B4A6A" w:rsidRDefault="001B4A6A" w:rsidP="00253C28">
      <w:pPr>
        <w:pStyle w:val="Akapitzlist"/>
        <w:tabs>
          <w:tab w:val="left" w:pos="9072"/>
        </w:tabs>
        <w:spacing w:before="120" w:after="120" w:line="360" w:lineRule="auto"/>
        <w:ind w:left="360" w:right="0"/>
        <w:jc w:val="both"/>
        <w:rPr>
          <w:rFonts w:asciiTheme="minorHAnsi" w:hAnsiTheme="minorHAnsi" w:cstheme="minorHAnsi"/>
          <w:sz w:val="22"/>
          <w:szCs w:val="22"/>
        </w:rPr>
      </w:pPr>
      <w:r w:rsidRPr="001B4A6A">
        <w:rPr>
          <w:rFonts w:asciiTheme="minorHAnsi" w:hAnsiTheme="minorHAnsi" w:cstheme="minorHAnsi"/>
          <w:sz w:val="22"/>
          <w:szCs w:val="22"/>
        </w:rPr>
        <w:t>Kolejność wymienionych wynika z liczby spraw zgłaszanych przez klientów, przy czym w zale</w:t>
      </w:r>
      <w:r w:rsidR="00253C28">
        <w:rPr>
          <w:rFonts w:asciiTheme="minorHAnsi" w:hAnsiTheme="minorHAnsi" w:cstheme="minorHAnsi"/>
          <w:sz w:val="22"/>
          <w:szCs w:val="22"/>
        </w:rPr>
        <w:t>ż</w:t>
      </w:r>
      <w:r w:rsidRPr="001B4A6A">
        <w:rPr>
          <w:rFonts w:asciiTheme="minorHAnsi" w:hAnsiTheme="minorHAnsi" w:cstheme="minorHAnsi"/>
          <w:sz w:val="22"/>
          <w:szCs w:val="22"/>
        </w:rPr>
        <w:t>n</w:t>
      </w:r>
      <w:r w:rsidRPr="001B4A6A">
        <w:rPr>
          <w:rFonts w:asciiTheme="minorHAnsi" w:hAnsiTheme="minorHAnsi" w:cstheme="minorHAnsi"/>
          <w:sz w:val="22"/>
          <w:szCs w:val="22"/>
        </w:rPr>
        <w:t>o</w:t>
      </w:r>
      <w:r w:rsidRPr="001B4A6A">
        <w:rPr>
          <w:rFonts w:asciiTheme="minorHAnsi" w:hAnsiTheme="minorHAnsi" w:cstheme="minorHAnsi"/>
          <w:sz w:val="22"/>
          <w:szCs w:val="22"/>
        </w:rPr>
        <w:t>ści od regionu może być różna. Zalecenie dotyczące podstawowych instrukcji w językach obcych dotyczy również urzędów skarbowych, tzw. pierwszych urzędów skarbowych obsługujących duże podmioty, Głównego Urzędu Ceł, izb i urzędów celnych. W tych jednostkach stwierdzono najni</w:t>
      </w:r>
      <w:r w:rsidRPr="001B4A6A">
        <w:rPr>
          <w:rFonts w:asciiTheme="minorHAnsi" w:hAnsiTheme="minorHAnsi" w:cstheme="minorHAnsi"/>
          <w:sz w:val="22"/>
          <w:szCs w:val="22"/>
        </w:rPr>
        <w:t>ż</w:t>
      </w:r>
      <w:r w:rsidRPr="001B4A6A">
        <w:rPr>
          <w:rFonts w:asciiTheme="minorHAnsi" w:hAnsiTheme="minorHAnsi" w:cstheme="minorHAnsi"/>
          <w:sz w:val="22"/>
          <w:szCs w:val="22"/>
        </w:rPr>
        <w:t xml:space="preserve">szą liczbę powszechnie dostępnych i zrozumiałych kart i opisów usług w ogóle, a dokumentacji </w:t>
      </w:r>
      <w:r w:rsidR="00253C28">
        <w:rPr>
          <w:rFonts w:asciiTheme="minorHAnsi" w:hAnsiTheme="minorHAnsi" w:cstheme="minorHAnsi"/>
          <w:sz w:val="22"/>
          <w:szCs w:val="22"/>
        </w:rPr>
        <w:br/>
      </w:r>
      <w:r w:rsidRPr="001B4A6A">
        <w:rPr>
          <w:rFonts w:asciiTheme="minorHAnsi" w:hAnsiTheme="minorHAnsi" w:cstheme="minorHAnsi"/>
          <w:sz w:val="22"/>
          <w:szCs w:val="22"/>
        </w:rPr>
        <w:t>w językach obcych w szczególności, przy czym należy podkreślić, że pracownicy tych urzędów p</w:t>
      </w:r>
      <w:r w:rsidRPr="001B4A6A">
        <w:rPr>
          <w:rFonts w:asciiTheme="minorHAnsi" w:hAnsiTheme="minorHAnsi" w:cstheme="minorHAnsi"/>
          <w:sz w:val="22"/>
          <w:szCs w:val="22"/>
        </w:rPr>
        <w:t>o</w:t>
      </w:r>
      <w:r w:rsidRPr="001B4A6A">
        <w:rPr>
          <w:rFonts w:asciiTheme="minorHAnsi" w:hAnsiTheme="minorHAnsi" w:cstheme="minorHAnsi"/>
          <w:sz w:val="22"/>
          <w:szCs w:val="22"/>
        </w:rPr>
        <w:t>siadają kompetencje i doświadczenie posługiwania się językami obcymi nabyte w procesie obsł</w:t>
      </w:r>
      <w:r w:rsidRPr="001B4A6A">
        <w:rPr>
          <w:rFonts w:asciiTheme="minorHAnsi" w:hAnsiTheme="minorHAnsi" w:cstheme="minorHAnsi"/>
          <w:sz w:val="22"/>
          <w:szCs w:val="22"/>
        </w:rPr>
        <w:t>u</w:t>
      </w:r>
      <w:r w:rsidRPr="001B4A6A">
        <w:rPr>
          <w:rFonts w:asciiTheme="minorHAnsi" w:hAnsiTheme="minorHAnsi" w:cstheme="minorHAnsi"/>
          <w:sz w:val="22"/>
          <w:szCs w:val="22"/>
        </w:rPr>
        <w:t xml:space="preserve">gi podmiotów w obszarze Schengen. </w:t>
      </w:r>
    </w:p>
    <w:p w:rsidR="00C74D9F" w:rsidRDefault="001B4A6A" w:rsidP="00C74D9F">
      <w:pPr>
        <w:pStyle w:val="Akapitzlist"/>
        <w:numPr>
          <w:ilvl w:val="0"/>
          <w:numId w:val="31"/>
        </w:numPr>
        <w:spacing w:before="120" w:after="120" w:line="360" w:lineRule="auto"/>
        <w:ind w:left="360" w:right="0"/>
        <w:jc w:val="both"/>
        <w:rPr>
          <w:rFonts w:asciiTheme="minorHAnsi" w:hAnsiTheme="minorHAnsi" w:cstheme="minorHAnsi"/>
          <w:sz w:val="22"/>
          <w:szCs w:val="22"/>
        </w:rPr>
      </w:pPr>
      <w:r w:rsidRPr="001B4A6A">
        <w:rPr>
          <w:rFonts w:asciiTheme="minorHAnsi" w:hAnsiTheme="minorHAnsi" w:cstheme="minorHAnsi"/>
          <w:sz w:val="22"/>
          <w:szCs w:val="22"/>
          <w:u w:val="single"/>
        </w:rPr>
        <w:t>Dostępność Kart Usług – perspektywa wieku.</w:t>
      </w:r>
      <w:r w:rsidRPr="001B4A6A">
        <w:rPr>
          <w:rFonts w:asciiTheme="minorHAnsi" w:hAnsiTheme="minorHAnsi" w:cstheme="minorHAnsi"/>
          <w:sz w:val="22"/>
          <w:szCs w:val="22"/>
        </w:rPr>
        <w:t xml:space="preserve"> Opracowane instrukcje należy analizować pod k</w:t>
      </w:r>
      <w:r w:rsidRPr="001B4A6A">
        <w:rPr>
          <w:rFonts w:asciiTheme="minorHAnsi" w:hAnsiTheme="minorHAnsi" w:cstheme="minorHAnsi"/>
          <w:sz w:val="22"/>
          <w:szCs w:val="22"/>
        </w:rPr>
        <w:t>ą</w:t>
      </w:r>
      <w:r w:rsidRPr="001B4A6A">
        <w:rPr>
          <w:rFonts w:asciiTheme="minorHAnsi" w:hAnsiTheme="minorHAnsi" w:cstheme="minorHAnsi"/>
          <w:sz w:val="22"/>
          <w:szCs w:val="22"/>
        </w:rPr>
        <w:t>tem wieku i możliwości percepcyjnych np. wielkość czcionki. Uwaga dotyczy sytuacji gdy info</w:t>
      </w:r>
      <w:r w:rsidRPr="001B4A6A">
        <w:rPr>
          <w:rFonts w:asciiTheme="minorHAnsi" w:hAnsiTheme="minorHAnsi" w:cstheme="minorHAnsi"/>
          <w:sz w:val="22"/>
          <w:szCs w:val="22"/>
        </w:rPr>
        <w:t>r</w:t>
      </w:r>
      <w:r w:rsidRPr="001B4A6A">
        <w:rPr>
          <w:rFonts w:asciiTheme="minorHAnsi" w:hAnsiTheme="minorHAnsi" w:cstheme="minorHAnsi"/>
          <w:sz w:val="22"/>
          <w:szCs w:val="22"/>
        </w:rPr>
        <w:t xml:space="preserve">macja/Karta Usługi - jest udostępniana w formie wydrukowanej ( tzw. papierowej). Powszechnie stosowana zasada oszczędności powoduje, że informacje są drukowane w pomniejszeniu. Taka forma jest nieczytelna dla większości osób 45+ co powoduje wykluczenie z dostępu do informacji. </w:t>
      </w:r>
    </w:p>
    <w:p w:rsidR="00C74D9F" w:rsidRDefault="00C74D9F" w:rsidP="00C74D9F">
      <w:pPr>
        <w:pStyle w:val="Akapitzlist"/>
        <w:spacing w:before="120" w:after="120" w:line="360" w:lineRule="auto"/>
        <w:ind w:left="360" w:right="0"/>
        <w:jc w:val="both"/>
        <w:rPr>
          <w:rFonts w:asciiTheme="minorHAnsi" w:hAnsiTheme="minorHAnsi" w:cstheme="minorHAnsi"/>
          <w:sz w:val="22"/>
          <w:szCs w:val="22"/>
          <w:u w:val="single"/>
        </w:rPr>
      </w:pPr>
    </w:p>
    <w:p w:rsidR="00C74D9F" w:rsidRDefault="00C74D9F" w:rsidP="00C74D9F">
      <w:pPr>
        <w:pStyle w:val="Akapitzlist"/>
        <w:spacing w:before="120" w:after="120" w:line="360" w:lineRule="auto"/>
        <w:ind w:left="360" w:right="0"/>
        <w:jc w:val="both"/>
        <w:rPr>
          <w:rFonts w:asciiTheme="minorHAnsi" w:hAnsiTheme="minorHAnsi" w:cstheme="minorHAnsi"/>
          <w:sz w:val="22"/>
          <w:szCs w:val="22"/>
          <w:u w:val="single"/>
        </w:rPr>
      </w:pPr>
    </w:p>
    <w:p w:rsidR="001B4A6A" w:rsidRPr="001B4A6A" w:rsidRDefault="001B4A6A" w:rsidP="00C74D9F">
      <w:pPr>
        <w:pStyle w:val="Akapitzlist"/>
        <w:spacing w:before="120" w:after="120" w:line="360" w:lineRule="auto"/>
        <w:ind w:left="360" w:right="0"/>
        <w:jc w:val="both"/>
        <w:rPr>
          <w:rFonts w:asciiTheme="minorHAnsi" w:hAnsiTheme="minorHAnsi" w:cstheme="minorHAnsi"/>
          <w:sz w:val="22"/>
          <w:szCs w:val="22"/>
        </w:rPr>
      </w:pPr>
      <w:r w:rsidRPr="001B4A6A">
        <w:rPr>
          <w:rFonts w:asciiTheme="minorHAnsi" w:hAnsiTheme="minorHAnsi" w:cstheme="minorHAnsi"/>
          <w:sz w:val="22"/>
          <w:szCs w:val="22"/>
        </w:rPr>
        <w:t>Karty Usług w formie elektronicznej powinny dawać możliwość powiększenia czcionki i/ lub być opatrzone instrukcją, jak użytkownicy mogą powiększyć tekst na monitorze.</w:t>
      </w:r>
    </w:p>
    <w:p w:rsidR="001B4A6A" w:rsidRPr="001B4A6A" w:rsidRDefault="001B4A6A" w:rsidP="00C74D9F">
      <w:pPr>
        <w:pStyle w:val="Akapitzlist"/>
        <w:numPr>
          <w:ilvl w:val="0"/>
          <w:numId w:val="31"/>
        </w:numPr>
        <w:spacing w:before="120" w:after="120" w:line="360" w:lineRule="auto"/>
        <w:ind w:left="360" w:right="0"/>
        <w:jc w:val="both"/>
        <w:rPr>
          <w:rFonts w:asciiTheme="minorHAnsi" w:hAnsiTheme="minorHAnsi" w:cstheme="minorHAnsi"/>
          <w:sz w:val="22"/>
          <w:szCs w:val="22"/>
        </w:rPr>
      </w:pPr>
      <w:r w:rsidRPr="001B4A6A">
        <w:rPr>
          <w:rFonts w:asciiTheme="minorHAnsi" w:hAnsiTheme="minorHAnsi" w:cstheme="minorHAnsi"/>
          <w:sz w:val="22"/>
          <w:szCs w:val="22"/>
          <w:u w:val="single"/>
        </w:rPr>
        <w:t>Dostępność Kart Usług - perspektywa osób niepełnosprawnych i osób starszych</w:t>
      </w:r>
      <w:r w:rsidRPr="001B4A6A">
        <w:rPr>
          <w:rFonts w:asciiTheme="minorHAnsi" w:hAnsiTheme="minorHAnsi" w:cstheme="minorHAnsi"/>
          <w:b/>
          <w:sz w:val="22"/>
          <w:szCs w:val="22"/>
        </w:rPr>
        <w:t xml:space="preserve">. </w:t>
      </w:r>
      <w:r w:rsidRPr="001B4A6A">
        <w:rPr>
          <w:rFonts w:asciiTheme="minorHAnsi" w:hAnsiTheme="minorHAnsi" w:cstheme="minorHAnsi"/>
          <w:sz w:val="22"/>
          <w:szCs w:val="22"/>
        </w:rPr>
        <w:t xml:space="preserve">Podstawowe instrukcje powinny być dostępne w wersji lektorskiej dla osób niedowidzących i niewidomych. Czas wypełniania formularzy </w:t>
      </w:r>
      <w:proofErr w:type="spellStart"/>
      <w:r w:rsidRPr="001B4A6A">
        <w:rPr>
          <w:rFonts w:asciiTheme="minorHAnsi" w:hAnsiTheme="minorHAnsi" w:cstheme="minorHAnsi"/>
          <w:sz w:val="22"/>
          <w:szCs w:val="22"/>
        </w:rPr>
        <w:t>on-line</w:t>
      </w:r>
      <w:proofErr w:type="spellEnd"/>
      <w:r w:rsidRPr="001B4A6A">
        <w:rPr>
          <w:rFonts w:asciiTheme="minorHAnsi" w:hAnsiTheme="minorHAnsi" w:cstheme="minorHAnsi"/>
          <w:sz w:val="22"/>
          <w:szCs w:val="22"/>
        </w:rPr>
        <w:t xml:space="preserve"> powinien być elastyczny ze względu na ograniczenia man</w:t>
      </w:r>
      <w:r w:rsidRPr="001B4A6A">
        <w:rPr>
          <w:rFonts w:asciiTheme="minorHAnsi" w:hAnsiTheme="minorHAnsi" w:cstheme="minorHAnsi"/>
          <w:sz w:val="22"/>
          <w:szCs w:val="22"/>
        </w:rPr>
        <w:t>u</w:t>
      </w:r>
      <w:r w:rsidRPr="001B4A6A">
        <w:rPr>
          <w:rFonts w:asciiTheme="minorHAnsi" w:hAnsiTheme="minorHAnsi" w:cstheme="minorHAnsi"/>
          <w:sz w:val="22"/>
          <w:szCs w:val="22"/>
        </w:rPr>
        <w:t>alne (np. powolne pisanie).</w:t>
      </w:r>
    </w:p>
    <w:p w:rsidR="004C6D3D" w:rsidRPr="001B4A6A" w:rsidRDefault="004C6D3D" w:rsidP="00C74D9F">
      <w:pPr>
        <w:jc w:val="both"/>
        <w:rPr>
          <w:sz w:val="22"/>
          <w:szCs w:val="22"/>
        </w:rPr>
      </w:pPr>
    </w:p>
    <w:sectPr w:rsidR="004C6D3D" w:rsidRPr="001B4A6A" w:rsidSect="001B4A6A">
      <w:headerReference w:type="default" r:id="rId8"/>
      <w:footerReference w:type="even" r:id="rId9"/>
      <w:footerReference w:type="default" r:id="rId10"/>
      <w:pgSz w:w="11906" w:h="16838" w:code="9"/>
      <w:pgMar w:top="1417" w:right="1417" w:bottom="1417" w:left="1417" w:header="709" w:footer="782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10270" w:rsidRDefault="00810270">
      <w:pPr>
        <w:spacing w:line="240" w:lineRule="auto"/>
      </w:pPr>
      <w:r>
        <w:separator/>
      </w:r>
    </w:p>
  </w:endnote>
  <w:endnote w:type="continuationSeparator" w:id="0">
    <w:p w:rsidR="00810270" w:rsidRDefault="00810270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20000287" w:usb1="00000000" w:usb2="00000000" w:usb3="00000000" w:csb0="0000019F" w:csb1="00000000"/>
  </w:font>
  <w:font w:name="InfoOTDispPl-Book">
    <w:altName w:val="Arial"/>
    <w:panose1 w:val="00000000000000000000"/>
    <w:charset w:val="00"/>
    <w:family w:val="modern"/>
    <w:notTrueType/>
    <w:pitch w:val="variable"/>
    <w:sig w:usb0="00000001" w:usb1="5000204B" w:usb2="00000000" w:usb3="00000000" w:csb0="00000003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6655B" w:rsidRDefault="00C6655B" w:rsidP="009949A1"/>
  <w:p w:rsidR="00C6655B" w:rsidRDefault="00C6655B"/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272AD" w:rsidRDefault="00E272AD" w:rsidP="00E272AD">
    <w:pPr>
      <w:pStyle w:val="Stopka"/>
    </w:pPr>
    <w:r>
      <w:rPr>
        <w:noProof/>
      </w:rPr>
      <w:pict>
        <v:group id="_x0000_s8203" style="position:absolute;margin-left:-13.2pt;margin-top:-6.55pt;width:482.25pt;height:64.5pt;z-index:251663360" coordorigin="1087,15359" coordsize="9645,12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21" o:spid="_x0000_s8204" type="#_x0000_t75" alt="Sofrecom" style="position:absolute;left:9298;top:15752;width:1434;height:504;visibility:visible">
            <v:imagedata r:id="rId1" o:title=""/>
          </v:shape>
          <v:shape id="Picture 1" o:spid="_x0000_s8205" type="#_x0000_t75" style="position:absolute;left:4959;top:15359;width:1553;height:1290;visibility:visible" o:allowoverlap="f">
            <v:imagedata r:id="rId2" o:title="" croptop="40234f" cropbottom="4612f" cropright="5843f"/>
          </v:shape>
          <v:shape id="Picture 5" o:spid="_x0000_s8206" type="#_x0000_t75" alt="ClientFirst" style="position:absolute;left:1087;top:15766;width:1807;height:475;visibility:visible">
            <v:imagedata r:id="rId3" o:title=""/>
          </v:shape>
          <v:shape id="Picture 6" o:spid="_x0000_s8207" type="#_x0000_t75" alt="IQS" style="position:absolute;left:3519;top:15699;width:815;height:611;visibility:visible">
            <v:imagedata r:id="rId4" o:title=""/>
          </v:shape>
          <v:shape id="Picture 7" o:spid="_x0000_s8208" type="#_x0000_t75" alt="PSDB" style="position:absolute;left:7137;top:15617;width:1535;height:774;visibility:visible">
            <v:imagedata r:id="rId5" o:title=""/>
          </v:shape>
        </v:group>
      </w:pict>
    </w:r>
  </w:p>
  <w:p w:rsidR="00E272AD" w:rsidRDefault="00E272AD" w:rsidP="00E272AD">
    <w:pPr>
      <w:pStyle w:val="Stopka"/>
    </w:pPr>
  </w:p>
  <w:p w:rsidR="00E272AD" w:rsidRDefault="00E272AD" w:rsidP="00E272AD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10270" w:rsidRDefault="00810270">
      <w:pPr>
        <w:spacing w:line="240" w:lineRule="auto"/>
      </w:pPr>
      <w:r>
        <w:separator/>
      </w:r>
    </w:p>
  </w:footnote>
  <w:footnote w:type="continuationSeparator" w:id="0">
    <w:p w:rsidR="00810270" w:rsidRDefault="00810270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272AD" w:rsidRPr="003373F0" w:rsidRDefault="00E272AD" w:rsidP="00E272AD">
    <w:pPr>
      <w:pStyle w:val="Nagwek"/>
      <w:rPr>
        <w:rFonts w:ascii="Arial" w:hAnsi="Arial" w:cs="Calibri"/>
        <w:sz w:val="22"/>
        <w:szCs w:val="22"/>
      </w:rPr>
    </w:pPr>
    <w:r>
      <w:rPr>
        <w:rFonts w:cs="Arial"/>
        <w:i/>
        <w:noProof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4815205</wp:posOffset>
          </wp:positionH>
          <wp:positionV relativeFrom="paragraph">
            <wp:posOffset>80645</wp:posOffset>
          </wp:positionV>
          <wp:extent cx="1414145" cy="518795"/>
          <wp:effectExtent l="19050" t="0" r="0" b="0"/>
          <wp:wrapNone/>
          <wp:docPr id="1" name="Obraz 95" descr="logo_europejskifunduszspołeczn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5" descr="logo_europejskifunduszspołeczny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14145" cy="51879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cs="Arial"/>
        <w:i/>
        <w:noProof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column">
            <wp:posOffset>-207010</wp:posOffset>
          </wp:positionH>
          <wp:positionV relativeFrom="paragraph">
            <wp:posOffset>80645</wp:posOffset>
          </wp:positionV>
          <wp:extent cx="1509395" cy="491490"/>
          <wp:effectExtent l="19050" t="0" r="0" b="0"/>
          <wp:wrapNone/>
          <wp:docPr id="2" name="Obraz 1" descr="C:\Documents and Settings\marek.niewiadomski\Pulpit\loga\KP k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Documents and Settings\marek.niewiadomski\Pulpit\loga\KP kolor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09395" cy="49149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cs="Arial"/>
        <w:i/>
        <w:noProof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1703705</wp:posOffset>
          </wp:positionH>
          <wp:positionV relativeFrom="paragraph">
            <wp:posOffset>217170</wp:posOffset>
          </wp:positionV>
          <wp:extent cx="2942590" cy="245745"/>
          <wp:effectExtent l="19050" t="0" r="0" b="0"/>
          <wp:wrapNone/>
          <wp:docPr id="3" name="Obraz 4" descr="C:\DOCUME~1\RAFALE~1\USTAWI~1\Temp\Rar$DR30.368\PSDB\ZSK\LOGO\LOGO kolor\KPRM k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 descr="C:\DOCUME~1\RAFALE~1\USTAWI~1\Temp\Rar$DR30.368\PSDB\ZSK\LOGO\LOGO kolor\KPRM kolor.jpg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42590" cy="2457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E272AD" w:rsidRDefault="00E272AD" w:rsidP="00E272AD">
    <w:pPr>
      <w:pStyle w:val="Nagwek"/>
      <w:jc w:val="center"/>
      <w:rPr>
        <w:rFonts w:cs="Arial"/>
        <w:i/>
      </w:rPr>
    </w:pPr>
  </w:p>
  <w:p w:rsidR="00E272AD" w:rsidRDefault="00E272AD" w:rsidP="00E272AD">
    <w:pPr>
      <w:pStyle w:val="Nagwek"/>
      <w:jc w:val="center"/>
      <w:rPr>
        <w:rFonts w:cs="Arial"/>
        <w:i/>
      </w:rPr>
    </w:pPr>
  </w:p>
  <w:p w:rsidR="00E272AD" w:rsidRDefault="00E272AD" w:rsidP="00E272AD">
    <w:pPr>
      <w:pStyle w:val="Nagwek"/>
      <w:jc w:val="center"/>
      <w:rPr>
        <w:rFonts w:cs="Arial"/>
        <w:i/>
      </w:rPr>
    </w:pPr>
  </w:p>
  <w:p w:rsidR="00E272AD" w:rsidRPr="00E272AD" w:rsidRDefault="00E272AD" w:rsidP="00E272AD">
    <w:pPr>
      <w:pStyle w:val="Nagwek"/>
      <w:jc w:val="center"/>
      <w:rPr>
        <w:rFonts w:cs="Arial"/>
        <w:i/>
      </w:rPr>
    </w:pPr>
    <w:r>
      <w:rPr>
        <w:rFonts w:cs="Arial"/>
        <w:i/>
      </w:rPr>
      <w:t xml:space="preserve">      Projekt „Klient w centrum uwagi administracji” współfinansowany przez Unię Europejską </w:t>
    </w:r>
    <w:r>
      <w:rPr>
        <w:rFonts w:cs="Arial"/>
        <w:i/>
      </w:rPr>
      <w:br/>
      <w:t xml:space="preserve">     w ramach Europejskiego Funduszu Społecznego</w:t>
    </w:r>
  </w:p>
  <w:p w:rsidR="00253C28" w:rsidRPr="00E272AD" w:rsidRDefault="00253C28" w:rsidP="00E272AD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FB39A7"/>
    <w:multiLevelType w:val="multilevel"/>
    <w:tmpl w:val="0EF07F86"/>
    <w:lvl w:ilvl="0">
      <w:start w:val="1"/>
      <w:numFmt w:val="bullet"/>
      <w:lvlText w:val=""/>
      <w:lvlJc w:val="left"/>
      <w:pPr>
        <w:ind w:left="284" w:hanging="284"/>
      </w:pPr>
      <w:rPr>
        <w:rFonts w:ascii="Wingdings 2" w:hAnsi="Wingdings 2" w:hint="default"/>
        <w:color w:val="1C5185"/>
        <w:sz w:val="28"/>
      </w:rPr>
    </w:lvl>
    <w:lvl w:ilvl="1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  <w:color w:val="1C5185"/>
        <w:sz w:val="36"/>
      </w:rPr>
    </w:lvl>
    <w:lvl w:ilvl="2">
      <w:start w:val="1"/>
      <w:numFmt w:val="bullet"/>
      <w:lvlText w:val=""/>
      <w:lvlJc w:val="left"/>
      <w:pPr>
        <w:ind w:left="794" w:hanging="227"/>
      </w:pPr>
      <w:rPr>
        <w:rFonts w:ascii="Symbol" w:hAnsi="Symbol" w:hint="default"/>
        <w:color w:val="1C5185"/>
        <w:sz w:val="20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98868A8"/>
    <w:multiLevelType w:val="hybridMultilevel"/>
    <w:tmpl w:val="A25E653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A2F67C0"/>
    <w:multiLevelType w:val="hybridMultilevel"/>
    <w:tmpl w:val="28548928"/>
    <w:lvl w:ilvl="0" w:tplc="F59E6E8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0A576B56"/>
    <w:multiLevelType w:val="multilevel"/>
    <w:tmpl w:val="0EF07F86"/>
    <w:lvl w:ilvl="0">
      <w:start w:val="1"/>
      <w:numFmt w:val="bullet"/>
      <w:lvlText w:val=""/>
      <w:lvlJc w:val="left"/>
      <w:pPr>
        <w:ind w:left="284" w:hanging="284"/>
      </w:pPr>
      <w:rPr>
        <w:rFonts w:ascii="Wingdings 2" w:hAnsi="Wingdings 2" w:hint="default"/>
        <w:color w:val="1C5185"/>
        <w:sz w:val="28"/>
      </w:rPr>
    </w:lvl>
    <w:lvl w:ilvl="1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  <w:color w:val="1C5185"/>
        <w:sz w:val="36"/>
      </w:rPr>
    </w:lvl>
    <w:lvl w:ilvl="2">
      <w:start w:val="1"/>
      <w:numFmt w:val="bullet"/>
      <w:lvlText w:val=""/>
      <w:lvlJc w:val="left"/>
      <w:pPr>
        <w:ind w:left="794" w:hanging="227"/>
      </w:pPr>
      <w:rPr>
        <w:rFonts w:ascii="Symbol" w:hAnsi="Symbol" w:hint="default"/>
        <w:color w:val="1C5185"/>
        <w:sz w:val="20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11CF664C"/>
    <w:multiLevelType w:val="hybridMultilevel"/>
    <w:tmpl w:val="899491B2"/>
    <w:lvl w:ilvl="0" w:tplc="DF149BFA">
      <w:start w:val="1"/>
      <w:numFmt w:val="decimalZero"/>
      <w:pStyle w:val="Numeracja"/>
      <w:lvlText w:val="%1."/>
      <w:lvlJc w:val="left"/>
      <w:pPr>
        <w:ind w:left="360" w:hanging="360"/>
      </w:pPr>
      <w:rPr>
        <w:rFonts w:hint="default"/>
        <w:b/>
        <w:color w:val="1C5185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8650801"/>
    <w:multiLevelType w:val="hybridMultilevel"/>
    <w:tmpl w:val="AB16F8F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B1A7665"/>
    <w:multiLevelType w:val="multilevel"/>
    <w:tmpl w:val="0EF07F86"/>
    <w:lvl w:ilvl="0">
      <w:start w:val="1"/>
      <w:numFmt w:val="bullet"/>
      <w:lvlText w:val=""/>
      <w:lvlJc w:val="left"/>
      <w:pPr>
        <w:ind w:left="284" w:hanging="284"/>
      </w:pPr>
      <w:rPr>
        <w:rFonts w:ascii="Wingdings 2" w:hAnsi="Wingdings 2" w:hint="default"/>
        <w:color w:val="1C5185"/>
        <w:sz w:val="28"/>
      </w:rPr>
    </w:lvl>
    <w:lvl w:ilvl="1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  <w:color w:val="1C5185"/>
        <w:sz w:val="36"/>
      </w:rPr>
    </w:lvl>
    <w:lvl w:ilvl="2">
      <w:start w:val="1"/>
      <w:numFmt w:val="bullet"/>
      <w:lvlText w:val=""/>
      <w:lvlJc w:val="left"/>
      <w:pPr>
        <w:ind w:left="794" w:hanging="227"/>
      </w:pPr>
      <w:rPr>
        <w:rFonts w:ascii="Symbol" w:hAnsi="Symbol" w:hint="default"/>
        <w:color w:val="1C5185"/>
        <w:sz w:val="20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1D027ED6"/>
    <w:multiLevelType w:val="hybridMultilevel"/>
    <w:tmpl w:val="C1CC6056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29E32EEF"/>
    <w:multiLevelType w:val="hybridMultilevel"/>
    <w:tmpl w:val="DF7C2AA0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39727E71"/>
    <w:multiLevelType w:val="hybridMultilevel"/>
    <w:tmpl w:val="3168C58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F2364A0"/>
    <w:multiLevelType w:val="multilevel"/>
    <w:tmpl w:val="0EF07F86"/>
    <w:lvl w:ilvl="0">
      <w:start w:val="1"/>
      <w:numFmt w:val="bullet"/>
      <w:lvlText w:val=""/>
      <w:lvlJc w:val="left"/>
      <w:pPr>
        <w:ind w:left="284" w:hanging="284"/>
      </w:pPr>
      <w:rPr>
        <w:rFonts w:ascii="Wingdings 2" w:hAnsi="Wingdings 2" w:hint="default"/>
        <w:color w:val="1C5185"/>
        <w:sz w:val="28"/>
      </w:rPr>
    </w:lvl>
    <w:lvl w:ilvl="1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  <w:color w:val="1C5185"/>
        <w:sz w:val="36"/>
      </w:rPr>
    </w:lvl>
    <w:lvl w:ilvl="2">
      <w:start w:val="1"/>
      <w:numFmt w:val="bullet"/>
      <w:lvlText w:val=""/>
      <w:lvlJc w:val="left"/>
      <w:pPr>
        <w:ind w:left="794" w:hanging="227"/>
      </w:pPr>
      <w:rPr>
        <w:rFonts w:ascii="Symbol" w:hAnsi="Symbol" w:hint="default"/>
        <w:color w:val="1C5185"/>
        <w:sz w:val="20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431A7F0F"/>
    <w:multiLevelType w:val="multilevel"/>
    <w:tmpl w:val="F10875A8"/>
    <w:styleLink w:val="StyleBulletedCourierNewLeft316cmHanging063cm"/>
    <w:lvl w:ilvl="0">
      <w:start w:val="1"/>
      <w:numFmt w:val="bullet"/>
      <w:lvlText w:val=""/>
      <w:lvlJc w:val="left"/>
      <w:pPr>
        <w:ind w:left="1429" w:hanging="360"/>
      </w:pPr>
      <w:rPr>
        <w:rFonts w:ascii="Wingdings 2" w:hAnsi="Wingdings 2" w:hint="default"/>
        <w:color w:val="1C5185"/>
        <w:sz w:val="28"/>
      </w:rPr>
    </w:lvl>
    <w:lvl w:ilvl="1">
      <w:start w:val="1"/>
      <w:numFmt w:val="bullet"/>
      <w:lvlText w:val=""/>
      <w:lvlJc w:val="left"/>
      <w:pPr>
        <w:ind w:left="2149" w:hanging="360"/>
      </w:pPr>
      <w:rPr>
        <w:rFonts w:ascii="Wingdings" w:hAnsi="Wingdings" w:hint="default"/>
        <w:sz w:val="36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47DD2CAC"/>
    <w:multiLevelType w:val="multilevel"/>
    <w:tmpl w:val="F10875A8"/>
    <w:styleLink w:val="BuletOK"/>
    <w:lvl w:ilvl="0">
      <w:start w:val="1"/>
      <w:numFmt w:val="bullet"/>
      <w:lvlText w:val=""/>
      <w:lvlJc w:val="left"/>
      <w:pPr>
        <w:ind w:left="360" w:hanging="360"/>
      </w:pPr>
      <w:rPr>
        <w:rFonts w:ascii="Wingdings 2" w:hAnsi="Wingdings 2" w:hint="default"/>
        <w:color w:val="1C5185"/>
        <w:sz w:val="28"/>
      </w:rPr>
    </w:lvl>
    <w:lvl w:ilvl="1">
      <w:start w:val="1"/>
      <w:numFmt w:val="bullet"/>
      <w:lvlText w:val=""/>
      <w:lvlJc w:val="left"/>
      <w:pPr>
        <w:ind w:left="1069" w:hanging="360"/>
      </w:pPr>
      <w:rPr>
        <w:rFonts w:ascii="Symbol" w:hAnsi="Symbol" w:cs="Courier New" w:hint="default"/>
        <w:color w:val="1C5185"/>
        <w:sz w:val="36"/>
      </w:rPr>
    </w:lvl>
    <w:lvl w:ilvl="2">
      <w:start w:val="1"/>
      <w:numFmt w:val="bullet"/>
      <w:lvlText w:val=""/>
      <w:lvlJc w:val="left"/>
      <w:pPr>
        <w:ind w:left="1778" w:hanging="360"/>
      </w:pPr>
      <w:rPr>
        <w:rFonts w:ascii="Symbol" w:hAnsi="Symbol" w:hint="default"/>
        <w:color w:val="1C5185"/>
        <w:sz w:val="24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49032E26"/>
    <w:multiLevelType w:val="multilevel"/>
    <w:tmpl w:val="0EF07F86"/>
    <w:lvl w:ilvl="0">
      <w:start w:val="1"/>
      <w:numFmt w:val="bullet"/>
      <w:lvlText w:val=""/>
      <w:lvlJc w:val="left"/>
      <w:pPr>
        <w:ind w:left="284" w:hanging="284"/>
      </w:pPr>
      <w:rPr>
        <w:rFonts w:ascii="Wingdings 2" w:hAnsi="Wingdings 2" w:hint="default"/>
        <w:color w:val="1C5185"/>
        <w:sz w:val="28"/>
      </w:rPr>
    </w:lvl>
    <w:lvl w:ilvl="1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  <w:color w:val="1C5185"/>
        <w:sz w:val="36"/>
      </w:rPr>
    </w:lvl>
    <w:lvl w:ilvl="2">
      <w:start w:val="1"/>
      <w:numFmt w:val="bullet"/>
      <w:lvlText w:val=""/>
      <w:lvlJc w:val="left"/>
      <w:pPr>
        <w:ind w:left="794" w:hanging="227"/>
      </w:pPr>
      <w:rPr>
        <w:rFonts w:ascii="Symbol" w:hAnsi="Symbol" w:hint="default"/>
        <w:color w:val="1C5185"/>
        <w:sz w:val="20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4E211D94"/>
    <w:multiLevelType w:val="hybridMultilevel"/>
    <w:tmpl w:val="C9ECF1FC"/>
    <w:lvl w:ilvl="0" w:tplc="175C82CA">
      <w:start w:val="1"/>
      <w:numFmt w:val="decimalZero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color w:val="1C5185"/>
        <w:sz w:val="28"/>
        <w:szCs w:val="28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54760248"/>
    <w:multiLevelType w:val="multilevel"/>
    <w:tmpl w:val="0EF07F86"/>
    <w:lvl w:ilvl="0">
      <w:start w:val="1"/>
      <w:numFmt w:val="bullet"/>
      <w:lvlText w:val=""/>
      <w:lvlJc w:val="left"/>
      <w:pPr>
        <w:ind w:left="284" w:hanging="284"/>
      </w:pPr>
      <w:rPr>
        <w:rFonts w:ascii="Wingdings 2" w:hAnsi="Wingdings 2" w:hint="default"/>
        <w:color w:val="1C5185"/>
        <w:sz w:val="28"/>
      </w:rPr>
    </w:lvl>
    <w:lvl w:ilvl="1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  <w:color w:val="1C5185"/>
        <w:sz w:val="36"/>
      </w:rPr>
    </w:lvl>
    <w:lvl w:ilvl="2">
      <w:start w:val="1"/>
      <w:numFmt w:val="bullet"/>
      <w:lvlText w:val=""/>
      <w:lvlJc w:val="left"/>
      <w:pPr>
        <w:ind w:left="794" w:hanging="227"/>
      </w:pPr>
      <w:rPr>
        <w:rFonts w:ascii="Symbol" w:hAnsi="Symbol" w:hint="default"/>
        <w:color w:val="1C5185"/>
        <w:sz w:val="20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56A07463"/>
    <w:multiLevelType w:val="hybridMultilevel"/>
    <w:tmpl w:val="97840810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60F8606F"/>
    <w:multiLevelType w:val="multilevel"/>
    <w:tmpl w:val="0EF07F86"/>
    <w:lvl w:ilvl="0">
      <w:start w:val="1"/>
      <w:numFmt w:val="bullet"/>
      <w:lvlText w:val=""/>
      <w:lvlJc w:val="left"/>
      <w:pPr>
        <w:ind w:left="284" w:hanging="284"/>
      </w:pPr>
      <w:rPr>
        <w:rFonts w:ascii="Wingdings 2" w:hAnsi="Wingdings 2" w:hint="default"/>
        <w:color w:val="1C5185"/>
        <w:sz w:val="28"/>
      </w:rPr>
    </w:lvl>
    <w:lvl w:ilvl="1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  <w:color w:val="1C5185"/>
        <w:sz w:val="36"/>
      </w:rPr>
    </w:lvl>
    <w:lvl w:ilvl="2">
      <w:start w:val="1"/>
      <w:numFmt w:val="bullet"/>
      <w:lvlText w:val=""/>
      <w:lvlJc w:val="left"/>
      <w:pPr>
        <w:ind w:left="794" w:hanging="227"/>
      </w:pPr>
      <w:rPr>
        <w:rFonts w:ascii="Symbol" w:hAnsi="Symbol" w:hint="default"/>
        <w:color w:val="1C5185"/>
        <w:sz w:val="20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63364F07"/>
    <w:multiLevelType w:val="hybridMultilevel"/>
    <w:tmpl w:val="61EC21F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5110536"/>
    <w:multiLevelType w:val="multilevel"/>
    <w:tmpl w:val="AC9C6BB8"/>
    <w:lvl w:ilvl="0">
      <w:start w:val="1"/>
      <w:numFmt w:val="bullet"/>
      <w:pStyle w:val="Bulety"/>
      <w:lvlText w:val=""/>
      <w:lvlJc w:val="left"/>
      <w:pPr>
        <w:ind w:left="284" w:hanging="284"/>
      </w:pPr>
      <w:rPr>
        <w:rFonts w:ascii="Wingdings 2" w:hAnsi="Wingdings 2" w:hint="default"/>
        <w:color w:val="1C5185"/>
        <w:sz w:val="30"/>
      </w:rPr>
    </w:lvl>
    <w:lvl w:ilvl="1">
      <w:start w:val="1"/>
      <w:numFmt w:val="bullet"/>
      <w:lvlText w:val=""/>
      <w:lvlJc w:val="left"/>
      <w:pPr>
        <w:ind w:left="567" w:hanging="283"/>
      </w:pPr>
      <w:rPr>
        <w:rFonts w:ascii="Wingdings 2" w:hAnsi="Wingdings 2" w:hint="default"/>
        <w:color w:val="1C5185"/>
        <w:sz w:val="26"/>
      </w:rPr>
    </w:lvl>
    <w:lvl w:ilvl="2">
      <w:start w:val="1"/>
      <w:numFmt w:val="bullet"/>
      <w:lvlText w:val=""/>
      <w:lvlJc w:val="left"/>
      <w:pPr>
        <w:ind w:left="794" w:hanging="227"/>
      </w:pPr>
      <w:rPr>
        <w:rFonts w:ascii="Symbol" w:hAnsi="Symbol" w:hint="default"/>
        <w:color w:val="1C5185"/>
        <w:sz w:val="24"/>
      </w:rPr>
    </w:lvl>
    <w:lvl w:ilvl="3">
      <w:start w:val="1"/>
      <w:numFmt w:val="bullet"/>
      <w:lvlText w:val=""/>
      <w:lvlJc w:val="left"/>
      <w:pPr>
        <w:ind w:left="964" w:hanging="170"/>
      </w:pPr>
      <w:rPr>
        <w:rFonts w:ascii="Symbol" w:hAnsi="Symbol" w:hint="default"/>
        <w:color w:val="1C5185"/>
        <w:sz w:val="20"/>
      </w:rPr>
    </w:lvl>
    <w:lvl w:ilvl="4">
      <w:start w:val="1"/>
      <w:numFmt w:val="bullet"/>
      <w:lvlText w:val=""/>
      <w:lvlJc w:val="left"/>
      <w:pPr>
        <w:ind w:left="1134" w:hanging="170"/>
      </w:pPr>
      <w:rPr>
        <w:rFonts w:ascii="Symbol" w:hAnsi="Symbol" w:hint="default"/>
        <w:color w:val="000000"/>
        <w:sz w:val="20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69CE609F"/>
    <w:multiLevelType w:val="hybridMultilevel"/>
    <w:tmpl w:val="E9F021A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BCC4940"/>
    <w:multiLevelType w:val="hybridMultilevel"/>
    <w:tmpl w:val="23144294"/>
    <w:lvl w:ilvl="0" w:tplc="AD8EAA10">
      <w:start w:val="1"/>
      <w:numFmt w:val="decimal"/>
      <w:pStyle w:val="CFHanNumeracja"/>
      <w:lvlText w:val="%1."/>
      <w:lvlJc w:val="left"/>
      <w:pPr>
        <w:ind w:left="720" w:hanging="360"/>
      </w:pPr>
      <w:rPr>
        <w:rFonts w:hint="default"/>
        <w:color w:val="345185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1034882"/>
    <w:multiLevelType w:val="hybridMultilevel"/>
    <w:tmpl w:val="88B6153C"/>
    <w:lvl w:ilvl="0" w:tplc="A268EBB8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73C92A11"/>
    <w:multiLevelType w:val="hybridMultilevel"/>
    <w:tmpl w:val="6AE8BCA0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75813A36"/>
    <w:multiLevelType w:val="multilevel"/>
    <w:tmpl w:val="F10875A8"/>
    <w:styleLink w:val="StyleBulletedWingdingssymbolLeft442cmHanging063"/>
    <w:lvl w:ilvl="0">
      <w:start w:val="1"/>
      <w:numFmt w:val="bullet"/>
      <w:lvlText w:val=""/>
      <w:lvlJc w:val="left"/>
      <w:pPr>
        <w:ind w:left="1429" w:hanging="360"/>
      </w:pPr>
      <w:rPr>
        <w:rFonts w:ascii="Wingdings 2" w:hAnsi="Wingdings 2" w:hint="default"/>
        <w:color w:val="1C5185"/>
        <w:sz w:val="28"/>
      </w:rPr>
    </w:lvl>
    <w:lvl w:ilvl="1">
      <w:start w:val="1"/>
      <w:numFmt w:val="bullet"/>
      <w:lvlText w:val=""/>
      <w:lvlJc w:val="left"/>
      <w:pPr>
        <w:ind w:left="2149" w:hanging="360"/>
      </w:pPr>
      <w:rPr>
        <w:rFonts w:ascii="Symbol" w:hAnsi="Symbol" w:cs="Courier New" w:hint="default"/>
        <w:sz w:val="40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  <w:sz w:val="24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7AAD083A"/>
    <w:multiLevelType w:val="hybridMultilevel"/>
    <w:tmpl w:val="9C30749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C3F55FF"/>
    <w:multiLevelType w:val="multilevel"/>
    <w:tmpl w:val="0EF07F86"/>
    <w:lvl w:ilvl="0">
      <w:start w:val="1"/>
      <w:numFmt w:val="bullet"/>
      <w:lvlText w:val=""/>
      <w:lvlJc w:val="left"/>
      <w:pPr>
        <w:ind w:left="284" w:hanging="284"/>
      </w:pPr>
      <w:rPr>
        <w:rFonts w:ascii="Wingdings 2" w:hAnsi="Wingdings 2" w:hint="default"/>
        <w:color w:val="1C5185"/>
        <w:sz w:val="28"/>
      </w:rPr>
    </w:lvl>
    <w:lvl w:ilvl="1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  <w:color w:val="1C5185"/>
        <w:sz w:val="36"/>
      </w:rPr>
    </w:lvl>
    <w:lvl w:ilvl="2">
      <w:start w:val="1"/>
      <w:numFmt w:val="bullet"/>
      <w:lvlText w:val=""/>
      <w:lvlJc w:val="left"/>
      <w:pPr>
        <w:ind w:left="794" w:hanging="227"/>
      </w:pPr>
      <w:rPr>
        <w:rFonts w:ascii="Symbol" w:hAnsi="Symbol" w:hint="default"/>
        <w:color w:val="1C5185"/>
        <w:sz w:val="20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>
    <w:nsid w:val="7ED46A90"/>
    <w:multiLevelType w:val="hybridMultilevel"/>
    <w:tmpl w:val="56CE8F4A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7FEE1A84"/>
    <w:multiLevelType w:val="hybridMultilevel"/>
    <w:tmpl w:val="0102E92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4"/>
  </w:num>
  <w:num w:numId="2">
    <w:abstractNumId w:val="11"/>
  </w:num>
  <w:num w:numId="3">
    <w:abstractNumId w:val="24"/>
  </w:num>
  <w:num w:numId="4">
    <w:abstractNumId w:val="12"/>
  </w:num>
  <w:num w:numId="5">
    <w:abstractNumId w:val="15"/>
  </w:num>
  <w:num w:numId="6">
    <w:abstractNumId w:val="17"/>
  </w:num>
  <w:num w:numId="7">
    <w:abstractNumId w:val="6"/>
  </w:num>
  <w:num w:numId="8">
    <w:abstractNumId w:val="3"/>
  </w:num>
  <w:num w:numId="9">
    <w:abstractNumId w:val="19"/>
  </w:num>
  <w:num w:numId="10">
    <w:abstractNumId w:val="4"/>
  </w:num>
  <w:num w:numId="11">
    <w:abstractNumId w:val="0"/>
  </w:num>
  <w:num w:numId="12">
    <w:abstractNumId w:val="13"/>
  </w:num>
  <w:num w:numId="13">
    <w:abstractNumId w:val="26"/>
  </w:num>
  <w:num w:numId="14">
    <w:abstractNumId w:val="10"/>
  </w:num>
  <w:num w:numId="15">
    <w:abstractNumId w:val="19"/>
  </w:num>
  <w:num w:numId="1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1"/>
  </w:num>
  <w:num w:numId="19">
    <w:abstractNumId w:val="27"/>
  </w:num>
  <w:num w:numId="20">
    <w:abstractNumId w:val="23"/>
  </w:num>
  <w:num w:numId="21">
    <w:abstractNumId w:val="8"/>
  </w:num>
  <w:num w:numId="22">
    <w:abstractNumId w:val="20"/>
  </w:num>
  <w:num w:numId="23">
    <w:abstractNumId w:val="18"/>
  </w:num>
  <w:num w:numId="24">
    <w:abstractNumId w:val="5"/>
  </w:num>
  <w:num w:numId="25">
    <w:abstractNumId w:val="16"/>
  </w:num>
  <w:num w:numId="26">
    <w:abstractNumId w:val="1"/>
  </w:num>
  <w:num w:numId="27">
    <w:abstractNumId w:val="28"/>
  </w:num>
  <w:num w:numId="28">
    <w:abstractNumId w:val="9"/>
  </w:num>
  <w:num w:numId="29">
    <w:abstractNumId w:val="22"/>
  </w:num>
  <w:num w:numId="30">
    <w:abstractNumId w:val="7"/>
  </w:num>
  <w:num w:numId="31">
    <w:abstractNumId w:val="2"/>
  </w:num>
  <w:num w:numId="32">
    <w:abstractNumId w:val="25"/>
  </w:num>
  <w:numIdMacAtCleanup w:val="9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isplayBackgroundShape/>
  <w:proofState w:spelling="clean"/>
  <w:stylePaneFormatFilter w:val="3F01"/>
  <w:defaultTabStop w:val="709"/>
  <w:autoHyphenation/>
  <w:consecutiveHyphenLimit w:val="2"/>
  <w:hyphenationZone w:val="425"/>
  <w:drawingGridHorizontalSpacing w:val="90"/>
  <w:displayHorizontalDrawingGridEvery w:val="2"/>
  <w:noPunctuationKerning/>
  <w:characterSpacingControl w:val="doNotCompress"/>
  <w:hdrShapeDefaults>
    <o:shapedefaults v:ext="edit" spidmax="19458"/>
    <o:shapelayout v:ext="edit">
      <o:idmap v:ext="edit" data="8"/>
    </o:shapelayout>
  </w:hdrShapeDefaults>
  <w:footnotePr>
    <w:footnote w:id="-1"/>
    <w:footnote w:id="0"/>
  </w:footnotePr>
  <w:endnotePr>
    <w:endnote w:id="-1"/>
    <w:endnote w:id="0"/>
  </w:endnotePr>
  <w:compat/>
  <w:rsids>
    <w:rsidRoot w:val="004C3383"/>
    <w:rsid w:val="000143A2"/>
    <w:rsid w:val="000373D8"/>
    <w:rsid w:val="000503B0"/>
    <w:rsid w:val="00061952"/>
    <w:rsid w:val="000824BC"/>
    <w:rsid w:val="00092FB9"/>
    <w:rsid w:val="00096308"/>
    <w:rsid w:val="000975CD"/>
    <w:rsid w:val="000A1C91"/>
    <w:rsid w:val="000C6F4B"/>
    <w:rsid w:val="000D25B6"/>
    <w:rsid w:val="000E7EE2"/>
    <w:rsid w:val="00101E30"/>
    <w:rsid w:val="00114602"/>
    <w:rsid w:val="0012333C"/>
    <w:rsid w:val="00126A55"/>
    <w:rsid w:val="00133D2D"/>
    <w:rsid w:val="00140FB7"/>
    <w:rsid w:val="00146DEC"/>
    <w:rsid w:val="001802D6"/>
    <w:rsid w:val="001931F2"/>
    <w:rsid w:val="001B21A6"/>
    <w:rsid w:val="001B24AE"/>
    <w:rsid w:val="001B4A6A"/>
    <w:rsid w:val="001B6D60"/>
    <w:rsid w:val="001C027B"/>
    <w:rsid w:val="001C2106"/>
    <w:rsid w:val="001C5911"/>
    <w:rsid w:val="001C6CF7"/>
    <w:rsid w:val="001E65E5"/>
    <w:rsid w:val="001F555C"/>
    <w:rsid w:val="00222C12"/>
    <w:rsid w:val="0025118B"/>
    <w:rsid w:val="0025120B"/>
    <w:rsid w:val="002532C6"/>
    <w:rsid w:val="00253C28"/>
    <w:rsid w:val="00261701"/>
    <w:rsid w:val="00274CA3"/>
    <w:rsid w:val="00282B89"/>
    <w:rsid w:val="0028671C"/>
    <w:rsid w:val="00295946"/>
    <w:rsid w:val="002A67D9"/>
    <w:rsid w:val="002B7C03"/>
    <w:rsid w:val="002C1F23"/>
    <w:rsid w:val="002C5EAD"/>
    <w:rsid w:val="002D7828"/>
    <w:rsid w:val="002E463A"/>
    <w:rsid w:val="0030485C"/>
    <w:rsid w:val="00307B2F"/>
    <w:rsid w:val="00314B2B"/>
    <w:rsid w:val="00316A30"/>
    <w:rsid w:val="0032162B"/>
    <w:rsid w:val="00332AB1"/>
    <w:rsid w:val="0035172B"/>
    <w:rsid w:val="00362DF8"/>
    <w:rsid w:val="0039407D"/>
    <w:rsid w:val="003D3BA0"/>
    <w:rsid w:val="003E1E4D"/>
    <w:rsid w:val="003E4326"/>
    <w:rsid w:val="003E7316"/>
    <w:rsid w:val="003F1CA3"/>
    <w:rsid w:val="003F710E"/>
    <w:rsid w:val="0041585A"/>
    <w:rsid w:val="00424420"/>
    <w:rsid w:val="004310D7"/>
    <w:rsid w:val="0044336F"/>
    <w:rsid w:val="00453A77"/>
    <w:rsid w:val="004B3D47"/>
    <w:rsid w:val="004B5585"/>
    <w:rsid w:val="004C3383"/>
    <w:rsid w:val="004C6D3D"/>
    <w:rsid w:val="004D21CC"/>
    <w:rsid w:val="004E5D61"/>
    <w:rsid w:val="004F3FF4"/>
    <w:rsid w:val="004F44C3"/>
    <w:rsid w:val="004F7878"/>
    <w:rsid w:val="0051107C"/>
    <w:rsid w:val="00534EF7"/>
    <w:rsid w:val="005363E3"/>
    <w:rsid w:val="005439CA"/>
    <w:rsid w:val="00553340"/>
    <w:rsid w:val="005760FA"/>
    <w:rsid w:val="0058166B"/>
    <w:rsid w:val="00583BBC"/>
    <w:rsid w:val="00587BF4"/>
    <w:rsid w:val="00596A48"/>
    <w:rsid w:val="005B40C5"/>
    <w:rsid w:val="005C3527"/>
    <w:rsid w:val="005F1F8F"/>
    <w:rsid w:val="00606354"/>
    <w:rsid w:val="00616712"/>
    <w:rsid w:val="00630E57"/>
    <w:rsid w:val="00634789"/>
    <w:rsid w:val="00644DC2"/>
    <w:rsid w:val="0065696D"/>
    <w:rsid w:val="0067552D"/>
    <w:rsid w:val="006A4821"/>
    <w:rsid w:val="006C0D4C"/>
    <w:rsid w:val="006E00F5"/>
    <w:rsid w:val="006E15C5"/>
    <w:rsid w:val="006F2617"/>
    <w:rsid w:val="00707011"/>
    <w:rsid w:val="00711432"/>
    <w:rsid w:val="00720FDE"/>
    <w:rsid w:val="00734E8F"/>
    <w:rsid w:val="007408CC"/>
    <w:rsid w:val="00744A03"/>
    <w:rsid w:val="00756C2E"/>
    <w:rsid w:val="00764A9B"/>
    <w:rsid w:val="00765BD0"/>
    <w:rsid w:val="007810AE"/>
    <w:rsid w:val="00782D25"/>
    <w:rsid w:val="007A6E32"/>
    <w:rsid w:val="007C47AB"/>
    <w:rsid w:val="007C64E1"/>
    <w:rsid w:val="008063EF"/>
    <w:rsid w:val="00810270"/>
    <w:rsid w:val="00816A62"/>
    <w:rsid w:val="008274DA"/>
    <w:rsid w:val="00834A4B"/>
    <w:rsid w:val="0084135C"/>
    <w:rsid w:val="00842C3D"/>
    <w:rsid w:val="008518C8"/>
    <w:rsid w:val="008607ED"/>
    <w:rsid w:val="00861025"/>
    <w:rsid w:val="00862D34"/>
    <w:rsid w:val="00882528"/>
    <w:rsid w:val="00896F4C"/>
    <w:rsid w:val="008A2F4C"/>
    <w:rsid w:val="008C2983"/>
    <w:rsid w:val="009036A5"/>
    <w:rsid w:val="009171EF"/>
    <w:rsid w:val="00957BAE"/>
    <w:rsid w:val="00961696"/>
    <w:rsid w:val="009616D9"/>
    <w:rsid w:val="00971CB9"/>
    <w:rsid w:val="009756BE"/>
    <w:rsid w:val="009846D4"/>
    <w:rsid w:val="00990FA6"/>
    <w:rsid w:val="009949A1"/>
    <w:rsid w:val="009A5A65"/>
    <w:rsid w:val="009B3C76"/>
    <w:rsid w:val="009C664B"/>
    <w:rsid w:val="009D10FE"/>
    <w:rsid w:val="009D207E"/>
    <w:rsid w:val="00A009BE"/>
    <w:rsid w:val="00A046BA"/>
    <w:rsid w:val="00A10B53"/>
    <w:rsid w:val="00A11A84"/>
    <w:rsid w:val="00A20428"/>
    <w:rsid w:val="00A34B5A"/>
    <w:rsid w:val="00A52C0D"/>
    <w:rsid w:val="00A555D0"/>
    <w:rsid w:val="00A60D84"/>
    <w:rsid w:val="00A644AF"/>
    <w:rsid w:val="00A65BC3"/>
    <w:rsid w:val="00A76324"/>
    <w:rsid w:val="00A843C2"/>
    <w:rsid w:val="00A87FAA"/>
    <w:rsid w:val="00A923FF"/>
    <w:rsid w:val="00AA6A7D"/>
    <w:rsid w:val="00AB1669"/>
    <w:rsid w:val="00AB3317"/>
    <w:rsid w:val="00AB7129"/>
    <w:rsid w:val="00AC559A"/>
    <w:rsid w:val="00AD44EE"/>
    <w:rsid w:val="00AE1C6E"/>
    <w:rsid w:val="00B11041"/>
    <w:rsid w:val="00B26D21"/>
    <w:rsid w:val="00B77AEF"/>
    <w:rsid w:val="00B8324D"/>
    <w:rsid w:val="00B86E80"/>
    <w:rsid w:val="00B91A7F"/>
    <w:rsid w:val="00BA1427"/>
    <w:rsid w:val="00BA221B"/>
    <w:rsid w:val="00BA2ED7"/>
    <w:rsid w:val="00BB4F7B"/>
    <w:rsid w:val="00BC69C1"/>
    <w:rsid w:val="00C01BD2"/>
    <w:rsid w:val="00C102CB"/>
    <w:rsid w:val="00C14F17"/>
    <w:rsid w:val="00C23883"/>
    <w:rsid w:val="00C42E57"/>
    <w:rsid w:val="00C45432"/>
    <w:rsid w:val="00C544AB"/>
    <w:rsid w:val="00C544BB"/>
    <w:rsid w:val="00C6373D"/>
    <w:rsid w:val="00C63E09"/>
    <w:rsid w:val="00C6655B"/>
    <w:rsid w:val="00C74D9F"/>
    <w:rsid w:val="00C83F33"/>
    <w:rsid w:val="00C84B7C"/>
    <w:rsid w:val="00C8583A"/>
    <w:rsid w:val="00C90EEC"/>
    <w:rsid w:val="00CB579B"/>
    <w:rsid w:val="00CD41AA"/>
    <w:rsid w:val="00D01880"/>
    <w:rsid w:val="00D1475D"/>
    <w:rsid w:val="00D169D9"/>
    <w:rsid w:val="00D2013D"/>
    <w:rsid w:val="00D421F9"/>
    <w:rsid w:val="00D45937"/>
    <w:rsid w:val="00D52F76"/>
    <w:rsid w:val="00D57E5F"/>
    <w:rsid w:val="00D75454"/>
    <w:rsid w:val="00D76A4B"/>
    <w:rsid w:val="00DA4F5E"/>
    <w:rsid w:val="00DC6D48"/>
    <w:rsid w:val="00DD5C79"/>
    <w:rsid w:val="00DD79D7"/>
    <w:rsid w:val="00DD7BAC"/>
    <w:rsid w:val="00DF1822"/>
    <w:rsid w:val="00E05C5C"/>
    <w:rsid w:val="00E06398"/>
    <w:rsid w:val="00E17D5B"/>
    <w:rsid w:val="00E2057D"/>
    <w:rsid w:val="00E272AD"/>
    <w:rsid w:val="00E41BE8"/>
    <w:rsid w:val="00E4666F"/>
    <w:rsid w:val="00E47656"/>
    <w:rsid w:val="00E526DA"/>
    <w:rsid w:val="00E62ADE"/>
    <w:rsid w:val="00E716D9"/>
    <w:rsid w:val="00E91FA1"/>
    <w:rsid w:val="00E91FD2"/>
    <w:rsid w:val="00ED21C9"/>
    <w:rsid w:val="00ED7C2B"/>
    <w:rsid w:val="00EE6140"/>
    <w:rsid w:val="00EF063A"/>
    <w:rsid w:val="00F17176"/>
    <w:rsid w:val="00F30039"/>
    <w:rsid w:val="00F355B7"/>
    <w:rsid w:val="00F36239"/>
    <w:rsid w:val="00F46264"/>
    <w:rsid w:val="00F65B7D"/>
    <w:rsid w:val="00F67EF0"/>
    <w:rsid w:val="00F72254"/>
    <w:rsid w:val="00F7751C"/>
    <w:rsid w:val="00F83DBE"/>
    <w:rsid w:val="00F858D6"/>
    <w:rsid w:val="00F863F0"/>
    <w:rsid w:val="00FB3962"/>
    <w:rsid w:val="00FB453E"/>
    <w:rsid w:val="00FC0158"/>
    <w:rsid w:val="00FD11FA"/>
    <w:rsid w:val="00FD5D2E"/>
    <w:rsid w:val="00FE15C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94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ny">
    <w:name w:val="Normal"/>
    <w:rsid w:val="00EE6140"/>
    <w:pPr>
      <w:spacing w:line="320" w:lineRule="exact"/>
      <w:ind w:right="284"/>
    </w:pPr>
    <w:rPr>
      <w:rFonts w:ascii="Verdana" w:hAnsi="Verdana"/>
      <w:sz w:val="18"/>
      <w:szCs w:val="18"/>
    </w:rPr>
  </w:style>
  <w:style w:type="paragraph" w:styleId="Nagwek1">
    <w:name w:val="heading 1"/>
    <w:basedOn w:val="Normalny"/>
    <w:next w:val="Normalny"/>
    <w:link w:val="Nagwek1Znak"/>
    <w:uiPriority w:val="9"/>
    <w:rsid w:val="00A10B53"/>
    <w:pPr>
      <w:outlineLvl w:val="0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umeracja">
    <w:name w:val="Numeracja"/>
    <w:basedOn w:val="Normalny"/>
    <w:rsid w:val="00A10B53"/>
    <w:pPr>
      <w:numPr>
        <w:numId w:val="10"/>
      </w:numPr>
      <w:spacing w:before="160"/>
    </w:pPr>
    <w:rPr>
      <w:lang w:val="en-US"/>
    </w:rPr>
  </w:style>
  <w:style w:type="character" w:customStyle="1" w:styleId="Nagwek1Znak">
    <w:name w:val="Nagłówek 1 Znak"/>
    <w:link w:val="Nagwek1"/>
    <w:uiPriority w:val="9"/>
    <w:rsid w:val="00A10B53"/>
    <w:rPr>
      <w:rFonts w:ascii="Verdana" w:hAnsi="Verdana"/>
      <w:sz w:val="18"/>
      <w:szCs w:val="18"/>
    </w:rPr>
  </w:style>
  <w:style w:type="paragraph" w:styleId="Stopka">
    <w:name w:val="footer"/>
    <w:basedOn w:val="Normalny"/>
    <w:link w:val="StopkaZnak"/>
    <w:uiPriority w:val="99"/>
    <w:unhideWhenUsed/>
    <w:rsid w:val="00A10B53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link w:val="Stopka"/>
    <w:uiPriority w:val="99"/>
    <w:rsid w:val="00A10B53"/>
    <w:rPr>
      <w:rFonts w:ascii="Verdana" w:hAnsi="Verdana"/>
      <w:sz w:val="18"/>
      <w:szCs w:val="18"/>
    </w:rPr>
  </w:style>
  <w:style w:type="paragraph" w:customStyle="1" w:styleId="TytuGwny">
    <w:name w:val="Tytuł Główny"/>
    <w:basedOn w:val="Normalny"/>
    <w:link w:val="TytuGwnyZnak"/>
    <w:rsid w:val="00961696"/>
    <w:pPr>
      <w:pBdr>
        <w:bottom w:val="single" w:sz="4" w:space="8" w:color="1C5185"/>
      </w:pBdr>
      <w:spacing w:before="240" w:after="240" w:line="600" w:lineRule="exact"/>
      <w:ind w:right="0"/>
    </w:pPr>
    <w:rPr>
      <w:rFonts w:ascii="InfoOTDispPl-Book" w:hAnsi="InfoOTDispPl-Book"/>
      <w:color w:val="1C5185"/>
      <w:sz w:val="48"/>
      <w:szCs w:val="48"/>
    </w:rPr>
  </w:style>
  <w:style w:type="numbering" w:customStyle="1" w:styleId="StyleBulletedCourierNewLeft316cmHanging063cm">
    <w:name w:val="Style Bulleted Courier New Left:  316 cm Hanging:  063 cm"/>
    <w:basedOn w:val="Bezlisty"/>
    <w:rsid w:val="00DA4F5E"/>
    <w:pPr>
      <w:numPr>
        <w:numId w:val="2"/>
      </w:numPr>
    </w:pPr>
  </w:style>
  <w:style w:type="table" w:styleId="Tabela-Siatka">
    <w:name w:val="Table Grid"/>
    <w:basedOn w:val="Standardowy"/>
    <w:rsid w:val="006C0D4C"/>
    <w:pPr>
      <w:spacing w:line="320" w:lineRule="exact"/>
      <w:ind w:right="284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096308"/>
    <w:pPr>
      <w:spacing w:line="240" w:lineRule="auto"/>
    </w:pPr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096308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861025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link w:val="Nagwek"/>
    <w:uiPriority w:val="99"/>
    <w:rsid w:val="00861025"/>
    <w:rPr>
      <w:rFonts w:ascii="Verdana" w:hAnsi="Verdana"/>
      <w:sz w:val="18"/>
      <w:szCs w:val="18"/>
    </w:rPr>
  </w:style>
  <w:style w:type="numbering" w:customStyle="1" w:styleId="StyleBulletedWingdingssymbolLeft442cmHanging063">
    <w:name w:val="Style Bulleted Wingdings (symbol) Left:  442 cm Hanging:  063 ..."/>
    <w:basedOn w:val="Bezlisty"/>
    <w:rsid w:val="00DA4F5E"/>
    <w:pPr>
      <w:numPr>
        <w:numId w:val="3"/>
      </w:numPr>
    </w:pPr>
  </w:style>
  <w:style w:type="numbering" w:customStyle="1" w:styleId="BuletOK">
    <w:name w:val="Bulet OK"/>
    <w:basedOn w:val="Bezlisty"/>
    <w:rsid w:val="00DA4F5E"/>
    <w:pPr>
      <w:numPr>
        <w:numId w:val="4"/>
      </w:numPr>
    </w:pPr>
  </w:style>
  <w:style w:type="paragraph" w:customStyle="1" w:styleId="Podtytuszary">
    <w:name w:val="Podtytuł szary"/>
    <w:basedOn w:val="Normalny"/>
    <w:link w:val="PodtytuszaryZnak"/>
    <w:rsid w:val="001C6CF7"/>
    <w:pPr>
      <w:spacing w:before="400" w:after="240" w:line="240" w:lineRule="auto"/>
    </w:pPr>
    <w:rPr>
      <w:rFonts w:ascii="InfoOTDispPl-Book" w:hAnsi="InfoOTDispPl-Book"/>
      <w:color w:val="828282"/>
      <w:sz w:val="48"/>
      <w:szCs w:val="20"/>
    </w:rPr>
  </w:style>
  <w:style w:type="paragraph" w:customStyle="1" w:styleId="Bulety">
    <w:name w:val="Bulety"/>
    <w:basedOn w:val="Normalny"/>
    <w:link w:val="BuletyZnak"/>
    <w:rsid w:val="00A10B53"/>
    <w:pPr>
      <w:numPr>
        <w:numId w:val="15"/>
      </w:numPr>
      <w:spacing w:before="160"/>
    </w:pPr>
  </w:style>
  <w:style w:type="paragraph" w:customStyle="1" w:styleId="CFHanTytu">
    <w:name w:val="CF_Han_Tytuł"/>
    <w:basedOn w:val="TytuGwny"/>
    <w:link w:val="CFHanTytuZnak"/>
    <w:qFormat/>
    <w:rsid w:val="004F44C3"/>
  </w:style>
  <w:style w:type="paragraph" w:customStyle="1" w:styleId="CFHanPodtytu">
    <w:name w:val="CF_Han_Podtytuł"/>
    <w:basedOn w:val="Podtytuszary"/>
    <w:link w:val="CFHanPodtytuZnak"/>
    <w:qFormat/>
    <w:rsid w:val="004F44C3"/>
  </w:style>
  <w:style w:type="character" w:customStyle="1" w:styleId="TytuGwnyZnak">
    <w:name w:val="Tytuł Główny Znak"/>
    <w:link w:val="TytuGwny"/>
    <w:rsid w:val="004F44C3"/>
    <w:rPr>
      <w:rFonts w:ascii="InfoOTDispPl-Book" w:hAnsi="InfoOTDispPl-Book"/>
      <w:color w:val="1C5185"/>
      <w:sz w:val="48"/>
      <w:szCs w:val="48"/>
    </w:rPr>
  </w:style>
  <w:style w:type="character" w:customStyle="1" w:styleId="CFHanTytuZnak">
    <w:name w:val="CF_Han_Tytuł Znak"/>
    <w:basedOn w:val="TytuGwnyZnak"/>
    <w:link w:val="CFHanTytu"/>
    <w:rsid w:val="004F44C3"/>
  </w:style>
  <w:style w:type="paragraph" w:customStyle="1" w:styleId="CFHanTekst">
    <w:name w:val="CF_Han_Tekst"/>
    <w:basedOn w:val="Normalny"/>
    <w:link w:val="CFHanTekstZnak"/>
    <w:qFormat/>
    <w:rsid w:val="004F44C3"/>
    <w:pPr>
      <w:spacing w:after="240" w:line="240" w:lineRule="auto"/>
    </w:pPr>
  </w:style>
  <w:style w:type="character" w:customStyle="1" w:styleId="PodtytuszaryZnak">
    <w:name w:val="Podtytuł szary Znak"/>
    <w:link w:val="Podtytuszary"/>
    <w:rsid w:val="004F44C3"/>
    <w:rPr>
      <w:rFonts w:ascii="InfoOTDispPl-Book" w:hAnsi="InfoOTDispPl-Book"/>
      <w:color w:val="828282"/>
      <w:sz w:val="48"/>
    </w:rPr>
  </w:style>
  <w:style w:type="character" w:customStyle="1" w:styleId="CFHanPodtytuZnak">
    <w:name w:val="CF_Han_Podtytuł Znak"/>
    <w:basedOn w:val="PodtytuszaryZnak"/>
    <w:link w:val="CFHanPodtytu"/>
    <w:rsid w:val="004F44C3"/>
  </w:style>
  <w:style w:type="paragraph" w:customStyle="1" w:styleId="CFhanBullety">
    <w:name w:val="CF_han_Bullety"/>
    <w:basedOn w:val="Bulety"/>
    <w:link w:val="CFhanBulletyZnak"/>
    <w:qFormat/>
    <w:rsid w:val="004F44C3"/>
    <w:pPr>
      <w:spacing w:before="0" w:after="240" w:line="240" w:lineRule="auto"/>
    </w:pPr>
    <w:rPr>
      <w:lang w:val="en-US"/>
    </w:rPr>
  </w:style>
  <w:style w:type="character" w:customStyle="1" w:styleId="CFHanTekstZnak">
    <w:name w:val="CF_Han_Tekst Znak"/>
    <w:link w:val="CFHanTekst"/>
    <w:rsid w:val="004F44C3"/>
    <w:rPr>
      <w:rFonts w:ascii="Verdana" w:hAnsi="Verdana"/>
      <w:sz w:val="18"/>
      <w:szCs w:val="18"/>
    </w:rPr>
  </w:style>
  <w:style w:type="paragraph" w:styleId="Akapitzlist">
    <w:name w:val="List Paragraph"/>
    <w:basedOn w:val="Normalny"/>
    <w:link w:val="AkapitzlistZnak"/>
    <w:uiPriority w:val="34"/>
    <w:qFormat/>
    <w:rsid w:val="00D45937"/>
    <w:pPr>
      <w:ind w:left="720"/>
      <w:contextualSpacing/>
    </w:pPr>
  </w:style>
  <w:style w:type="character" w:customStyle="1" w:styleId="BuletyZnak">
    <w:name w:val="Bulety Znak"/>
    <w:link w:val="Bulety"/>
    <w:rsid w:val="004F44C3"/>
    <w:rPr>
      <w:rFonts w:ascii="Verdana" w:hAnsi="Verdana"/>
      <w:sz w:val="18"/>
      <w:szCs w:val="18"/>
    </w:rPr>
  </w:style>
  <w:style w:type="character" w:customStyle="1" w:styleId="CFhanBulletyZnak">
    <w:name w:val="CF_han_Bullety Znak"/>
    <w:link w:val="CFhanBullety"/>
    <w:rsid w:val="004F44C3"/>
    <w:rPr>
      <w:rFonts w:ascii="Verdana" w:hAnsi="Verdana"/>
      <w:sz w:val="18"/>
      <w:szCs w:val="18"/>
      <w:lang w:val="en-US"/>
    </w:rPr>
  </w:style>
  <w:style w:type="paragraph" w:customStyle="1" w:styleId="CFHanNumeracja">
    <w:name w:val="CF_Han_Numeracja"/>
    <w:basedOn w:val="Akapitzlist"/>
    <w:link w:val="CFHanNumeracjaZnak"/>
    <w:qFormat/>
    <w:rsid w:val="00D45937"/>
    <w:pPr>
      <w:numPr>
        <w:numId w:val="18"/>
      </w:numPr>
      <w:spacing w:after="240" w:line="240" w:lineRule="auto"/>
      <w:ind w:left="714" w:hanging="357"/>
      <w:contextualSpacing w:val="0"/>
    </w:pPr>
    <w:rPr>
      <w:lang w:val="en-US"/>
    </w:rPr>
  </w:style>
  <w:style w:type="character" w:customStyle="1" w:styleId="AkapitzlistZnak">
    <w:name w:val="Akapit z listą Znak"/>
    <w:link w:val="Akapitzlist"/>
    <w:uiPriority w:val="34"/>
    <w:rsid w:val="00D45937"/>
    <w:rPr>
      <w:rFonts w:ascii="Verdana" w:hAnsi="Verdana"/>
      <w:sz w:val="18"/>
      <w:szCs w:val="18"/>
    </w:rPr>
  </w:style>
  <w:style w:type="character" w:customStyle="1" w:styleId="CFHanNumeracjaZnak">
    <w:name w:val="CF_Han_Numeracja Znak"/>
    <w:link w:val="CFHanNumeracja"/>
    <w:rsid w:val="00D45937"/>
    <w:rPr>
      <w:rFonts w:ascii="Verdana" w:hAnsi="Verdana"/>
      <w:sz w:val="18"/>
      <w:szCs w:val="18"/>
      <w:lang w:val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C6F4B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0C6F4B"/>
    <w:rPr>
      <w:rFonts w:ascii="Verdana" w:hAnsi="Verdana"/>
    </w:rPr>
  </w:style>
  <w:style w:type="character" w:styleId="Odwoanieprzypisukocowego">
    <w:name w:val="endnote reference"/>
    <w:uiPriority w:val="99"/>
    <w:semiHidden/>
    <w:unhideWhenUsed/>
    <w:rsid w:val="000C6F4B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png"/><Relationship Id="rId1" Type="http://schemas.openxmlformats.org/officeDocument/2006/relationships/image" Target="media/image4.jpeg"/><Relationship Id="rId5" Type="http://schemas.openxmlformats.org/officeDocument/2006/relationships/image" Target="media/image8.jpeg"/><Relationship Id="rId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774508E-8343-4A18-A68B-48501F58AD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765</Words>
  <Characters>4590</Characters>
  <Application>Microsoft Office Word</Application>
  <DocSecurity>0</DocSecurity>
  <Lines>38</Lines>
  <Paragraphs>10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01</vt:lpstr>
      <vt:lpstr>01</vt:lpstr>
    </vt:vector>
  </TitlesOfParts>
  <Company>Studio Graficzne FILE</Company>
  <LinksUpToDate>false</LinksUpToDate>
  <CharactersWithSpaces>5345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01</dc:title>
  <dc:creator>Piotr Domownik</dc:creator>
  <cp:lastModifiedBy>Dariusz Dobrzyniecki</cp:lastModifiedBy>
  <cp:revision>2</cp:revision>
  <cp:lastPrinted>2010-10-01T11:43:00Z</cp:lastPrinted>
  <dcterms:created xsi:type="dcterms:W3CDTF">2012-02-16T13:37:00Z</dcterms:created>
  <dcterms:modified xsi:type="dcterms:W3CDTF">2012-02-16T13:37:00Z</dcterms:modified>
</cp:coreProperties>
</file>