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:rsidR="008E6E1B" w:rsidRDefault="008E6E1B" w:rsidP="00FF384C">
      <w:r w:rsidRPr="004A6708">
        <w:t>pomiędzy</w:t>
      </w:r>
    </w:p>
    <w:p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586F00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="002D171A">
        <w:t>nr  </w:t>
      </w:r>
      <w:r w:rsidRPr="00FF384C">
        <w:t xml:space="preserve">508/2014 z dnia 15 maja 2014 r. w sprawie Europejskiego Funduszu Morskiego </w:t>
      </w:r>
      <w:r w:rsidR="002D171A">
        <w:t>i  </w:t>
      </w:r>
      <w:r w:rsidRPr="00FF384C">
        <w:t xml:space="preserve">Rybackiego oraz uchylające rozporządzenia Rady (WE) nr 2328/2003, </w:t>
      </w:r>
      <w:r w:rsidR="002D171A">
        <w:t>(WE) nr  </w:t>
      </w:r>
      <w:r w:rsidRPr="00FF384C">
        <w:t>861/2006, (WE) nr 1198/2006 i (WE) nr 791/2007 oraz rozporządzenie Parlamentu Europejskiego i Rady (UE) nr 1255/2011 (Dz. Urz. U</w:t>
      </w:r>
      <w:r w:rsidR="003405BA">
        <w:t>E L 149 z 20.05.2014, str. 1, z  </w:t>
      </w:r>
      <w:r w:rsidRPr="00FF384C">
        <w:t>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>rozporządzenie nr 1303/2013 –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</w:t>
      </w:r>
      <w:r w:rsidR="002D171A">
        <w:t>uszu Spójności i  </w:t>
      </w:r>
      <w:r w:rsidRPr="00FF384C">
        <w:t>Europejskiego Funduszu Morskiego i Rybackiego oraz uchylające rozporządzenie Rady (WE) nr 1083/2006 (Dz. Urz. UE L 347 z 20.12.2013, str. 320, z późn. zm.);</w:t>
      </w:r>
    </w:p>
    <w:p w:rsid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="002D171A">
        <w:t>nr  </w:t>
      </w:r>
      <w:r w:rsidRPr="00FF384C">
        <w:t xml:space="preserve">1380/2013 z dnia 11 grudnia 2013 r. w sprawie wspólnej polityki rybołówstwa, </w:t>
      </w:r>
      <w:r w:rsidRPr="00FF384C">
        <w:lastRenderedPageBreak/>
        <w:t>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2D171A">
        <w:t>z  </w:t>
      </w:r>
      <w:r w:rsidRPr="002E2A2C">
        <w:t xml:space="preserve">dnia 24 listopada 2014 r. uzupełniające rozporządzenie Parlamentu Europejskiego </w:t>
      </w:r>
      <w:r w:rsidR="002D171A">
        <w:t>i  </w:t>
      </w:r>
      <w:r w:rsidRPr="002E2A2C">
        <w:t xml:space="preserve">Rady (UE) nr 508/2014 poprzez określenie kosztów kwalifikujących się do wsparcia </w:t>
      </w:r>
      <w:r w:rsidR="002D171A">
        <w:t>z  </w:t>
      </w:r>
      <w:r w:rsidRPr="002E2A2C">
        <w:t>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 w:rsidR="002D171A">
        <w:t xml:space="preserve"> (Dz. Urz. UE L 86 z  </w:t>
      </w:r>
      <w:r>
        <w:t>31.03.2015, str. 1);</w:t>
      </w:r>
    </w:p>
    <w:p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>ustawa o EFMR – ustawa z dnia 10 lipca 2015 r. o wspieraniu zrównoważonego rozwoju sektora rybackiego z udziałem Eur</w:t>
      </w:r>
      <w:r w:rsidR="002D171A">
        <w:t>opejskiego Funduszu Morskiego i  </w:t>
      </w:r>
      <w:r w:rsidR="00FF384C" w:rsidRPr="00FF384C">
        <w:t xml:space="preserve">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:rsidR="009A0B08" w:rsidRDefault="009A0B08" w:rsidP="009A0B08">
      <w:pPr>
        <w:pStyle w:val="PKTpunkt"/>
      </w:pPr>
      <w:r>
        <w:t>9)</w:t>
      </w:r>
      <w:r w:rsidR="002D171A">
        <w:tab/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:rsidR="009A0B08" w:rsidRDefault="009A0B08" w:rsidP="009A0B08">
      <w:pPr>
        <w:pStyle w:val="PKTpunkt"/>
      </w:pPr>
      <w:r>
        <w:t>10)</w:t>
      </w:r>
      <w:r w:rsidR="002D171A">
        <w:tab/>
      </w:r>
      <w:r>
        <w:t>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:rsidR="00432108" w:rsidRPr="00FF384C" w:rsidRDefault="00432108" w:rsidP="009A0B08">
      <w:pPr>
        <w:pStyle w:val="PKTpunkt"/>
      </w:pPr>
      <w:r>
        <w:t>11)</w:t>
      </w:r>
      <w:r w:rsidR="002D171A">
        <w:tab/>
      </w:r>
      <w:r>
        <w:t xml:space="preserve">ustawa </w:t>
      </w:r>
      <w:r w:rsidR="002D171A">
        <w:t xml:space="preserve">– </w:t>
      </w:r>
      <w:r>
        <w:t>Prawo zamówień publicznych – ustawę z dnia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2D171A">
        <w:t>na  </w:t>
      </w:r>
      <w:r w:rsidR="00FF384C" w:rsidRPr="00FF384C">
        <w:t>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 w:rsidR="002D171A">
        <w:t> </w:t>
      </w:r>
      <w:r>
        <w:t>umowie,</w:t>
      </w:r>
    </w:p>
    <w:p w:rsidR="00FF384C" w:rsidRPr="00FF384C" w:rsidRDefault="005F4BD1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 w:rsidR="003405BA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</w:t>
      </w:r>
      <w:r w:rsidR="003405BA">
        <w:t>7 rozporządzenia nr  </w:t>
      </w:r>
      <w:r>
        <w:t>508/2014,</w:t>
      </w:r>
    </w:p>
    <w:p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 xml:space="preserve">łagodzenie skutków zmiany klimatu, o których mowa w art. 41 </w:t>
      </w:r>
      <w:r w:rsidR="003405BA">
        <w:t>ust. 2 i art. 44 ust. 1 lit.  </w:t>
      </w:r>
      <w:r w:rsidR="00270AAF">
        <w:t>d rozporządzenia nr 508/2014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</w:t>
      </w:r>
      <w:r w:rsidR="003405BA">
        <w:t>iązany jest przekazać Agencji w  </w:t>
      </w:r>
      <w:r>
        <w:t>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</w:t>
      </w:r>
      <w:r w:rsidR="003405BA">
        <w:t xml:space="preserve"> w transzach, wypłata drugiej i  </w:t>
      </w:r>
      <w:r>
        <w:t>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 w:rsidR="003405BA">
        <w:t xml:space="preserve"> </w:t>
      </w:r>
      <w:r w:rsidRPr="00647A5D">
        <w:t>przeznaczony wyłącznie do obsługi zaliczki</w:t>
      </w:r>
      <w:r>
        <w:t>.</w:t>
      </w:r>
    </w:p>
    <w:p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C0683D" w:rsidRPr="004337FE">
        <w:t>§</w:t>
      </w:r>
      <w:r w:rsidR="00046F2D" w:rsidRPr="00046F2D">
        <w:t xml:space="preserve"> 4 ust. 1.</w:t>
      </w:r>
    </w:p>
    <w:p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4F0F2F">
        <w:rPr>
          <w:rStyle w:val="IGindeksgrny"/>
        </w:rPr>
        <w:t>)</w:t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="004F0F2F" w:rsidRPr="004F0F2F">
        <w:rPr>
          <w:rStyle w:val="IGindeksgrny"/>
        </w:rPr>
        <w:t xml:space="preserve"> </w:t>
      </w:r>
      <w:r w:rsidR="004F0F2F">
        <w:rPr>
          <w:rStyle w:val="IGindeksgrny"/>
        </w:rPr>
        <w:t>)</w:t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="004F0F2F" w:rsidRPr="004F0F2F">
        <w:rPr>
          <w:rStyle w:val="IGindeksgrny"/>
        </w:rPr>
        <w:t xml:space="preserve"> </w:t>
      </w:r>
      <w:r w:rsidR="004F0F2F">
        <w:rPr>
          <w:rStyle w:val="IGindeksgrny"/>
        </w:rPr>
        <w:t>)</w:t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</w:t>
      </w:r>
      <w:r w:rsidRPr="00874C71">
        <w:lastRenderedPageBreak/>
        <w:t xml:space="preserve">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544A4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 w:rsidR="003405BA">
        <w:t> </w:t>
      </w:r>
      <w:r>
        <w:t>przypadku gdy realizacja operacji rozpoczęła się przed dniem zawarcia umowy,</w:t>
      </w:r>
      <w:r w:rsidDel="00B25D95">
        <w:t xml:space="preserve"> </w:t>
      </w:r>
    </w:p>
    <w:p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3405BA">
        <w:t> 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3405BA">
        <w:t>z  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544A43" w:rsidP="00B22C69">
      <w:pPr>
        <w:pStyle w:val="PKTpunkt"/>
      </w:pPr>
      <w:r>
        <w:lastRenderedPageBreak/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:rsidR="008E3896" w:rsidRDefault="00544A43" w:rsidP="00C123DD">
      <w:pPr>
        <w:pStyle w:val="PKTpunkt"/>
      </w:pPr>
      <w:r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</w:t>
      </w:r>
      <w:r w:rsidR="002F5802">
        <w:t xml:space="preserve"> </w:t>
      </w:r>
      <w:r w:rsidR="00C27852">
        <w:t>– Prawo zamówień publicznych</w:t>
      </w:r>
      <w:r w:rsidR="00AE4BDF" w:rsidRPr="00AE4BDF">
        <w:t>, zgodnie z</w:t>
      </w:r>
      <w:r w:rsidR="002F5802">
        <w:t>  </w:t>
      </w:r>
      <w:r w:rsidR="00AE4BDF" w:rsidRPr="00AE4BDF">
        <w:t>Zasadami konkurencyjnego wyboru wykonawców w ramach Programu Operacyjnego „Rybactwo</w:t>
      </w:r>
      <w:r w:rsidR="002F5802">
        <w:t xml:space="preserve"> </w:t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</w:t>
      </w:r>
      <w:r w:rsidR="003405BA">
        <w:t>owa w art. 37 rozporządzenia nr  </w:t>
      </w:r>
      <w:r>
        <w:t>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</w:t>
      </w:r>
      <w:r w:rsidR="007B3600">
        <w:t xml:space="preserve"> </w:t>
      </w:r>
      <w:r w:rsidR="00145CE2">
        <w:t>– Prawo zamówień publicznych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="007B3600">
        <w:rPr>
          <w:rStyle w:val="IGindeksgrny"/>
        </w:rPr>
        <w:t>)</w:t>
      </w:r>
      <w:r w:rsidRPr="00E72255">
        <w:t>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lastRenderedPageBreak/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3405BA">
        <w:t> </w:t>
      </w:r>
      <w:r w:rsidR="00F373C9">
        <w:t> </w:t>
      </w:r>
      <w:r w:rsidRPr="009E23DF">
        <w:t>wyjaśnieniami dotyczącymi Specyfikacji Warunków Zamówienia, jeżeli miały miejsce 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="003405BA">
        <w:t>z  </w:t>
      </w:r>
      <w:r w:rsidRPr="00FD5D60">
        <w:t>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>protokołów z kolejno unieważnionych postępowań, zawierających podstawę prawną i</w:t>
      </w:r>
      <w:r w:rsidR="003405BA">
        <w:t>  </w:t>
      </w:r>
      <w:r w:rsidR="0001087A" w:rsidRPr="0001087A">
        <w:t>odpowiednie uzasadnienie faktyczne – w przypadku, gdy unieważnienie postępowania nastąpiło w konsekwencji braku ofert lub wniosków o dopuszczenie do udziału w</w:t>
      </w:r>
      <w:r w:rsidR="003405BA">
        <w:t>  </w:t>
      </w:r>
      <w:r w:rsidR="0001087A" w:rsidRPr="0001087A">
        <w:t>postępowaniu;</w:t>
      </w:r>
    </w:p>
    <w:p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faktycznego i prawnego zaistnienia przesłanek do </w:t>
      </w:r>
      <w:r w:rsidR="002D171A">
        <w:t>udzielenia zamówienia z  </w:t>
      </w:r>
      <w:r w:rsidR="008E7640" w:rsidRPr="000A0814">
        <w:t xml:space="preserve">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:rsidR="00E72255" w:rsidRPr="009E23DF" w:rsidRDefault="00E72255" w:rsidP="00887F72">
      <w:pPr>
        <w:pStyle w:val="USTustnpkodeksu"/>
      </w:pPr>
      <w:r w:rsidRPr="00887F72">
        <w:t>7. Agencja dokona oceny postępowania o udzielenie za</w:t>
      </w:r>
      <w:r w:rsidR="002D171A">
        <w:t>mówienia publicznego w  </w:t>
      </w:r>
      <w:r w:rsidRPr="00887F72">
        <w:t>terminie 60 dni roboczych</w:t>
      </w:r>
      <w:r w:rsidRPr="009E23DF">
        <w:t xml:space="preserve">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>9. Jeżeli zaistnieje konieczność uzyskania wyjaśnień, Agencja wzywa Beneficjenta w</w:t>
      </w:r>
      <w:r w:rsidR="002D171A">
        <w:t>  </w:t>
      </w:r>
      <w:r w:rsidRPr="009E23DF">
        <w:t>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</w:t>
      </w:r>
      <w:r w:rsidR="003405BA">
        <w:rPr>
          <w:rStyle w:val="Odwoanieprzypisudolnego"/>
        </w:rPr>
        <w:footnoteReference w:id="19"/>
      </w:r>
      <w:r w:rsidR="003405BA" w:rsidRPr="00F73183">
        <w:rPr>
          <w:vertAlign w:val="superscript"/>
        </w:rPr>
        <w:t>)</w:t>
      </w:r>
      <w:r w:rsidRPr="00C05105">
        <w:t xml:space="preserve"> do decyzji</w:t>
      </w:r>
      <w:r w:rsidR="003405BA" w:rsidRPr="00B86CB3">
        <w:rPr>
          <w:rStyle w:val="IGindeksgrny"/>
        </w:rPr>
        <w:footnoteReference w:id="20"/>
      </w:r>
      <w:r w:rsidR="003405BA" w:rsidRPr="00342074">
        <w:rPr>
          <w:rStyle w:val="IGindeksgrny"/>
        </w:rPr>
        <w:t>)</w:t>
      </w:r>
      <w:r w:rsidRPr="00C05105">
        <w:t xml:space="preserve">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final</w:t>
      </w:r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>terminie od</w:t>
      </w:r>
      <w:r w:rsidR="00273381">
        <w:t xml:space="preserve"> </w:t>
      </w:r>
      <w:r>
        <w:t>…………………. do</w:t>
      </w:r>
      <w:r w:rsidR="00273381">
        <w:t xml:space="preserve"> </w:t>
      </w:r>
      <w:r>
        <w:t xml:space="preserve">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7722B1">
        <w:t>w  </w:t>
      </w:r>
      <w:r>
        <w:t xml:space="preserve">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</w:t>
      </w:r>
      <w:r w:rsidR="007722B1">
        <w:t xml:space="preserve"> od dnia rozpatrzenia wniosku o  </w:t>
      </w:r>
      <w:r w:rsidR="00FF384C" w:rsidRPr="00FF384C">
        <w:t>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>po</w:t>
      </w:r>
      <w:r w:rsidR="0068281D">
        <w:t>d</w:t>
      </w:r>
      <w:r w:rsidR="00F17585">
        <w:t xml:space="preserve">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7722B1">
        <w:t> </w:t>
      </w:r>
      <w:r w:rsidR="00F373C9">
        <w:t> </w:t>
      </w:r>
      <w:r w:rsidRPr="00330A55">
        <w:t>spółdzielczej kasie oszczędnościowo-kredytowej.</w:t>
      </w:r>
    </w:p>
    <w:p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>2)</w:t>
      </w:r>
      <w:r w:rsidR="002D171A">
        <w:tab/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="007722B1">
        <w:t>w  §  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7722B1">
        <w:t>w  </w:t>
      </w:r>
      <w:r w:rsidR="00FF384C" w:rsidRPr="00094748">
        <w:t>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1"/>
      </w:r>
      <w:r w:rsidR="00396253" w:rsidRPr="00B86CB3">
        <w:rPr>
          <w:rStyle w:val="IGindeksgrny"/>
        </w:rPr>
        <w:t>)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lastRenderedPageBreak/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="002D171A">
        <w:t>w  </w:t>
      </w:r>
      <w:r w:rsidRPr="00094748">
        <w:t xml:space="preserve">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9A0B08" w:rsidRDefault="00FF384C" w:rsidP="002E7559">
      <w:pPr>
        <w:pStyle w:val="USTustnpkodeksu"/>
      </w:pPr>
      <w:r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 w:rsidR="002E7559"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="002E7559" w:rsidRPr="002E7559">
        <w:t> </w:t>
      </w:r>
      <w:r w:rsidR="002D171A">
        <w:t> </w:t>
      </w:r>
      <w:r w:rsidR="009A0B08" w:rsidRPr="002E7559">
        <w:t xml:space="preserve">sprawie Priorytetu 1 używając: </w:t>
      </w:r>
    </w:p>
    <w:p w:rsidR="009A0B08" w:rsidRDefault="009A0B08" w:rsidP="009A0B08">
      <w:pPr>
        <w:pStyle w:val="PKTpunkt"/>
      </w:pPr>
      <w:r>
        <w:t>1) adresu e-mail Agencji:</w:t>
      </w:r>
      <w:r w:rsidR="0068281D">
        <w:t xml:space="preserve"> </w:t>
      </w:r>
      <w:r>
        <w:t>…………………</w:t>
      </w:r>
      <w:r w:rsidR="0068281D">
        <w:t>…….</w:t>
      </w:r>
      <w:r>
        <w:t>…………………………………………….</w:t>
      </w:r>
    </w:p>
    <w:p w:rsidR="009A0B08" w:rsidRDefault="009A0B08" w:rsidP="002E7559">
      <w:pPr>
        <w:pStyle w:val="PKTpunkt"/>
      </w:pPr>
      <w:r>
        <w:t>2) adresu e-mail Beneficjenta</w:t>
      </w:r>
      <w:r w:rsidR="0068281D">
        <w:t xml:space="preserve"> </w:t>
      </w:r>
      <w:r>
        <w:t>………………………</w:t>
      </w:r>
      <w:r w:rsidR="0068281D">
        <w:t>……</w:t>
      </w:r>
      <w:r>
        <w:t>…………………………………….</w:t>
      </w:r>
      <w:bookmarkEnd w:id="3"/>
    </w:p>
    <w:bookmarkEnd w:id="4"/>
    <w:p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>umowy w</w:t>
      </w:r>
      <w:r w:rsidR="002D171A">
        <w:t>  </w:t>
      </w:r>
      <w:r w:rsidR="00FF384C" w:rsidRPr="004A6708">
        <w:t>prowadzonej korespondencji.</w:t>
      </w:r>
    </w:p>
    <w:p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lastRenderedPageBreak/>
        <w:t xml:space="preserve">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>, o której mowa w</w:t>
      </w:r>
      <w:r w:rsidR="002D171A">
        <w:t>  </w:t>
      </w:r>
      <w:r w:rsidR="00FF384C">
        <w:t>§</w:t>
      </w:r>
      <w:r w:rsidR="002D171A">
        <w:t>  </w:t>
      </w:r>
      <w:r w:rsidR="00FD5D60">
        <w:t>15</w:t>
      </w:r>
      <w:r w:rsidR="00FF384C" w:rsidRPr="004A6708">
        <w:t>.</w:t>
      </w:r>
    </w:p>
    <w:p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="007722B1">
        <w:t>do  </w:t>
      </w:r>
      <w:r w:rsidRPr="000520DB">
        <w:t>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="002D171A">
        <w:t xml:space="preserve"> </w:t>
      </w:r>
      <w:r w:rsidRPr="000520DB">
        <w:t>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:rsidR="009A0B08" w:rsidRDefault="009A0B08" w:rsidP="009A0B08">
      <w:pPr>
        <w:pStyle w:val="USTustnpkodeksu"/>
      </w:pPr>
      <w:bookmarkStart w:id="5" w:name="_Hlk63144940"/>
      <w:r>
        <w:t>1)</w:t>
      </w:r>
      <w:r w:rsidR="002D171A">
        <w:tab/>
      </w:r>
      <w:r>
        <w:t>jest zawarta z dniem podpisania przez Agencję</w:t>
      </w:r>
      <w:r>
        <w:rPr>
          <w:rStyle w:val="Odwoanieprzypisudolnego"/>
        </w:rPr>
        <w:footnoteReference w:id="22"/>
      </w:r>
      <w:r w:rsidR="002D171A" w:rsidRPr="002D171A">
        <w:rPr>
          <w:vertAlign w:val="superscript"/>
        </w:rPr>
        <w:t>)</w:t>
      </w:r>
      <w:r w:rsidR="002E7559">
        <w:t>;</w:t>
      </w:r>
    </w:p>
    <w:p w:rsidR="009A0B08" w:rsidRDefault="009A0B08" w:rsidP="009A0B08">
      <w:pPr>
        <w:pStyle w:val="USTustnpkodeksu"/>
      </w:pPr>
      <w:r>
        <w:t>2)</w:t>
      </w:r>
      <w:r w:rsidR="002D171A">
        <w:tab/>
      </w:r>
      <w:r w:rsidRPr="004A6708">
        <w:t>obowiązuje od dnia jej zawarcia.</w:t>
      </w:r>
    </w:p>
    <w:bookmarkEnd w:id="5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:rsidR="00FF384C" w:rsidRDefault="00FF384C" w:rsidP="00FF384C"/>
    <w:p w:rsidR="00C236E7" w:rsidRDefault="00C236E7" w:rsidP="00C236E7">
      <w:pPr>
        <w:pStyle w:val="USTustnpkodeksu"/>
      </w:pPr>
      <w:r w:rsidRPr="00FF384C">
        <w:t>W związku z zawarciem w dniu ……………………………….. umowy o</w:t>
      </w:r>
      <w:r w:rsidR="002D171A">
        <w:t>  </w:t>
      </w:r>
      <w:r w:rsidRPr="00FF384C">
        <w:t>dofinansowanie</w:t>
      </w:r>
      <w:r w:rsidR="002D171A">
        <w:t>  </w:t>
      </w:r>
      <w:r w:rsidRPr="00FF384C">
        <w:t>nr ………………………………………………, wnoszę o wypłatę zaliczki na pokrycie kosztów kwalifikowalnych ujętych w zestawieniu rzeczowo-finansowym operacji</w:t>
      </w:r>
      <w:r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3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>zaliczki</w:t>
      </w:r>
      <w:r w:rsidRPr="000520DB">
        <w:rPr>
          <w:rStyle w:val="IGindeksgrny"/>
        </w:rPr>
        <w:footnoteReference w:id="24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D3" w:rsidRDefault="002A0DD3">
      <w:r>
        <w:separator/>
      </w:r>
    </w:p>
  </w:endnote>
  <w:endnote w:type="continuationSeparator" w:id="0">
    <w:p w:rsidR="002A0DD3" w:rsidRDefault="002A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24025"/>
      <w:docPartObj>
        <w:docPartGallery w:val="Page Numbers (Bottom of Page)"/>
        <w:docPartUnique/>
      </w:docPartObj>
    </w:sdtPr>
    <w:sdtEndPr/>
    <w:sdtContent>
      <w:sdt>
        <w:sdtPr>
          <w:id w:val="-326519153"/>
          <w:docPartObj>
            <w:docPartGallery w:val="Page Numbers (Top of Page)"/>
            <w:docPartUnique/>
          </w:docPartObj>
        </w:sdtPr>
        <w:sdtEndPr/>
        <w:sdtContent>
          <w:p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="00EB7A92" w:rsidRPr="00426E20">
              <w:fldChar w:fldCharType="begin"/>
            </w:r>
            <w:r w:rsidRPr="00426E20">
              <w:instrText>PAGE</w:instrText>
            </w:r>
            <w:r w:rsidR="00EB7A92" w:rsidRPr="00426E20">
              <w:fldChar w:fldCharType="separate"/>
            </w:r>
            <w:r w:rsidR="00CE6A58">
              <w:rPr>
                <w:noProof/>
              </w:rPr>
              <w:t>21</w:t>
            </w:r>
            <w:r w:rsidR="00EB7A92" w:rsidRPr="00426E20">
              <w:fldChar w:fldCharType="end"/>
            </w:r>
            <w:r w:rsidRPr="00426E20">
              <w:t xml:space="preserve"> z </w:t>
            </w:r>
            <w:r w:rsidR="00EB7A92" w:rsidRPr="00426E20">
              <w:fldChar w:fldCharType="begin"/>
            </w:r>
            <w:r w:rsidRPr="00426E20">
              <w:instrText>NUMPAGES</w:instrText>
            </w:r>
            <w:r w:rsidR="00EB7A92" w:rsidRPr="00426E20">
              <w:fldChar w:fldCharType="separate"/>
            </w:r>
            <w:r w:rsidR="00CE6A58">
              <w:rPr>
                <w:noProof/>
              </w:rPr>
              <w:t>23</w:t>
            </w:r>
            <w:r w:rsidR="00EB7A92" w:rsidRPr="00426E20">
              <w:fldChar w:fldCharType="end"/>
            </w:r>
          </w:p>
        </w:sdtContent>
      </w:sdt>
    </w:sdtContent>
  </w:sdt>
  <w:p w:rsidR="00544A43" w:rsidRDefault="00544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D3" w:rsidRDefault="002A0DD3">
      <w:r>
        <w:separator/>
      </w:r>
    </w:p>
  </w:footnote>
  <w:footnote w:type="continuationSeparator" w:id="0">
    <w:p w:rsidR="002A0DD3" w:rsidRDefault="002A0DD3">
      <w:r>
        <w:continuationSeparator/>
      </w:r>
    </w:p>
  </w:footnote>
  <w:footnote w:id="1">
    <w:p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:rsidR="00544A43" w:rsidRDefault="00544A43"/>
  </w:footnote>
  <w:footnote w:id="3">
    <w:p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:rsidR="00F73445" w:rsidRPr="00055626" w:rsidRDefault="00F73445" w:rsidP="00951908">
      <w:pPr>
        <w:pStyle w:val="ODNONIKtreodnonika"/>
        <w:rPr>
          <w:rStyle w:val="IGindeksgrny"/>
          <w:rFonts w:cs="Times New Roman"/>
          <w:vertAlign w:val="baseline"/>
        </w:rPr>
      </w:pPr>
      <w:r w:rsidRPr="00055626">
        <w:rPr>
          <w:rStyle w:val="IGindeksgrny"/>
          <w:rFonts w:cs="Times New Roman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Style w:val="IGindeksgrny"/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32 i art. 44 ust. 1 lit. b rozporządzenia nr 508/2014.</w:t>
      </w:r>
    </w:p>
  </w:footnote>
  <w:footnote w:id="10">
    <w:p w:rsidR="00F73445" w:rsidRPr="00055626" w:rsidRDefault="00F73445" w:rsidP="00951908">
      <w:pPr>
        <w:pStyle w:val="ODNONIKtreodnonika"/>
        <w:rPr>
          <w:rFonts w:cs="Times New Roman"/>
        </w:rPr>
      </w:pPr>
      <w:r w:rsidRPr="00055626">
        <w:rPr>
          <w:rStyle w:val="Odwoanieprzypisudolnego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37 rozporządzenia nr 508/2014.</w:t>
      </w:r>
    </w:p>
  </w:footnote>
  <w:footnote w:id="11">
    <w:p w:rsidR="00B17060" w:rsidRPr="00055626" w:rsidRDefault="00B17060" w:rsidP="00951908">
      <w:pPr>
        <w:pStyle w:val="ODNONIKtreodnonika"/>
        <w:rPr>
          <w:rFonts w:cs="Times New Roman"/>
          <w:vertAlign w:val="superscript"/>
        </w:rPr>
      </w:pPr>
      <w:r w:rsidRPr="00055626">
        <w:rPr>
          <w:rStyle w:val="Odwoanieprzypisudolnego"/>
        </w:rPr>
        <w:footnoteRef/>
      </w:r>
      <w:r w:rsidR="0093224C"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="0093224C"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="0093224C" w:rsidRPr="00055626">
        <w:rPr>
          <w:rFonts w:cs="Times New Roman"/>
        </w:rPr>
        <w:t>w art. 38 i art. 44 ust.1 lit. c rozporządzenia nr 508/2004.</w:t>
      </w:r>
    </w:p>
  </w:footnote>
  <w:footnote w:id="12">
    <w:p w:rsidR="00116F05" w:rsidRPr="00055626" w:rsidRDefault="0093224C" w:rsidP="00951908">
      <w:pPr>
        <w:pStyle w:val="ODNONIKtreodnonika"/>
        <w:rPr>
          <w:rFonts w:cs="Times New Roman"/>
        </w:rPr>
      </w:pPr>
      <w:r w:rsidRPr="00055626">
        <w:rPr>
          <w:rStyle w:val="IGindeksgrny"/>
          <w:rFonts w:cs="Times New Roman"/>
        </w:rPr>
        <w:footnoteRef/>
      </w:r>
      <w:r w:rsidRPr="00055626">
        <w:rPr>
          <w:rStyle w:val="IGindeksgrny"/>
          <w:rFonts w:cs="Times New Roman"/>
        </w:rPr>
        <w:t>)</w:t>
      </w:r>
      <w:r w:rsidR="00CD1631" w:rsidRPr="00055626">
        <w:rPr>
          <w:rFonts w:cs="Times New Roman"/>
        </w:rPr>
        <w:tab/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41 ust. 2 i art. 44 ust. 1 lit. d rozporządzenia nr 508/2014</w:t>
      </w:r>
      <w:r w:rsidR="00116F05" w:rsidRPr="00055626">
        <w:rPr>
          <w:rFonts w:cs="Times New Roman"/>
        </w:rPr>
        <w:t>,</w:t>
      </w:r>
    </w:p>
  </w:footnote>
  <w:footnote w:id="13">
    <w:p w:rsidR="00D93963" w:rsidRPr="00055626" w:rsidRDefault="00D93963" w:rsidP="0095190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5562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055626">
        <w:rPr>
          <w:rFonts w:ascii="Times New Roman" w:hAnsi="Times New Roman"/>
          <w:sz w:val="20"/>
          <w:szCs w:val="20"/>
          <w:vertAlign w:val="superscript"/>
        </w:rPr>
        <w:t>)</w:t>
      </w:r>
      <w:r w:rsidRPr="00055626">
        <w:rPr>
          <w:rFonts w:ascii="Times New Roman" w:hAnsi="Times New Roman"/>
          <w:sz w:val="20"/>
          <w:szCs w:val="20"/>
        </w:rPr>
        <w:t xml:space="preserve"> </w:t>
      </w:r>
      <w:r w:rsidR="00055626" w:rsidRPr="00055626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W przypadku realizacji operacji w ramach działania, o którym mowa </w:t>
      </w:r>
      <w:r w:rsidR="00055626" w:rsidRPr="00055626">
        <w:rPr>
          <w:rFonts w:ascii="Times New Roman" w:hAnsi="Times New Roman"/>
          <w:sz w:val="20"/>
          <w:szCs w:val="20"/>
        </w:rPr>
        <w:t>w art. 41 ust. 2 i art. 44 ust. 1 lit. d rozporządzenia nr 508/2014</w:t>
      </w:r>
      <w:r w:rsidRPr="00055626">
        <w:rPr>
          <w:rFonts w:ascii="Times New Roman" w:hAnsi="Times New Roman"/>
          <w:sz w:val="20"/>
          <w:szCs w:val="20"/>
        </w:rPr>
        <w:t>.</w:t>
      </w:r>
    </w:p>
  </w:footnote>
  <w:footnote w:id="14">
    <w:p w:rsidR="00D93963" w:rsidRPr="00055626" w:rsidRDefault="00D93963" w:rsidP="00951908">
      <w:pPr>
        <w:pStyle w:val="ODNONIKtreodnonika"/>
        <w:rPr>
          <w:rFonts w:cs="Times New Roman"/>
        </w:rPr>
      </w:pPr>
      <w:r w:rsidRPr="00055626">
        <w:rPr>
          <w:rStyle w:val="Odwoanieprzypisudolnego"/>
        </w:rPr>
        <w:footnoteRef/>
      </w:r>
      <w:r w:rsidRPr="00055626">
        <w:rPr>
          <w:rFonts w:cs="Times New Roman"/>
          <w:vertAlign w:val="superscript"/>
        </w:rPr>
        <w:t>)</w:t>
      </w:r>
      <w:r w:rsidRPr="00055626">
        <w:rPr>
          <w:rFonts w:cs="Times New Roman"/>
        </w:rPr>
        <w:t xml:space="preserve"> </w:t>
      </w:r>
      <w:r w:rsidRPr="00055626">
        <w:rPr>
          <w:rStyle w:val="IGindeksgrny"/>
          <w:rFonts w:cs="Times New Roman"/>
          <w:vertAlign w:val="baseline"/>
        </w:rPr>
        <w:t xml:space="preserve">W przypadku realizacji operacji w ramach działania, o którym mowa </w:t>
      </w:r>
      <w:r w:rsidRPr="00055626">
        <w:rPr>
          <w:rFonts w:cs="Times New Roman"/>
        </w:rPr>
        <w:t>w art. 42 i art. 44 ust. 1 lit. e rozporządzenia nr 508/2014</w:t>
      </w:r>
      <w:r w:rsidR="004A43AB">
        <w:rPr>
          <w:rFonts w:cs="Times New Roman"/>
        </w:rPr>
        <w:t>.</w:t>
      </w:r>
    </w:p>
  </w:footnote>
  <w:footnote w:id="15">
    <w:p w:rsidR="00D93963" w:rsidRPr="00055626" w:rsidRDefault="00D93963" w:rsidP="0095190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5562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="0075594F" w:rsidRPr="00055626">
        <w:rPr>
          <w:rFonts w:ascii="Times New Roman" w:hAnsi="Times New Roman"/>
          <w:sz w:val="20"/>
          <w:szCs w:val="20"/>
          <w:vertAlign w:val="superscript"/>
        </w:rPr>
        <w:t>)</w:t>
      </w:r>
      <w:r w:rsidRPr="00055626">
        <w:rPr>
          <w:rFonts w:ascii="Times New Roman" w:hAnsi="Times New Roman"/>
          <w:sz w:val="20"/>
          <w:szCs w:val="20"/>
        </w:rPr>
        <w:t xml:space="preserve"> </w:t>
      </w:r>
      <w:r w:rsidR="0075594F" w:rsidRPr="00055626">
        <w:rPr>
          <w:rStyle w:val="IGindeksgrny"/>
          <w:rFonts w:ascii="Times New Roman" w:eastAsiaTheme="minorEastAsia" w:hAnsi="Times New Roman"/>
          <w:sz w:val="20"/>
          <w:szCs w:val="20"/>
          <w:vertAlign w:val="baseline"/>
        </w:rPr>
        <w:t>W przypadku realizacji operacji w ramach działania, o którym mowa w art. 42 i art. 44 ust. 1 lit. e rozporządzenia nr 508/2014</w:t>
      </w:r>
      <w:r w:rsidR="004A43AB">
        <w:rPr>
          <w:rStyle w:val="IGindeksgrny"/>
          <w:rFonts w:ascii="Times New Roman" w:eastAsiaTheme="minorEastAsia" w:hAnsi="Times New Roman"/>
          <w:sz w:val="20"/>
          <w:szCs w:val="20"/>
          <w:vertAlign w:val="baseline"/>
        </w:rPr>
        <w:t>.</w:t>
      </w:r>
    </w:p>
  </w:footnote>
  <w:footnote w:id="16">
    <w:p w:rsidR="00D93963" w:rsidRDefault="00D93963" w:rsidP="00951908">
      <w:pPr>
        <w:pStyle w:val="ODNONIKtreodnonika"/>
      </w:pPr>
      <w:r w:rsidRPr="00055626">
        <w:rPr>
          <w:rStyle w:val="Odwoanieprzypisudolnego"/>
        </w:rPr>
        <w:footnoteRef/>
      </w:r>
      <w:r w:rsidRPr="00055626">
        <w:rPr>
          <w:rStyle w:val="Odwoanieprzypisudolnego"/>
        </w:rPr>
        <w:t>)</w:t>
      </w:r>
      <w:r w:rsidRPr="00055626">
        <w:rPr>
          <w:rStyle w:val="IGindeksgrny"/>
          <w:rFonts w:cs="Times New Roman"/>
          <w:vertAlign w:val="baseline"/>
        </w:rPr>
        <w:t xml:space="preserve"> </w:t>
      </w:r>
      <w:r w:rsidR="00055626" w:rsidRPr="00055626">
        <w:rPr>
          <w:rStyle w:val="IGindeksgrny"/>
          <w:rFonts w:cs="Times New Roman"/>
          <w:vertAlign w:val="baseline"/>
        </w:rPr>
        <w:t>W przypadku realizacji operacji w ramach działania, o którym mowa w art. 42 i art. 44 ust. 1 lit. e rozporządzenia nr 508/2014</w:t>
      </w:r>
      <w:r w:rsidRPr="00055626">
        <w:rPr>
          <w:rStyle w:val="IGindeksgrny"/>
          <w:rFonts w:cs="Times New Roman"/>
          <w:vertAlign w:val="baseline"/>
        </w:rPr>
        <w:t>.</w:t>
      </w:r>
    </w:p>
  </w:footnote>
  <w:footnote w:id="17">
    <w:p w:rsidR="00145CE2" w:rsidRPr="00273381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273381">
        <w:rPr>
          <w:rStyle w:val="Odwoanieprzypisudolnego"/>
          <w:sz w:val="20"/>
          <w:szCs w:val="20"/>
        </w:rPr>
        <w:footnoteRef/>
      </w:r>
      <w:r w:rsidR="00273381" w:rsidRPr="00273381">
        <w:rPr>
          <w:rStyle w:val="IGindeksgrny"/>
          <w:sz w:val="20"/>
          <w:szCs w:val="20"/>
        </w:rPr>
        <w:t>)</w:t>
      </w:r>
      <w:r w:rsidRPr="00273381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 w:rsidRPr="00273381">
        <w:rPr>
          <w:sz w:val="20"/>
          <w:szCs w:val="20"/>
        </w:rPr>
        <w:t>,</w:t>
      </w:r>
      <w:r w:rsidR="00F31E18" w:rsidRPr="00273381">
        <w:rPr>
          <w:sz w:val="20"/>
          <w:szCs w:val="20"/>
        </w:rPr>
        <w:t xml:space="preserve"> z późn. zm.)</w:t>
      </w:r>
      <w:r w:rsidRPr="00273381">
        <w:rPr>
          <w:sz w:val="20"/>
          <w:szCs w:val="20"/>
        </w:rPr>
        <w:t xml:space="preserve"> do postępowań o udzielenie zamówienia, o których mowa w ustawie z dnia 29 stycznia 2004 r. – Prawo zamówień publicznych (Dz. U. z 2019 r. poz. 1843</w:t>
      </w:r>
      <w:r w:rsidR="00D9349A" w:rsidRPr="00273381">
        <w:rPr>
          <w:sz w:val="20"/>
          <w:szCs w:val="20"/>
        </w:rPr>
        <w:t>,</w:t>
      </w:r>
      <w:r w:rsidR="00F31E18" w:rsidRPr="00273381">
        <w:rPr>
          <w:sz w:val="20"/>
          <w:szCs w:val="20"/>
        </w:rPr>
        <w:t xml:space="preserve"> z późn. zm.</w:t>
      </w:r>
      <w:r w:rsidRPr="00273381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 w:rsidR="001C2D02">
        <w:rPr>
          <w:sz w:val="20"/>
          <w:szCs w:val="20"/>
        </w:rPr>
        <w:t xml:space="preserve"> U. z 2019 r. poz. 1843, z późn.zm.).  </w:t>
      </w:r>
    </w:p>
  </w:footnote>
  <w:footnote w:id="18">
    <w:p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:rsidR="003405BA" w:rsidRPr="003405BA" w:rsidRDefault="003405BA" w:rsidP="00273381">
      <w:pPr>
        <w:pStyle w:val="Tekstprzypisudolnego"/>
        <w:spacing w:line="240" w:lineRule="auto"/>
        <w:rPr>
          <w:rFonts w:ascii="Times New Roman" w:hAnsi="Times New Roman"/>
          <w:sz w:val="20"/>
          <w:szCs w:val="20"/>
        </w:rPr>
      </w:pPr>
      <w:r w:rsidRPr="003405BA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3405BA">
        <w:rPr>
          <w:rFonts w:ascii="Times New Roman" w:hAnsi="Times New Roman"/>
          <w:sz w:val="20"/>
          <w:szCs w:val="20"/>
          <w:vertAlign w:val="superscript"/>
        </w:rPr>
        <w:t>)</w:t>
      </w:r>
      <w:hyperlink r:id="rId1" w:history="1">
        <w:r w:rsidRPr="003405BA">
          <w:rPr>
            <w:rStyle w:val="Hipercze"/>
            <w:rFonts w:ascii="Times New Roman" w:hAnsi="Times New Roman"/>
            <w:sz w:val="20"/>
            <w:szCs w:val="20"/>
          </w:rPr>
          <w:t>https://ec.europa.eu/regional_policy/sources/docgener/informat/2014/GL_corrections_pp_irregularities_annex_PL_revtrans.pdf</w:t>
        </w:r>
      </w:hyperlink>
      <w:r w:rsidRPr="003405BA">
        <w:rPr>
          <w:rFonts w:ascii="Times New Roman" w:hAnsi="Times New Roman"/>
          <w:sz w:val="20"/>
          <w:szCs w:val="20"/>
        </w:rPr>
        <w:t xml:space="preserve"> </w:t>
      </w:r>
      <w:r w:rsidR="002F5802">
        <w:rPr>
          <w:rFonts w:ascii="Times New Roman" w:hAnsi="Times New Roman"/>
          <w:sz w:val="20"/>
          <w:szCs w:val="20"/>
        </w:rPr>
        <w:t xml:space="preserve">  </w:t>
      </w:r>
    </w:p>
  </w:footnote>
  <w:footnote w:id="20">
    <w:p w:rsidR="003405BA" w:rsidRPr="00FD02D1" w:rsidRDefault="003405BA" w:rsidP="00273381">
      <w:pPr>
        <w:pStyle w:val="ODNONIKtreodnonika"/>
        <w:rPr>
          <w:rStyle w:val="IDindeksdolny"/>
          <w:sz w:val="24"/>
          <w:szCs w:val="24"/>
        </w:rPr>
      </w:pPr>
      <w:r w:rsidRPr="003571BA">
        <w:rPr>
          <w:rStyle w:val="IGindeksgrny"/>
        </w:rPr>
        <w:footnoteRef/>
      </w:r>
      <w:r w:rsidRPr="003571BA">
        <w:rPr>
          <w:rStyle w:val="IGindeksgrny"/>
        </w:rPr>
        <w:t>)</w:t>
      </w:r>
      <w:hyperlink r:id="rId2" w:history="1">
        <w:r w:rsidR="002F5802" w:rsidRPr="00F14489">
          <w:rPr>
            <w:rStyle w:val="Hipercze"/>
          </w:rPr>
          <w:t>https://ec.europa.eu/regional_policy/sources/docgener/informat/2014/GL_corrections_pp_irregularities_PL.pdf</w:t>
        </w:r>
      </w:hyperlink>
      <w:r w:rsidR="002F5802">
        <w:rPr>
          <w:rStyle w:val="IDindeksdolny"/>
          <w:vertAlign w:val="baseline"/>
        </w:rPr>
        <w:t xml:space="preserve">  </w:t>
      </w:r>
    </w:p>
  </w:footnote>
  <w:footnote w:id="21">
    <w:p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 xml:space="preserve">sierpnia 2009 r. o finansach publicznych (Dz. U. </w:t>
      </w:r>
      <w:r w:rsidR="002D171A">
        <w:t>z</w:t>
      </w:r>
      <w:r w:rsidR="002D36C4">
        <w:t>  </w:t>
      </w:r>
      <w:r w:rsidR="002D171A" w:rsidRPr="001F181C">
        <w:t>20</w:t>
      </w:r>
      <w:r w:rsidR="002D171A">
        <w:t>21</w:t>
      </w:r>
      <w:r w:rsidR="002D171A" w:rsidRPr="001F181C">
        <w:t xml:space="preserve"> r. poz.</w:t>
      </w:r>
      <w:r w:rsidR="002D171A">
        <w:t xml:space="preserve"> 305</w:t>
      </w:r>
      <w:r w:rsidRPr="00B97CEE">
        <w:t>), w przypadku gdy beneficjent jest jednostką sektora finansów publicznych.</w:t>
      </w:r>
    </w:p>
  </w:footnote>
  <w:footnote w:id="22">
    <w:p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="002D171A" w:rsidRPr="002D171A">
        <w:rPr>
          <w:sz w:val="20"/>
          <w:szCs w:val="20"/>
          <w:vertAlign w:val="superscript"/>
        </w:rPr>
        <w:t>)</w:t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="002D171A">
        <w:rPr>
          <w:sz w:val="20"/>
          <w:szCs w:val="20"/>
        </w:rPr>
        <w:t xml:space="preserve"> ust. 1 rozporządzenia w  </w:t>
      </w:r>
      <w:r w:rsidRPr="00FF0D0B">
        <w:rPr>
          <w:sz w:val="20"/>
          <w:szCs w:val="20"/>
        </w:rPr>
        <w:t xml:space="preserve">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</w:t>
      </w:r>
      <w:r w:rsidR="002D171A">
        <w:rPr>
          <w:sz w:val="20"/>
          <w:szCs w:val="20"/>
        </w:rPr>
        <w:t>wnioskodawcę podpisanej umowy o  </w:t>
      </w:r>
      <w:r w:rsidRPr="00FF0D0B">
        <w:rPr>
          <w:sz w:val="20"/>
          <w:szCs w:val="20"/>
        </w:rPr>
        <w:t>dofinansowanie do Agencji przesyłką rejestrowana nadana w placówce poc</w:t>
      </w:r>
      <w:r w:rsidR="002D171A">
        <w:rPr>
          <w:sz w:val="20"/>
          <w:szCs w:val="20"/>
        </w:rPr>
        <w:t>ztowej operatora wyznaczonego w  </w:t>
      </w:r>
      <w:r w:rsidRPr="00FF0D0B">
        <w:rPr>
          <w:sz w:val="20"/>
          <w:szCs w:val="20"/>
        </w:rPr>
        <w:t xml:space="preserve">rozumieniu art. 3 pkt 13 ustawy – Prawo pocztowe. </w:t>
      </w:r>
    </w:p>
  </w:footnote>
  <w:footnote w:id="23">
    <w:p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4">
    <w:p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43" w:rsidRPr="00B371CC" w:rsidRDefault="00544A43" w:rsidP="00B371CC">
    <w:pPr>
      <w:pStyle w:val="Nagwek"/>
      <w:jc w:val="center"/>
    </w:pPr>
    <w:r>
      <w:t xml:space="preserve">– </w:t>
    </w:r>
    <w:r w:rsidR="00EB7A92">
      <w:fldChar w:fldCharType="begin"/>
    </w:r>
    <w:r>
      <w:instrText xml:space="preserve"> PAGE  \* MERGEFORMAT </w:instrText>
    </w:r>
    <w:r w:rsidR="00EB7A92">
      <w:fldChar w:fldCharType="separate"/>
    </w:r>
    <w:r w:rsidR="00CE6A58">
      <w:rPr>
        <w:noProof/>
      </w:rPr>
      <w:t>21</w:t>
    </w:r>
    <w:r w:rsidR="00EB7A92"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2838"/>
      <w:gridCol w:w="3696"/>
    </w:tblGrid>
    <w:tr w:rsidR="00A44C04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626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2317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5DC0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2D02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381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0DD3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171A"/>
    <w:rsid w:val="002D36C4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5802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3C7B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05BA"/>
    <w:rsid w:val="00341A6A"/>
    <w:rsid w:val="00342074"/>
    <w:rsid w:val="003441A2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571BA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520F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102F"/>
    <w:rsid w:val="003A306E"/>
    <w:rsid w:val="003A5F0A"/>
    <w:rsid w:val="003A60DC"/>
    <w:rsid w:val="003A6A46"/>
    <w:rsid w:val="003A7A63"/>
    <w:rsid w:val="003A7C0B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43AB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07A3"/>
    <w:rsid w:val="004E1324"/>
    <w:rsid w:val="004E19A5"/>
    <w:rsid w:val="004E37E5"/>
    <w:rsid w:val="004E3FDB"/>
    <w:rsid w:val="004E5013"/>
    <w:rsid w:val="004E78BA"/>
    <w:rsid w:val="004E7DA3"/>
    <w:rsid w:val="004F01C8"/>
    <w:rsid w:val="004F0F2F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210A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281D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2B1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3600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1908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1BC2"/>
    <w:rsid w:val="009B4CB2"/>
    <w:rsid w:val="009B6701"/>
    <w:rsid w:val="009B6EF7"/>
    <w:rsid w:val="009B7000"/>
    <w:rsid w:val="009B739C"/>
    <w:rsid w:val="009B7D72"/>
    <w:rsid w:val="009C04EC"/>
    <w:rsid w:val="009C328C"/>
    <w:rsid w:val="009C3F1A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62D4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865CF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061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683D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A5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715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57B7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B7A92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76C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12A"/>
    <w:rsid w:val="00F75C3A"/>
    <w:rsid w:val="00F8156F"/>
    <w:rsid w:val="00F81944"/>
    <w:rsid w:val="00F82E30"/>
    <w:rsid w:val="00F831C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37D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96A955CB-AC2A-42BC-B6A6-02C06A5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3405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regional_policy/sources/docgener/informat/2014/GL_corrections_pp_irregularities_PL.pdf" TargetMode="External"/><Relationship Id="rId1" Type="http://schemas.openxmlformats.org/officeDocument/2006/relationships/hyperlink" Target="https://ec.europa.eu/regional_policy/sources/docgener/informat/2014/GL_corrections_pp_irregularities_annex_PL_revtran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447510-116F-4A27-A2B0-ED3C35C1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23</Pages>
  <Words>5734</Words>
  <Characters>34406</Characters>
  <Application>Microsoft Office Word</Application>
  <DocSecurity>0</DocSecurity>
  <Lines>286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2019-09-26T06:53:00Z</cp:lastPrinted>
  <dcterms:created xsi:type="dcterms:W3CDTF">2021-04-19T08:16:00Z</dcterms:created>
  <dcterms:modified xsi:type="dcterms:W3CDTF">2021-04-19T08:16:00Z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