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F0EDC" w14:textId="07F8F8F7" w:rsidR="00C52737" w:rsidRPr="00BE58D4" w:rsidRDefault="009647FA" w:rsidP="00C52737">
      <w:pPr>
        <w:tabs>
          <w:tab w:val="left" w:pos="7621"/>
        </w:tabs>
        <w:jc w:val="right"/>
        <w:rPr>
          <w:rFonts w:eastAsia="Times New Roman" w:cstheme="minorHAnsi"/>
          <w:b/>
          <w:bCs/>
          <w:color w:val="000000" w:themeColor="text1"/>
          <w:sz w:val="32"/>
          <w:szCs w:val="32"/>
          <w:lang w:eastAsia="pl-PL"/>
        </w:rPr>
      </w:pPr>
      <w:r w:rsidRPr="00BE58D4">
        <w:rPr>
          <w:rFonts w:eastAsia="Times New Roman" w:cstheme="minorHAnsi"/>
          <w:b/>
          <w:bCs/>
          <w:color w:val="000000" w:themeColor="text1"/>
          <w:sz w:val="32"/>
          <w:szCs w:val="32"/>
          <w:lang w:eastAsia="pl-PL"/>
        </w:rPr>
        <w:t>Załącznik nr 2</w:t>
      </w:r>
    </w:p>
    <w:p w14:paraId="575A1936" w14:textId="7A1F36F1" w:rsidR="00C52737" w:rsidRPr="00BE58D4" w:rsidRDefault="00BE58D4" w:rsidP="00C52737">
      <w:pPr>
        <w:spacing w:before="120" w:after="240" w:line="276" w:lineRule="auto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l-PL"/>
        </w:rPr>
      </w:pPr>
      <w:r w:rsidRPr="00BE58D4">
        <w:rPr>
          <w:rFonts w:eastAsia="Times New Roman" w:cstheme="minorHAnsi"/>
          <w:b/>
          <w:bCs/>
          <w:color w:val="000000" w:themeColor="text1"/>
          <w:sz w:val="32"/>
          <w:szCs w:val="32"/>
          <w:lang w:eastAsia="pl-PL"/>
        </w:rPr>
        <w:t>OPIS PROGRAMU</w:t>
      </w:r>
    </w:p>
    <w:p w14:paraId="3686203C" w14:textId="45AE994B" w:rsidR="00C52737" w:rsidRPr="00BE58D4" w:rsidRDefault="00C52737" w:rsidP="00C52737">
      <w:pPr>
        <w:spacing w:before="120" w:after="24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Opis </w:t>
      </w:r>
      <w:r w:rsidRPr="00BE58D4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pl-PL"/>
        </w:rPr>
        <w:t xml:space="preserve">Programu oceny jakości życia i stanu zdrowia dzieci i młodzieży po zakończonym leczeniu przeciwnowotworowym </w:t>
      </w:r>
      <w:r w:rsidR="00606DF4" w:rsidRPr="00BE58D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na lata 2019-2</w:t>
      </w:r>
      <w:bookmarkStart w:id="0" w:name="_GoBack"/>
      <w:bookmarkEnd w:id="0"/>
      <w:r w:rsidR="00606DF4" w:rsidRPr="00BE58D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021</w:t>
      </w:r>
      <w:r w:rsidRPr="00BE58D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:</w:t>
      </w:r>
    </w:p>
    <w:p w14:paraId="528F5BB0" w14:textId="77777777" w:rsidR="00C52737" w:rsidRPr="00BE58D4" w:rsidRDefault="00C52737" w:rsidP="00C52737">
      <w:pPr>
        <w:spacing w:after="12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Cel ogólny Programu:</w:t>
      </w:r>
    </w:p>
    <w:p w14:paraId="60BD4A20" w14:textId="77777777" w:rsidR="00C52737" w:rsidRPr="00BE58D4" w:rsidRDefault="00C52737" w:rsidP="00C52737">
      <w:pPr>
        <w:spacing w:after="12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Poprawa stanu zdrowia oraz jakości życia pacjentów po przebytym leczeniu z powodu choroby nowotworowej w okresie dziecięcym.</w:t>
      </w:r>
    </w:p>
    <w:p w14:paraId="58D189A3" w14:textId="77777777" w:rsidR="00C52737" w:rsidRPr="00BE58D4" w:rsidRDefault="00C52737" w:rsidP="00C52737">
      <w:pPr>
        <w:spacing w:before="240" w:after="12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Cele szczegółowe Programu:</w:t>
      </w:r>
    </w:p>
    <w:p w14:paraId="799A0E26" w14:textId="77777777" w:rsidR="00C52737" w:rsidRPr="00BE58D4" w:rsidRDefault="00C52737" w:rsidP="00C52737">
      <w:pPr>
        <w:pStyle w:val="Akapitzlist"/>
        <w:numPr>
          <w:ilvl w:val="6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BE58D4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Redukcja stopnia ciężkości odległych następstw poprzez wczesną diagnostykę schorzeń powstałych w wyniku leczenia przeciwnowotworowego.</w:t>
      </w:r>
    </w:p>
    <w:p w14:paraId="261DC323" w14:textId="77777777" w:rsidR="00C52737" w:rsidRPr="00BE58D4" w:rsidRDefault="00C52737" w:rsidP="00C52737">
      <w:pPr>
        <w:pStyle w:val="Akapitzlist"/>
        <w:numPr>
          <w:ilvl w:val="6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BE58D4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Zmniejszenie odległych kosztów leczenia działań niepożądanych po złożonej terapii przeciwnowotworowej stosowanej u dzieci i młodzieży.</w:t>
      </w:r>
    </w:p>
    <w:p w14:paraId="5ED3EEF4" w14:textId="77777777" w:rsidR="00C52737" w:rsidRPr="00BE58D4" w:rsidRDefault="00C52737" w:rsidP="00C52737">
      <w:pPr>
        <w:spacing w:before="240"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Opis Programu:</w:t>
      </w:r>
    </w:p>
    <w:p w14:paraId="0382ED4C" w14:textId="77777777" w:rsidR="00C52737" w:rsidRPr="00BE58D4" w:rsidRDefault="00C52737" w:rsidP="00C52737">
      <w:pPr>
        <w:spacing w:before="12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Polsce częstość </w:t>
      </w:r>
      <w:proofErr w:type="spellStart"/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zachorowań</w:t>
      </w:r>
      <w:proofErr w:type="spellEnd"/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nowotwory w wieku rozwojowym jest podobna jak w innych krajach europejskich i wynosi 105–130/1.000.000 dzieci. Rocznie rozpoznaje się 1000-1200 nowych przypadków </w:t>
      </w:r>
      <w:proofErr w:type="spellStart"/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zachorowań</w:t>
      </w:r>
      <w:proofErr w:type="spellEnd"/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 uwagi na inny typ histopatologiczny oraz chemio- i </w:t>
      </w:r>
      <w:proofErr w:type="spellStart"/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radiowrażliwość</w:t>
      </w:r>
      <w:proofErr w:type="spellEnd"/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rokowanie nowotworów w wieku rozwojowym jest znacznie lepsze aniżeli u ludzi dorosłych, w związku z czym, aktualnie udaje się wyleczyć około 80% pacjentów.</w:t>
      </w:r>
    </w:p>
    <w:p w14:paraId="50D62A3D" w14:textId="77777777" w:rsidR="00C52737" w:rsidRPr="00BE58D4" w:rsidRDefault="00C52737" w:rsidP="00C52737">
      <w:pPr>
        <w:spacing w:before="12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Poprawa wyników terapii obserwowana od ok. 40 lat jest również rezultatem  poprawy możliwości diagnostycznych, wprowadzenia wielolekowych protokołów chemioterapii opartych na wieloośrodkowych/międzynarodowych programach terapeutycznych oraz wysokodawkowanej chemioterapii z następowym przeszczepem krwiotwórczych komórek macierzystych. Bardzo istotną rolę odgrywa poprawa odpowiedniego leczenia wspomagającego oraz doświadczenie wyspecjalizowanych ośrodków onkologii dziecięcej.</w:t>
      </w:r>
    </w:p>
    <w:p w14:paraId="431F57C0" w14:textId="77777777" w:rsidR="00C52737" w:rsidRPr="00BE58D4" w:rsidRDefault="00C52737" w:rsidP="00C52737">
      <w:pPr>
        <w:spacing w:before="12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Efektem poprawy wyników leczenia jest coraz większa populacja osób mających w wywiadzie rozpoznaną i leczoną chorobę nowotworową. Jak wskazują badania epidemiologiczne, w chwili obecnej 1 osoba  na 1.000 młodych dorosłych ma w wywiadzie przebytą chorobę nowotworową. Należy mieć na uwadze, że skuteczna terapia prowadzi nie tylko do wzrostu wyleczalności nowotworów, ale także do ostrych powikłań narządowych, które podlegają monitorowaniu w trakcie leczenia. Odległe, często trwałe powikłania mogą przyczynić się do skrócenia czasu życia pacjentów, spowodować trwałe inwalidztwo lub ograniczenie funkcji życiowych i społecznych.</w:t>
      </w:r>
    </w:p>
    <w:p w14:paraId="247648AD" w14:textId="77777777" w:rsidR="00C52737" w:rsidRPr="00BE58D4" w:rsidRDefault="00C52737" w:rsidP="00C52737">
      <w:pPr>
        <w:spacing w:before="12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Ryzyko wystąpienia  późnych powikłań zależy od lokalizacji i rodzaju nowotworu i bezpośredniego jego wpływu na funkcję narządu/ów, rozległości zabiegu operacyjnego, niekiedy okaleczającego oraz od zastosowanego leczenia przeciwnowotworowego. Ponadto, </w:t>
      </w: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na możliwość wystąpienia odległych powikłań mają wpływ: wiek dziecka w czasie leczenia i stan dojrzałości narządów, predyspozycje genetyczne, stan zdrowia przed zachorowaniem, wrażliwość tkanek i ich możliwości naprawcze, a także czynność narządów nie narażonych bezpośrednio na działanie chemio- czy radioterapii. Odległe powikłania dotyczą przede wszystkim układu sercowo-naczyniowego, oddechowego, pokarmowego, moczowo-płciowego, hormonalnego, OUN, kostno-stawowego, a także narządu słuchu i wzroku.</w:t>
      </w:r>
    </w:p>
    <w:p w14:paraId="68CEEC36" w14:textId="77777777" w:rsidR="00C52737" w:rsidRPr="00BE58D4" w:rsidRDefault="00C52737" w:rsidP="00C52737">
      <w:pPr>
        <w:spacing w:before="120" w:after="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związku z powyższym, poza poszukiwaniem nowych, coraz bardziej skutecznych kierunków leczenia, </w:t>
      </w: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konieczne jest stworzenie i wdrożenie właściwej opieki  nad osobami leczonymi w przeszłości z powodu choroby nowotworowej i zapewnienie im utrzymania możliwie pełnego zdrowia, odpowiedniej jakości życia oraz poznanie i zabezpieczenie ich potrzeb, w celu zredukowania skutków ubocznych prowadzonego wcześniej leczenia przeciwnowotworowego, zminimalizowania kosztów przyszłej opieki medycznej i socjalnej.</w:t>
      </w:r>
      <w:r w:rsidRPr="00BE58D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 </w:t>
      </w:r>
    </w:p>
    <w:p w14:paraId="6548CBE0" w14:textId="77777777" w:rsidR="00C52737" w:rsidRPr="00BE58D4" w:rsidRDefault="00C52737" w:rsidP="00C52737">
      <w:pPr>
        <w:spacing w:before="120" w:after="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Wprowadzenie stałej opieki nad pacjentami po przebyciu choroby nowotworowej opierać się będzie na pracy przyszpitalnych poradni i oddziałów onkologii dziecięcej. Badania podstawowe wykonywane będą w ramach kontraktu z Narodowym Funduszem Zdrowia. Natomiast badania specjalistyczne, dotyczące wczesnego wykrywania późnych następstw leczenia wymagają dodatkowych środków finansowych. Często bowiem pacjenci nie demonstrują jawnych objawów chorobowych lub nie wiążą ich z przebytą chorobą nowotworową. Do tej grupy badań należą m.in. specjalistyczne badania czynności układu sercowo-naczyniowego, oddechowego, hormonalnego. Zadaniem onkologów dziecięcych będzie zaplanowanie zakresu badań w zależności od przewidywanych skutków ubocznych.</w:t>
      </w:r>
    </w:p>
    <w:p w14:paraId="34C23EAC" w14:textId="77777777" w:rsidR="00C52737" w:rsidRPr="00BE58D4" w:rsidRDefault="00C52737" w:rsidP="00C52737">
      <w:pPr>
        <w:spacing w:before="120" w:after="20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Kontynuacja i poszerzenie programu oceny stanu zdrowia i monitorowania odległych następstw narządowych po leczeniu przeciwnowotworowym pozwoli na wczesne ich zapobieganie lub ograniczenie poprzez zastosowanie odpowiedniej farmakoterapii, rehabilitacji, czy zabiegów naprawczych, co z uwagi na możliwość zapobieżenia lub zmniejszenia stopnia kalectwa ozdrowieńców, przełoży się na osiągnięcie wymiernych efektów ekonomicznych.</w:t>
      </w:r>
    </w:p>
    <w:p w14:paraId="1AEB0E59" w14:textId="77777777" w:rsidR="00C52737" w:rsidRPr="00BE58D4" w:rsidRDefault="00C52737" w:rsidP="00C52737">
      <w:pPr>
        <w:widowControl w:val="0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Populacja badana:</w:t>
      </w:r>
    </w:p>
    <w:p w14:paraId="46923935" w14:textId="559BC598" w:rsidR="00C52737" w:rsidRPr="00BE58D4" w:rsidRDefault="00275888" w:rsidP="00C52737">
      <w:pPr>
        <w:widowControl w:val="0"/>
        <w:spacing w:after="24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dzieci, które rozpoczęły leczenie przed 18 </w:t>
      </w:r>
      <w:proofErr w:type="spellStart"/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r.ż</w:t>
      </w:r>
      <w:proofErr w:type="spellEnd"/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nie dłużej niż </w:t>
      </w:r>
      <w:r w:rsidR="00C52737"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24 r.ż., po upływie co najmniej 5 lat od zakończenia terapii przeciwnowotworowej, jednak nie więcej niż 20 lat. </w:t>
      </w:r>
    </w:p>
    <w:p w14:paraId="72A98E07" w14:textId="77777777" w:rsidR="00C52737" w:rsidRPr="00BE58D4" w:rsidRDefault="00C52737" w:rsidP="00C52737">
      <w:pPr>
        <w:widowControl w:val="0"/>
        <w:spacing w:after="120" w:line="276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Działania do realizacji:</w:t>
      </w:r>
    </w:p>
    <w:p w14:paraId="6DBA9255" w14:textId="77777777" w:rsidR="00C52737" w:rsidRPr="00BE58D4" w:rsidRDefault="00C52737" w:rsidP="00C52737">
      <w:pPr>
        <w:widowControl w:val="0"/>
        <w:spacing w:after="120" w:line="276" w:lineRule="auto"/>
        <w:jc w:val="both"/>
        <w:rPr>
          <w:rFonts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cstheme="minorHAnsi"/>
          <w:color w:val="000000" w:themeColor="text1"/>
          <w:sz w:val="24"/>
          <w:szCs w:val="24"/>
          <w:lang w:eastAsia="pl-PL"/>
        </w:rPr>
        <w:t xml:space="preserve">Wykonywanie badań specjalistycznych (laboratoryjnych, hormonalnych, obrazowych, czynnościowych) w celu oceny funkcji narządów po zakończonym leczeniu przeciwnowotworowym, </w:t>
      </w:r>
      <w:r w:rsidRPr="00BE58D4">
        <w:rPr>
          <w:rFonts w:cstheme="minorHAnsi"/>
          <w:bCs/>
          <w:color w:val="000000" w:themeColor="text1"/>
          <w:sz w:val="24"/>
          <w:szCs w:val="24"/>
          <w:lang w:eastAsia="pl-PL"/>
        </w:rPr>
        <w:t>w różnych odstępach czasowych w zależności od: rodzaju nowotworu, stosowanego leczenia przeciwnowotworowego, jego przewidywanej toksyczności, obciążających czynników genetycznych, rodzinnych, środowiskowych oraz stanu zdrowia sprzed zachorowania.</w:t>
      </w:r>
    </w:p>
    <w:p w14:paraId="298CC762" w14:textId="77777777" w:rsidR="00C52737" w:rsidRPr="00BE58D4" w:rsidRDefault="00C52737" w:rsidP="00C52737">
      <w:pPr>
        <w:widowControl w:val="0"/>
        <w:spacing w:after="120" w:line="276" w:lineRule="auto"/>
        <w:jc w:val="both"/>
        <w:rPr>
          <w:rFonts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cstheme="minorHAnsi"/>
          <w:bCs/>
          <w:color w:val="000000" w:themeColor="text1"/>
          <w:sz w:val="24"/>
          <w:szCs w:val="24"/>
          <w:lang w:eastAsia="pl-PL"/>
        </w:rPr>
        <w:t xml:space="preserve">Badania podstawowe i konsultacje wykonywane będą w ramach kontraktu z Narodowym </w:t>
      </w:r>
      <w:r w:rsidRPr="00BE58D4">
        <w:rPr>
          <w:rFonts w:cstheme="minorHAnsi"/>
          <w:bCs/>
          <w:color w:val="000000" w:themeColor="text1"/>
          <w:sz w:val="24"/>
          <w:szCs w:val="24"/>
          <w:lang w:eastAsia="pl-PL"/>
        </w:rPr>
        <w:lastRenderedPageBreak/>
        <w:t>Funduszem Zdrowia, natomiast badania specjalistyczne, dotyczące wczesnego wykrywania późnych następstw leczenia finansowane będą w ramach Programu.</w:t>
      </w:r>
    </w:p>
    <w:p w14:paraId="18C9C1DC" w14:textId="77777777" w:rsidR="00C52737" w:rsidRPr="00BE58D4" w:rsidRDefault="00C52737" w:rsidP="00C52737">
      <w:pPr>
        <w:widowControl w:val="0"/>
        <w:spacing w:after="0" w:line="276" w:lineRule="auto"/>
        <w:jc w:val="both"/>
        <w:rPr>
          <w:rFonts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cstheme="minorHAnsi"/>
          <w:bCs/>
          <w:color w:val="000000" w:themeColor="text1"/>
          <w:sz w:val="24"/>
          <w:szCs w:val="24"/>
          <w:lang w:eastAsia="pl-PL"/>
        </w:rPr>
        <w:t>Ze środków Programu finansowane będzie wykonanie u pacjentów po przebyciu choroby nowotworowej wyłącznie badań wchodzących w skład pakietów, odpowiednio dla poszczególnych grup nowotworów:</w:t>
      </w:r>
    </w:p>
    <w:p w14:paraId="486A77ED" w14:textId="5956FB83" w:rsidR="003717A1" w:rsidRPr="00BE58D4" w:rsidRDefault="003717A1" w:rsidP="003717A1">
      <w:pPr>
        <w:widowControl w:val="0"/>
        <w:numPr>
          <w:ilvl w:val="0"/>
          <w:numId w:val="1"/>
        </w:numPr>
        <w:spacing w:after="120" w:line="276" w:lineRule="auto"/>
        <w:ind w:left="568" w:hanging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Ostra białaczka bez napromieniania: USG jamy brzusznej, echo serca, densytometria, GFR-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klirens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kreatyniny, FSH, LH, estradiol lub testosteron,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spermiogram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(w wybranych przypadkach, za zgodą pacjenta/rodzica),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cytometria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przepływowa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niejszym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(panel rozszerzony immunologiczny/aktywacja),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IgE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IgG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6C2A5416" w14:textId="77777777" w:rsidR="003717A1" w:rsidRPr="00BE58D4" w:rsidRDefault="003717A1" w:rsidP="003717A1">
      <w:pPr>
        <w:widowControl w:val="0"/>
        <w:numPr>
          <w:ilvl w:val="0"/>
          <w:numId w:val="1"/>
        </w:numPr>
        <w:spacing w:after="120" w:line="276" w:lineRule="auto"/>
        <w:ind w:left="568" w:hanging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Ostra białaczka z napromienianiem: USG jamy brzusznej, USG tarczycy, audiogram (audiometria słowna i/lub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tympanometria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), echo serca, densytometria, GFR-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klirens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kreatyniny, FSH, T3, T4, TSH, LH, estradiol lub testosteron,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spermiogram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(w wybranych przypadkach, za zgodą pacjenta/rodzica),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cytometria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przepływowa (panel rozszerzony immunologiczny/aktywacja),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IgE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IgG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 hormon wzrostu (profil x5).</w:t>
      </w:r>
    </w:p>
    <w:p w14:paraId="2F691AE2" w14:textId="77777777" w:rsidR="003717A1" w:rsidRPr="00BE58D4" w:rsidRDefault="003717A1" w:rsidP="003717A1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Guzy lite – klatka piersiowa: USG jamy brzusznej, echo serca, audiogram (audiometria słowna i/lub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tympanometria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), spirometria, densytometria, GFR-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klirens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kreatyniny, FSH, LH, estradiol lub testosteron,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spermiogram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(w wybranych przypadkach, za zgodą pacjenta/rodzica),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cytometria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przepływowa (panel rozszerzony immunologiczny/ aktywacja),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IgE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IgG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22EDEA02" w14:textId="77777777" w:rsidR="003717A1" w:rsidRPr="00BE58D4" w:rsidRDefault="003717A1" w:rsidP="003717A1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Guzy lite – głowa/szyja: USG jamy brzusznej, USG tarczycy, echo serca, audiogram (audiometria słowna i/lub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tympanometria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), densytometria, FSH, T3, T4, TSH, LH, estradiol lub testosteron,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spermiogram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(w wybranych przypadkach, za zgodą pacjenta/rodzica),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cytometria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przepływowa (panel rozszerzony immunologiczny/aktywacja),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IgE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IgG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 hormon wzrostu (profil) – w wybranych przypadkach (przy guzach głowy).</w:t>
      </w:r>
    </w:p>
    <w:p w14:paraId="70BDBAED" w14:textId="77777777" w:rsidR="003717A1" w:rsidRPr="00BE58D4" w:rsidRDefault="003717A1" w:rsidP="003717A1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Guzy lite – jama brzuszna: USG jamy brzusznej, USG miednicy małej (u kobiet), echo serca, audiogram (audiometria słowna i/lub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tympanometria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), densytometria,</w:t>
      </w:r>
      <w:r w:rsidRPr="00BE58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GFR-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klirens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kreatyniny, FSH, LH, estradiol lub testosteron,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spermiogram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(w wybranych przypadkach, za zgodą pacjenta/rodzica),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cytometria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przepływowa (panel rozszerzony immunologiczny/aktywacja),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IgE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IgG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3EED070B" w14:textId="6B984F50" w:rsidR="003717A1" w:rsidRPr="00BE58D4" w:rsidRDefault="003717A1" w:rsidP="003717A1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Guzy lite OUN: USG jamy brzusznej, USG tarczycy, audiogram (audiometria słowna i/lub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tympanometria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 echo se</w:t>
      </w:r>
      <w:r w:rsidR="00121505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rca, badanie antropometryczne, </w:t>
      </w: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GFR-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klirens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kreatyniny/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cystatyna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FSH, T3, T4, TSH, LH, estradiol lub testosteron,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spermiogram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(w wybranych przypadkach, za zgodą pacjenta/rodzica), hormon wzrostu (profil x 5) wit.OHD3,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IgE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IgG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</w:p>
    <w:p w14:paraId="1F1E0A5D" w14:textId="1BAA3218" w:rsidR="007F569C" w:rsidRPr="00BE58D4" w:rsidRDefault="007F569C" w:rsidP="007F569C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Guzy lite kończyn:</w:t>
      </w:r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zależności od lokalizacji i rozpoznania; USG jamy brzusznej, echo serca, audiogram (audiometria słowna i/lub </w:t>
      </w:r>
      <w:proofErr w:type="spellStart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tympanometria</w:t>
      </w:r>
      <w:proofErr w:type="spellEnd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), spirometria, densytometria, GFR-</w:t>
      </w:r>
      <w:proofErr w:type="spellStart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klirens</w:t>
      </w:r>
      <w:proofErr w:type="spellEnd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kreatyniny, FSH, LH, estradiol lub testosteron, </w:t>
      </w:r>
      <w:proofErr w:type="spellStart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spermiogram</w:t>
      </w:r>
      <w:proofErr w:type="spellEnd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 xml:space="preserve">(w wybranych przypadkach, za zgodą pacjenta/rodzica), </w:t>
      </w:r>
      <w:proofErr w:type="spellStart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cytometria</w:t>
      </w:r>
      <w:proofErr w:type="spellEnd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przepływowa (panel rozszerzony immunologiczny/ aktywacja), </w:t>
      </w:r>
      <w:proofErr w:type="spellStart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IgE</w:t>
      </w:r>
      <w:proofErr w:type="spellEnd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IgA</w:t>
      </w:r>
      <w:proofErr w:type="spellEnd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IgG</w:t>
      </w:r>
      <w:proofErr w:type="spellEnd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IgM</w:t>
      </w:r>
      <w:proofErr w:type="spellEnd"/>
      <w:r w:rsidR="003717A1"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195BB3A1" w14:textId="18568497" w:rsidR="003717A1" w:rsidRPr="00BE58D4" w:rsidRDefault="003717A1" w:rsidP="003717A1">
      <w:pPr>
        <w:numPr>
          <w:ilvl w:val="0"/>
          <w:numId w:val="1"/>
        </w:numPr>
        <w:tabs>
          <w:tab w:val="left" w:pos="568"/>
        </w:tabs>
        <w:spacing w:after="120" w:line="276" w:lineRule="auto"/>
        <w:ind w:left="568" w:hanging="284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Chłoniak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Hodgkina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: USG jamy brzusznej, USG tarczycy, spirometria, echo serca, densytometria, FR-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klirens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kreatyniny, FSH, T3, T4, TSH, LH, estradiol lub testosteron,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spermiogram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(w wybranych przypadkach, za zgodą pacjenta/rodzica),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cytometria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przepływowa (panel rozszerzony immunologiczny/ aktywacja),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IgE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IgA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IgG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IgM</w:t>
      </w:r>
      <w:proofErr w:type="spellEnd"/>
      <w:r w:rsidRPr="00BE58D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455DF4D2" w14:textId="77777777" w:rsidR="00A62D4D" w:rsidRPr="00BE58D4" w:rsidRDefault="00BE58D4">
      <w:pPr>
        <w:rPr>
          <w:rFonts w:cstheme="minorHAnsi"/>
          <w:sz w:val="24"/>
          <w:szCs w:val="24"/>
        </w:rPr>
      </w:pPr>
    </w:p>
    <w:sectPr w:rsidR="00A62D4D" w:rsidRPr="00BE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25BD"/>
    <w:multiLevelType w:val="hybridMultilevel"/>
    <w:tmpl w:val="14EAC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890B95"/>
    <w:multiLevelType w:val="multilevel"/>
    <w:tmpl w:val="1D326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84"/>
    <w:rsid w:val="000F5FEA"/>
    <w:rsid w:val="00121505"/>
    <w:rsid w:val="00151355"/>
    <w:rsid w:val="001A2E5B"/>
    <w:rsid w:val="002323D2"/>
    <w:rsid w:val="00275888"/>
    <w:rsid w:val="003717A1"/>
    <w:rsid w:val="003F2F84"/>
    <w:rsid w:val="00557695"/>
    <w:rsid w:val="00606DF4"/>
    <w:rsid w:val="007B2C9C"/>
    <w:rsid w:val="007F569C"/>
    <w:rsid w:val="00836E8E"/>
    <w:rsid w:val="009647FA"/>
    <w:rsid w:val="009811D8"/>
    <w:rsid w:val="00BE58D4"/>
    <w:rsid w:val="00C52737"/>
    <w:rsid w:val="00C91C53"/>
    <w:rsid w:val="00F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44EC"/>
  <w15:chartTrackingRefBased/>
  <w15:docId w15:val="{7D71541D-34F9-4C87-A5ED-30DEFC0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27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7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7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7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1221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17</cp:revision>
  <dcterms:created xsi:type="dcterms:W3CDTF">2019-01-23T13:16:00Z</dcterms:created>
  <dcterms:modified xsi:type="dcterms:W3CDTF">2019-04-17T07:34:00Z</dcterms:modified>
</cp:coreProperties>
</file>