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5C" w:rsidRPr="007B141C" w:rsidRDefault="00F34A7F" w:rsidP="00A73A5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3D8CEE5" wp14:editId="3F861197">
                <wp:simplePos x="0" y="0"/>
                <wp:positionH relativeFrom="column">
                  <wp:posOffset>-120015</wp:posOffset>
                </wp:positionH>
                <wp:positionV relativeFrom="paragraph">
                  <wp:posOffset>287020</wp:posOffset>
                </wp:positionV>
                <wp:extent cx="3114675" cy="12287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899" w:rsidRPr="007B141C" w:rsidRDefault="00093D62" w:rsidP="001A567D">
                            <w:pPr>
                              <w:spacing w:line="240" w:lineRule="auto"/>
                              <w:rPr>
                                <w:rFonts w:ascii="Times New Roman" w:hAnsi="Times New Roman" w:cs="Times New Roman"/>
                                <w:b/>
                                <w:sz w:val="24"/>
                                <w:szCs w:val="24"/>
                              </w:rPr>
                            </w:pPr>
                            <w:r w:rsidRPr="007B141C">
                              <w:rPr>
                                <w:rFonts w:ascii="Times New Roman" w:hAnsi="Times New Roman" w:cs="Times New Roman"/>
                                <w:b/>
                                <w:sz w:val="24"/>
                                <w:szCs w:val="24"/>
                              </w:rPr>
                              <w:t xml:space="preserve">Departament Współpracy </w:t>
                            </w:r>
                            <w:r w:rsidR="001A567D" w:rsidRPr="007B141C">
                              <w:rPr>
                                <w:rFonts w:ascii="Times New Roman" w:hAnsi="Times New Roman" w:cs="Times New Roman"/>
                                <w:b/>
                                <w:sz w:val="24"/>
                                <w:szCs w:val="24"/>
                              </w:rPr>
                              <w:t>M</w:t>
                            </w:r>
                            <w:r w:rsidRPr="007B141C">
                              <w:rPr>
                                <w:rFonts w:ascii="Times New Roman" w:hAnsi="Times New Roman" w:cs="Times New Roman"/>
                                <w:b/>
                                <w:sz w:val="24"/>
                                <w:szCs w:val="24"/>
                              </w:rPr>
                              <w:t xml:space="preserve">iędzynarodowej i </w:t>
                            </w:r>
                            <w:proofErr w:type="gramStart"/>
                            <w:r w:rsidRPr="007B141C">
                              <w:rPr>
                                <w:rFonts w:ascii="Times New Roman" w:hAnsi="Times New Roman" w:cs="Times New Roman"/>
                                <w:b/>
                                <w:sz w:val="24"/>
                                <w:szCs w:val="24"/>
                              </w:rPr>
                              <w:t>Praw</w:t>
                            </w:r>
                            <w:proofErr w:type="gramEnd"/>
                            <w:r w:rsidRPr="007B141C">
                              <w:rPr>
                                <w:rFonts w:ascii="Times New Roman" w:hAnsi="Times New Roman" w:cs="Times New Roman"/>
                                <w:b/>
                                <w:sz w:val="24"/>
                                <w:szCs w:val="24"/>
                              </w:rPr>
                              <w:t xml:space="preserve"> </w:t>
                            </w:r>
                            <w:r w:rsidR="00B82E44" w:rsidRPr="007B141C">
                              <w:rPr>
                                <w:rFonts w:ascii="Times New Roman" w:hAnsi="Times New Roman" w:cs="Times New Roman"/>
                                <w:b/>
                                <w:sz w:val="24"/>
                                <w:szCs w:val="24"/>
                              </w:rPr>
                              <w:t>C</w:t>
                            </w:r>
                            <w:r w:rsidRPr="007B141C">
                              <w:rPr>
                                <w:rFonts w:ascii="Times New Roman" w:hAnsi="Times New Roman" w:cs="Times New Roman"/>
                                <w:b/>
                                <w:sz w:val="24"/>
                                <w:szCs w:val="24"/>
                              </w:rPr>
                              <w:t>złowieka</w:t>
                            </w:r>
                          </w:p>
                          <w:p w:rsidR="00093D62" w:rsidRDefault="002944D4" w:rsidP="001A567D">
                            <w:pPr>
                              <w:spacing w:line="240" w:lineRule="auto"/>
                              <w:rPr>
                                <w:rFonts w:ascii="Times New Roman" w:hAnsi="Times New Roman" w:cs="Times New Roman"/>
                                <w:b/>
                                <w:sz w:val="24"/>
                                <w:szCs w:val="24"/>
                              </w:rPr>
                            </w:pPr>
                            <w:r w:rsidRPr="007B141C">
                              <w:rPr>
                                <w:rFonts w:ascii="Times New Roman" w:hAnsi="Times New Roman" w:cs="Times New Roman"/>
                                <w:b/>
                                <w:sz w:val="24"/>
                                <w:szCs w:val="24"/>
                              </w:rPr>
                              <w:t xml:space="preserve">Wydział </w:t>
                            </w:r>
                            <w:r w:rsidR="00093D62" w:rsidRPr="007B141C">
                              <w:rPr>
                                <w:rFonts w:ascii="Times New Roman" w:hAnsi="Times New Roman" w:cs="Times New Roman"/>
                                <w:b/>
                                <w:sz w:val="24"/>
                                <w:szCs w:val="24"/>
                              </w:rPr>
                              <w:t>Prawa Międzynarodowego</w:t>
                            </w:r>
                          </w:p>
                          <w:p w:rsidR="00096068" w:rsidRPr="00CE6786" w:rsidRDefault="00096068" w:rsidP="000D4D67">
                            <w:pPr>
                              <w:spacing w:after="0" w:line="360" w:lineRule="auto"/>
                              <w:outlineLvl w:val="0"/>
                              <w:rPr>
                                <w:rFonts w:ascii="Times New Roman" w:hAnsi="Times New Roman" w:cs="Times New Roman"/>
                                <w:sz w:val="24"/>
                                <w:szCs w:val="24"/>
                              </w:rPr>
                            </w:pPr>
                            <w:r w:rsidRPr="00CE6786">
                              <w:rPr>
                                <w:rFonts w:ascii="Times New Roman" w:hAnsi="Times New Roman" w:cs="Times New Roman"/>
                                <w:sz w:val="24"/>
                                <w:szCs w:val="24"/>
                              </w:rPr>
                              <w:t xml:space="preserve">DWMPC II </w:t>
                            </w:r>
                            <w:r w:rsidR="004C61E2">
                              <w:rPr>
                                <w:rFonts w:ascii="Times New Roman" w:hAnsi="Times New Roman" w:cs="Times New Roman"/>
                                <w:sz w:val="24"/>
                                <w:szCs w:val="24"/>
                              </w:rPr>
                              <w:t>002</w:t>
                            </w:r>
                            <w:r w:rsidR="000D4D67">
                              <w:rPr>
                                <w:rFonts w:ascii="Times New Roman" w:hAnsi="Times New Roman" w:cs="Times New Roman"/>
                                <w:sz w:val="24"/>
                                <w:szCs w:val="24"/>
                              </w:rPr>
                              <w:t xml:space="preserve"> </w:t>
                            </w:r>
                            <w:r w:rsidRPr="00CE6786">
                              <w:rPr>
                                <w:rFonts w:ascii="Times New Roman" w:hAnsi="Times New Roman" w:cs="Times New Roman"/>
                                <w:sz w:val="24"/>
                                <w:szCs w:val="24"/>
                              </w:rPr>
                              <w:t xml:space="preserve">– </w:t>
                            </w:r>
                            <w:r w:rsidR="004C61E2">
                              <w:rPr>
                                <w:rFonts w:ascii="Times New Roman" w:hAnsi="Times New Roman" w:cs="Times New Roman"/>
                                <w:sz w:val="24"/>
                                <w:szCs w:val="24"/>
                              </w:rPr>
                              <w:t>1</w:t>
                            </w:r>
                            <w:r w:rsidR="000D4D67">
                              <w:rPr>
                                <w:rFonts w:ascii="Times New Roman" w:hAnsi="Times New Roman" w:cs="Times New Roman"/>
                                <w:sz w:val="24"/>
                                <w:szCs w:val="24"/>
                              </w:rPr>
                              <w:t>/</w:t>
                            </w:r>
                            <w:r w:rsidRPr="00CE6786">
                              <w:rPr>
                                <w:rFonts w:ascii="Times New Roman" w:hAnsi="Times New Roman" w:cs="Times New Roman"/>
                                <w:sz w:val="24"/>
                                <w:szCs w:val="24"/>
                              </w:rPr>
                              <w:t>1</w:t>
                            </w:r>
                            <w:r w:rsidR="004C61E2">
                              <w:rPr>
                                <w:rFonts w:ascii="Times New Roman" w:hAnsi="Times New Roman" w:cs="Times New Roman"/>
                                <w:sz w:val="24"/>
                                <w:szCs w:val="24"/>
                              </w:rPr>
                              <w:t>5</w:t>
                            </w:r>
                          </w:p>
                          <w:p w:rsidR="00B52899" w:rsidRDefault="00B52899" w:rsidP="00362195">
                            <w:pPr>
                              <w:spacing w:after="0" w:line="360" w:lineRule="auto"/>
                              <w:rPr>
                                <w:rFonts w:ascii="Times New Roman" w:hAnsi="Times New Roman" w:cs="Times New Roman"/>
                                <w:b/>
                                <w:color w:val="57575B"/>
                              </w:rPr>
                            </w:pPr>
                          </w:p>
                          <w:p w:rsidR="00B52899" w:rsidRDefault="00B52899" w:rsidP="001A567D">
                            <w:pPr>
                              <w:spacing w:line="240" w:lineRule="auto"/>
                              <w:rPr>
                                <w:rFonts w:ascii="Times New Roman" w:hAnsi="Times New Roman" w:cs="Times New Roman"/>
                                <w:b/>
                                <w:color w:val="57575B"/>
                              </w:rPr>
                            </w:pPr>
                          </w:p>
                          <w:p w:rsidR="00B52899" w:rsidRDefault="00B52899" w:rsidP="001A567D">
                            <w:pPr>
                              <w:spacing w:line="240" w:lineRule="auto"/>
                              <w:rPr>
                                <w:rFonts w:ascii="Times New Roman" w:hAnsi="Times New Roman" w:cs="Times New Roman"/>
                                <w:b/>
                                <w:color w:val="57575B"/>
                              </w:rPr>
                            </w:pPr>
                          </w:p>
                          <w:p w:rsidR="00B52899" w:rsidRDefault="00B52899" w:rsidP="001A567D">
                            <w:pPr>
                              <w:spacing w:line="240" w:lineRule="auto"/>
                              <w:rPr>
                                <w:rFonts w:ascii="Times New Roman" w:hAnsi="Times New Roman" w:cs="Times New Roman"/>
                                <w:b/>
                                <w:color w:val="57575B"/>
                              </w:rPr>
                            </w:pPr>
                          </w:p>
                          <w:p w:rsidR="00B52899" w:rsidRDefault="00B52899" w:rsidP="001A567D">
                            <w:pPr>
                              <w:spacing w:line="240" w:lineRule="auto"/>
                              <w:rPr>
                                <w:rFonts w:ascii="Times New Roman" w:hAnsi="Times New Roman" w:cs="Times New Roman"/>
                                <w:b/>
                                <w:color w:val="57575B"/>
                              </w:rPr>
                            </w:pPr>
                          </w:p>
                          <w:p w:rsidR="00B52899" w:rsidRDefault="00B52899" w:rsidP="001A567D">
                            <w:pPr>
                              <w:spacing w:line="240" w:lineRule="auto"/>
                              <w:rPr>
                                <w:rFonts w:ascii="Times New Roman" w:hAnsi="Times New Roman" w:cs="Times New Roman"/>
                                <w:sz w:val="24"/>
                                <w:szCs w:val="24"/>
                              </w:rPr>
                            </w:pPr>
                          </w:p>
                          <w:p w:rsidR="00B52899" w:rsidRDefault="00B52899" w:rsidP="001A567D">
                            <w:pPr>
                              <w:spacing w:line="240" w:lineRule="auto"/>
                              <w:rPr>
                                <w:rFonts w:ascii="Times New Roman" w:hAnsi="Times New Roman" w:cs="Times New Roman"/>
                                <w:sz w:val="24"/>
                                <w:szCs w:val="24"/>
                              </w:rPr>
                            </w:pPr>
                          </w:p>
                          <w:p w:rsidR="00B52899" w:rsidRPr="00093D62" w:rsidRDefault="00B52899" w:rsidP="001A567D">
                            <w:pPr>
                              <w:spacing w:line="240" w:lineRule="auto"/>
                              <w:rPr>
                                <w:rFonts w:ascii="Times New Roman" w:hAnsi="Times New Roman" w:cs="Times New Roman"/>
                                <w:sz w:val="24"/>
                                <w:szCs w:val="24"/>
                              </w:rPr>
                            </w:pPr>
                          </w:p>
                          <w:p w:rsidR="006E7207" w:rsidRPr="006E7207" w:rsidRDefault="00AA5D26" w:rsidP="00AA5D26">
                            <w:pPr>
                              <w:rPr>
                                <w:rFonts w:ascii="Times New Roman" w:hAnsi="Times New Roman" w:cs="Times New Roman"/>
                                <w:b/>
                                <w:color w:val="57575B"/>
                              </w:rPr>
                            </w:pPr>
                            <w:r>
                              <w:rPr>
                                <w:rFonts w:ascii="Times New Roman" w:hAnsi="Times New Roman" w:cs="Times New Roman"/>
                                <w:b/>
                                <w:color w:val="57575B"/>
                              </w:rPr>
                              <w:br/>
                              <w:t xml:space="preserve">    Znak sprawy/dokumentu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5pt;margin-top:22.6pt;width:245.2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ce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iW52h1yk43ffgZkY4tp6Wqe7vZPlVIyFXDRVbdqOUHBpGK8gutDf9s6sT&#10;jrYgm+GDrCAM3RnpgMZadRYQioEAHbr0eOqMTaWEw8swJPPFDKMSbGEUxYto5mLQ9Hi9V9q8Y7JD&#10;dpFhBa138HR/p41Nh6ZHFxtNyIK3rWt/K54dgON0AsHhqrXZNFw3fyRBso7XMfFINF97JMhz76ZY&#10;EW9ehItZfpmvVnn408YNSdrwqmLChjkqKyR/1rmDxidNnLSlZcsrC2dT0mq7WbUK7Skou3DfoSBn&#10;bv7zNFwRgMsLSmFEgtso8Yp5vPBIQWZesghiLwiT22QekITkxXNKd1ywf6eEhgwnM+ijo/NbboH7&#10;XnOjaccNzI6WdxmOT040tRpci8q11lDeTuuzUtj0n0oB7T422inWinSSqxk3I6BYGW9k9QjaVRKU&#10;BQKFgQeLRqrvGA0wPDKsv+2oYhi17wXoPwkJsdPGbchsEcFGnVs25xYqSoDKsMFoWq7MNKF2veLb&#10;BiJNL07IG3gzNXdqfsrq8NJgQDhSh2FmJ9D53nk9jdzlLwAAAP//AwBQSwMEFAAGAAgAAAAhAIQ9&#10;ooPgAAAACgEAAA8AAABkcnMvZG93bnJldi54bWxMj8tOwzAQRfdI/IM1SOxaOyFt05BJhUBsQZSH&#10;xM6Np0lEPI5itwl/j1nBcnSP7j1T7mbbizONvnOMkCwVCOLamY4bhLfXx0UOwgfNRveOCeGbPOyq&#10;y4tSF8ZN/ELnfWhELGFfaIQ2hKGQ0tctWe2XbiCO2dGNVod4jo00o55iue1lqtRaWt1xXGj1QPct&#10;1V/7k0V4fzp+fmTquXmwq2Fys5JstxLx+mq+uwURaA5/MPzqR3WootPBndh40SMsknwbUYRslYKI&#10;QLZJ1iAOCOlNvgFZlfL/C9UPAAAA//8DAFBLAQItABQABgAIAAAAIQC2gziS/gAAAOEBAAATAAAA&#10;AAAAAAAAAAAAAAAAAABbQ29udGVudF9UeXBlc10ueG1sUEsBAi0AFAAGAAgAAAAhADj9If/WAAAA&#10;lAEAAAsAAAAAAAAAAAAAAAAALwEAAF9yZWxzLy5yZWxzUEsBAi0AFAAGAAgAAAAhAAQ91x61AgAA&#10;ugUAAA4AAAAAAAAAAAAAAAAALgIAAGRycy9lMm9Eb2MueG1sUEsBAi0AFAAGAAgAAAAhAIQ9ooPg&#10;AAAACgEAAA8AAAAAAAAAAAAAAAAADwUAAGRycy9kb3ducmV2LnhtbFBLBQYAAAAABAAEAPMAAAAc&#10;BgAAAAA=&#10;" filled="f" stroked="f">
                <v:textbox>
                  <w:txbxContent>
                    <w:p w:rsidR="00B52899" w:rsidRPr="007B141C" w:rsidRDefault="00093D62" w:rsidP="001A567D">
                      <w:pPr>
                        <w:spacing w:line="240" w:lineRule="auto"/>
                        <w:rPr>
                          <w:rFonts w:ascii="Times New Roman" w:hAnsi="Times New Roman" w:cs="Times New Roman"/>
                          <w:b/>
                          <w:sz w:val="24"/>
                          <w:szCs w:val="24"/>
                        </w:rPr>
                      </w:pPr>
                      <w:r w:rsidRPr="007B141C">
                        <w:rPr>
                          <w:rFonts w:ascii="Times New Roman" w:hAnsi="Times New Roman" w:cs="Times New Roman"/>
                          <w:b/>
                          <w:sz w:val="24"/>
                          <w:szCs w:val="24"/>
                        </w:rPr>
                        <w:t xml:space="preserve">Departament Współpracy </w:t>
                      </w:r>
                      <w:r w:rsidR="001A567D" w:rsidRPr="007B141C">
                        <w:rPr>
                          <w:rFonts w:ascii="Times New Roman" w:hAnsi="Times New Roman" w:cs="Times New Roman"/>
                          <w:b/>
                          <w:sz w:val="24"/>
                          <w:szCs w:val="24"/>
                        </w:rPr>
                        <w:t>M</w:t>
                      </w:r>
                      <w:r w:rsidRPr="007B141C">
                        <w:rPr>
                          <w:rFonts w:ascii="Times New Roman" w:hAnsi="Times New Roman" w:cs="Times New Roman"/>
                          <w:b/>
                          <w:sz w:val="24"/>
                          <w:szCs w:val="24"/>
                        </w:rPr>
                        <w:t xml:space="preserve">iędzynarodowej i </w:t>
                      </w:r>
                      <w:proofErr w:type="gramStart"/>
                      <w:r w:rsidRPr="007B141C">
                        <w:rPr>
                          <w:rFonts w:ascii="Times New Roman" w:hAnsi="Times New Roman" w:cs="Times New Roman"/>
                          <w:b/>
                          <w:sz w:val="24"/>
                          <w:szCs w:val="24"/>
                        </w:rPr>
                        <w:t>Praw</w:t>
                      </w:r>
                      <w:proofErr w:type="gramEnd"/>
                      <w:r w:rsidRPr="007B141C">
                        <w:rPr>
                          <w:rFonts w:ascii="Times New Roman" w:hAnsi="Times New Roman" w:cs="Times New Roman"/>
                          <w:b/>
                          <w:sz w:val="24"/>
                          <w:szCs w:val="24"/>
                        </w:rPr>
                        <w:t xml:space="preserve"> </w:t>
                      </w:r>
                      <w:r w:rsidR="00B82E44" w:rsidRPr="007B141C">
                        <w:rPr>
                          <w:rFonts w:ascii="Times New Roman" w:hAnsi="Times New Roman" w:cs="Times New Roman"/>
                          <w:b/>
                          <w:sz w:val="24"/>
                          <w:szCs w:val="24"/>
                        </w:rPr>
                        <w:t>C</w:t>
                      </w:r>
                      <w:r w:rsidRPr="007B141C">
                        <w:rPr>
                          <w:rFonts w:ascii="Times New Roman" w:hAnsi="Times New Roman" w:cs="Times New Roman"/>
                          <w:b/>
                          <w:sz w:val="24"/>
                          <w:szCs w:val="24"/>
                        </w:rPr>
                        <w:t>złowieka</w:t>
                      </w:r>
                    </w:p>
                    <w:p w:rsidR="00093D62" w:rsidRDefault="002944D4" w:rsidP="001A567D">
                      <w:pPr>
                        <w:spacing w:line="240" w:lineRule="auto"/>
                        <w:rPr>
                          <w:rFonts w:ascii="Times New Roman" w:hAnsi="Times New Roman" w:cs="Times New Roman"/>
                          <w:b/>
                          <w:sz w:val="24"/>
                          <w:szCs w:val="24"/>
                        </w:rPr>
                      </w:pPr>
                      <w:r w:rsidRPr="007B141C">
                        <w:rPr>
                          <w:rFonts w:ascii="Times New Roman" w:hAnsi="Times New Roman" w:cs="Times New Roman"/>
                          <w:b/>
                          <w:sz w:val="24"/>
                          <w:szCs w:val="24"/>
                        </w:rPr>
                        <w:t xml:space="preserve">Wydział </w:t>
                      </w:r>
                      <w:r w:rsidR="00093D62" w:rsidRPr="007B141C">
                        <w:rPr>
                          <w:rFonts w:ascii="Times New Roman" w:hAnsi="Times New Roman" w:cs="Times New Roman"/>
                          <w:b/>
                          <w:sz w:val="24"/>
                          <w:szCs w:val="24"/>
                        </w:rPr>
                        <w:t>Prawa Międzynarodowego</w:t>
                      </w:r>
                    </w:p>
                    <w:p w:rsidR="00096068" w:rsidRPr="00CE6786" w:rsidRDefault="00096068" w:rsidP="000D4D67">
                      <w:pPr>
                        <w:spacing w:after="0" w:line="360" w:lineRule="auto"/>
                        <w:outlineLvl w:val="0"/>
                        <w:rPr>
                          <w:rFonts w:ascii="Times New Roman" w:hAnsi="Times New Roman" w:cs="Times New Roman"/>
                          <w:sz w:val="24"/>
                          <w:szCs w:val="24"/>
                        </w:rPr>
                      </w:pPr>
                      <w:r w:rsidRPr="00CE6786">
                        <w:rPr>
                          <w:rFonts w:ascii="Times New Roman" w:hAnsi="Times New Roman" w:cs="Times New Roman"/>
                          <w:sz w:val="24"/>
                          <w:szCs w:val="24"/>
                        </w:rPr>
                        <w:t xml:space="preserve">DWMPC II </w:t>
                      </w:r>
                      <w:r w:rsidR="004C61E2">
                        <w:rPr>
                          <w:rFonts w:ascii="Times New Roman" w:hAnsi="Times New Roman" w:cs="Times New Roman"/>
                          <w:sz w:val="24"/>
                          <w:szCs w:val="24"/>
                        </w:rPr>
                        <w:t>002</w:t>
                      </w:r>
                      <w:r w:rsidR="000D4D67">
                        <w:rPr>
                          <w:rFonts w:ascii="Times New Roman" w:hAnsi="Times New Roman" w:cs="Times New Roman"/>
                          <w:sz w:val="24"/>
                          <w:szCs w:val="24"/>
                        </w:rPr>
                        <w:t xml:space="preserve"> </w:t>
                      </w:r>
                      <w:r w:rsidRPr="00CE6786">
                        <w:rPr>
                          <w:rFonts w:ascii="Times New Roman" w:hAnsi="Times New Roman" w:cs="Times New Roman"/>
                          <w:sz w:val="24"/>
                          <w:szCs w:val="24"/>
                        </w:rPr>
                        <w:t xml:space="preserve">– </w:t>
                      </w:r>
                      <w:r w:rsidR="004C61E2">
                        <w:rPr>
                          <w:rFonts w:ascii="Times New Roman" w:hAnsi="Times New Roman" w:cs="Times New Roman"/>
                          <w:sz w:val="24"/>
                          <w:szCs w:val="24"/>
                        </w:rPr>
                        <w:t>1</w:t>
                      </w:r>
                      <w:r w:rsidR="000D4D67">
                        <w:rPr>
                          <w:rFonts w:ascii="Times New Roman" w:hAnsi="Times New Roman" w:cs="Times New Roman"/>
                          <w:sz w:val="24"/>
                          <w:szCs w:val="24"/>
                        </w:rPr>
                        <w:t>/</w:t>
                      </w:r>
                      <w:r w:rsidRPr="00CE6786">
                        <w:rPr>
                          <w:rFonts w:ascii="Times New Roman" w:hAnsi="Times New Roman" w:cs="Times New Roman"/>
                          <w:sz w:val="24"/>
                          <w:szCs w:val="24"/>
                        </w:rPr>
                        <w:t>1</w:t>
                      </w:r>
                      <w:r w:rsidR="004C61E2">
                        <w:rPr>
                          <w:rFonts w:ascii="Times New Roman" w:hAnsi="Times New Roman" w:cs="Times New Roman"/>
                          <w:sz w:val="24"/>
                          <w:szCs w:val="24"/>
                        </w:rPr>
                        <w:t>5</w:t>
                      </w:r>
                    </w:p>
                    <w:p w:rsidR="00B52899" w:rsidRDefault="00B52899" w:rsidP="00362195">
                      <w:pPr>
                        <w:spacing w:after="0" w:line="360" w:lineRule="auto"/>
                        <w:rPr>
                          <w:rFonts w:ascii="Times New Roman" w:hAnsi="Times New Roman" w:cs="Times New Roman"/>
                          <w:b/>
                          <w:color w:val="57575B"/>
                        </w:rPr>
                      </w:pPr>
                    </w:p>
                    <w:p w:rsidR="00B52899" w:rsidRDefault="00B52899" w:rsidP="001A567D">
                      <w:pPr>
                        <w:spacing w:line="240" w:lineRule="auto"/>
                        <w:rPr>
                          <w:rFonts w:ascii="Times New Roman" w:hAnsi="Times New Roman" w:cs="Times New Roman"/>
                          <w:b/>
                          <w:color w:val="57575B"/>
                        </w:rPr>
                      </w:pPr>
                    </w:p>
                    <w:p w:rsidR="00B52899" w:rsidRDefault="00B52899" w:rsidP="001A567D">
                      <w:pPr>
                        <w:spacing w:line="240" w:lineRule="auto"/>
                        <w:rPr>
                          <w:rFonts w:ascii="Times New Roman" w:hAnsi="Times New Roman" w:cs="Times New Roman"/>
                          <w:b/>
                          <w:color w:val="57575B"/>
                        </w:rPr>
                      </w:pPr>
                    </w:p>
                    <w:p w:rsidR="00B52899" w:rsidRDefault="00B52899" w:rsidP="001A567D">
                      <w:pPr>
                        <w:spacing w:line="240" w:lineRule="auto"/>
                        <w:rPr>
                          <w:rFonts w:ascii="Times New Roman" w:hAnsi="Times New Roman" w:cs="Times New Roman"/>
                          <w:b/>
                          <w:color w:val="57575B"/>
                        </w:rPr>
                      </w:pPr>
                    </w:p>
                    <w:p w:rsidR="00B52899" w:rsidRDefault="00B52899" w:rsidP="001A567D">
                      <w:pPr>
                        <w:spacing w:line="240" w:lineRule="auto"/>
                        <w:rPr>
                          <w:rFonts w:ascii="Times New Roman" w:hAnsi="Times New Roman" w:cs="Times New Roman"/>
                          <w:b/>
                          <w:color w:val="57575B"/>
                        </w:rPr>
                      </w:pPr>
                    </w:p>
                    <w:p w:rsidR="00B52899" w:rsidRDefault="00B52899" w:rsidP="001A567D">
                      <w:pPr>
                        <w:spacing w:line="240" w:lineRule="auto"/>
                        <w:rPr>
                          <w:rFonts w:ascii="Times New Roman" w:hAnsi="Times New Roman" w:cs="Times New Roman"/>
                          <w:sz w:val="24"/>
                          <w:szCs w:val="24"/>
                        </w:rPr>
                      </w:pPr>
                    </w:p>
                    <w:p w:rsidR="00B52899" w:rsidRDefault="00B52899" w:rsidP="001A567D">
                      <w:pPr>
                        <w:spacing w:line="240" w:lineRule="auto"/>
                        <w:rPr>
                          <w:rFonts w:ascii="Times New Roman" w:hAnsi="Times New Roman" w:cs="Times New Roman"/>
                          <w:sz w:val="24"/>
                          <w:szCs w:val="24"/>
                        </w:rPr>
                      </w:pPr>
                    </w:p>
                    <w:p w:rsidR="00B52899" w:rsidRPr="00093D62" w:rsidRDefault="00B52899" w:rsidP="001A567D">
                      <w:pPr>
                        <w:spacing w:line="240" w:lineRule="auto"/>
                        <w:rPr>
                          <w:rFonts w:ascii="Times New Roman" w:hAnsi="Times New Roman" w:cs="Times New Roman"/>
                          <w:sz w:val="24"/>
                          <w:szCs w:val="24"/>
                        </w:rPr>
                      </w:pPr>
                    </w:p>
                    <w:p w:rsidR="006E7207" w:rsidRPr="006E7207" w:rsidRDefault="00AA5D26" w:rsidP="00AA5D26">
                      <w:pPr>
                        <w:rPr>
                          <w:rFonts w:ascii="Times New Roman" w:hAnsi="Times New Roman" w:cs="Times New Roman"/>
                          <w:b/>
                          <w:color w:val="57575B"/>
                        </w:rPr>
                      </w:pPr>
                      <w:r>
                        <w:rPr>
                          <w:rFonts w:ascii="Times New Roman" w:hAnsi="Times New Roman" w:cs="Times New Roman"/>
                          <w:b/>
                          <w:color w:val="57575B"/>
                        </w:rPr>
                        <w:br/>
                        <w:t xml:space="preserve">    Znak sprawy/dokumentu</w:t>
                      </w:r>
                    </w:p>
                  </w:txbxContent>
                </v:textbox>
              </v:shape>
            </w:pict>
          </mc:Fallback>
        </mc:AlternateContent>
      </w:r>
      <w:r w:rsidR="00A73A5C">
        <w:rPr>
          <w:rFonts w:ascii="Times New Roman" w:hAnsi="Times New Roman" w:cs="Times New Roman"/>
          <w:sz w:val="24"/>
          <w:szCs w:val="24"/>
        </w:rPr>
        <w:t xml:space="preserve">                                                                                        </w:t>
      </w:r>
      <w:r w:rsidR="00B82E44">
        <w:rPr>
          <w:rFonts w:ascii="Times New Roman" w:hAnsi="Times New Roman" w:cs="Times New Roman"/>
          <w:sz w:val="24"/>
          <w:szCs w:val="24"/>
        </w:rPr>
        <w:t xml:space="preserve">  </w:t>
      </w:r>
      <w:r w:rsidR="007B141C">
        <w:rPr>
          <w:rFonts w:ascii="Times New Roman" w:hAnsi="Times New Roman" w:cs="Times New Roman"/>
          <w:sz w:val="24"/>
          <w:szCs w:val="24"/>
        </w:rPr>
        <w:t xml:space="preserve">  </w:t>
      </w:r>
      <w:r w:rsidR="00D17748">
        <w:rPr>
          <w:rFonts w:ascii="Times New Roman" w:hAnsi="Times New Roman" w:cs="Times New Roman"/>
          <w:sz w:val="24"/>
          <w:szCs w:val="24"/>
        </w:rPr>
        <w:t xml:space="preserve">    </w:t>
      </w:r>
      <w:r w:rsidR="008F3B2F">
        <w:rPr>
          <w:rFonts w:ascii="Times New Roman" w:hAnsi="Times New Roman" w:cs="Times New Roman"/>
          <w:sz w:val="24"/>
          <w:szCs w:val="24"/>
        </w:rPr>
        <w:t xml:space="preserve">        </w:t>
      </w:r>
      <w:r w:rsidR="00D17748">
        <w:rPr>
          <w:rFonts w:ascii="Times New Roman" w:hAnsi="Times New Roman" w:cs="Times New Roman"/>
          <w:sz w:val="24"/>
          <w:szCs w:val="24"/>
        </w:rPr>
        <w:t xml:space="preserve"> </w:t>
      </w:r>
      <w:r w:rsidR="00B52EFA" w:rsidRPr="007B141C">
        <w:rPr>
          <w:rFonts w:ascii="Times New Roman" w:hAnsi="Times New Roman" w:cs="Times New Roman"/>
          <w:sz w:val="24"/>
          <w:szCs w:val="24"/>
        </w:rPr>
        <w:t xml:space="preserve">Warszawa, </w:t>
      </w:r>
      <w:r w:rsidR="00790F59">
        <w:rPr>
          <w:rFonts w:ascii="Times New Roman" w:hAnsi="Times New Roman" w:cs="Times New Roman"/>
          <w:sz w:val="24"/>
          <w:szCs w:val="24"/>
        </w:rPr>
        <w:t xml:space="preserve">8 lutego </w:t>
      </w:r>
      <w:r w:rsidR="00093D62" w:rsidRPr="007B141C">
        <w:rPr>
          <w:rFonts w:ascii="Times New Roman" w:hAnsi="Times New Roman" w:cs="Times New Roman"/>
          <w:sz w:val="24"/>
          <w:szCs w:val="24"/>
        </w:rPr>
        <w:t>2</w:t>
      </w:r>
      <w:r w:rsidR="00AD4AB6" w:rsidRPr="007B141C">
        <w:rPr>
          <w:rFonts w:ascii="Times New Roman" w:hAnsi="Times New Roman" w:cs="Times New Roman"/>
          <w:sz w:val="24"/>
          <w:szCs w:val="24"/>
        </w:rPr>
        <w:t>01</w:t>
      </w:r>
      <w:r w:rsidR="008F3B2F">
        <w:rPr>
          <w:rFonts w:ascii="Times New Roman" w:hAnsi="Times New Roman" w:cs="Times New Roman"/>
          <w:sz w:val="24"/>
          <w:szCs w:val="24"/>
        </w:rPr>
        <w:t>7</w:t>
      </w:r>
      <w:r w:rsidR="00CE6786">
        <w:rPr>
          <w:rFonts w:ascii="Times New Roman" w:hAnsi="Times New Roman" w:cs="Times New Roman"/>
          <w:sz w:val="24"/>
          <w:szCs w:val="24"/>
        </w:rPr>
        <w:t>r.</w:t>
      </w:r>
    </w:p>
    <w:p w:rsidR="00A73A5C" w:rsidRDefault="00A73A5C" w:rsidP="00A73A5C">
      <w:pPr>
        <w:rPr>
          <w:rFonts w:ascii="Times New Roman" w:hAnsi="Times New Roman" w:cs="Times New Roman"/>
          <w:sz w:val="24"/>
          <w:szCs w:val="24"/>
        </w:rPr>
      </w:pPr>
    </w:p>
    <w:p w:rsidR="00A73A5C" w:rsidRDefault="00A73A5C" w:rsidP="00A73A5C">
      <w:pPr>
        <w:rPr>
          <w:rFonts w:ascii="Times New Roman" w:hAnsi="Times New Roman" w:cs="Times New Roman"/>
          <w:sz w:val="24"/>
          <w:szCs w:val="24"/>
        </w:rPr>
      </w:pPr>
      <w:bookmarkStart w:id="0" w:name="_GoBack"/>
      <w:bookmarkEnd w:id="0"/>
    </w:p>
    <w:p w:rsidR="00FF14A0" w:rsidRDefault="00FF14A0" w:rsidP="00096068">
      <w:pPr>
        <w:spacing w:after="0" w:line="360" w:lineRule="auto"/>
        <w:ind w:left="4956" w:firstLine="708"/>
        <w:rPr>
          <w:rFonts w:ascii="Times New Roman" w:hAnsi="Times New Roman" w:cs="Times New Roman"/>
          <w:b/>
          <w:sz w:val="24"/>
          <w:szCs w:val="24"/>
        </w:rPr>
      </w:pPr>
    </w:p>
    <w:p w:rsidR="00F0649A" w:rsidRDefault="00F0649A" w:rsidP="00096068">
      <w:pPr>
        <w:spacing w:after="0" w:line="360" w:lineRule="auto"/>
        <w:ind w:left="4956" w:firstLine="708"/>
        <w:rPr>
          <w:rFonts w:ascii="Times New Roman" w:hAnsi="Times New Roman" w:cs="Times New Roman"/>
          <w:b/>
          <w:sz w:val="24"/>
          <w:szCs w:val="24"/>
        </w:rPr>
      </w:pPr>
    </w:p>
    <w:p w:rsidR="008F3B2F" w:rsidRPr="004C61E2" w:rsidRDefault="004C61E2" w:rsidP="008F3B2F">
      <w:pPr>
        <w:outlineLvl w:val="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F5261" w:rsidRPr="00AF173E" w:rsidRDefault="008F3B2F" w:rsidP="0065592B">
      <w:pPr>
        <w:spacing w:line="240" w:lineRule="auto"/>
        <w:ind w:firstLine="708"/>
        <w:jc w:val="both"/>
        <w:rPr>
          <w:rFonts w:ascii="Times New Roman" w:hAnsi="Times New Roman" w:cs="Times New Roman"/>
          <w:b/>
          <w:sz w:val="24"/>
          <w:szCs w:val="24"/>
          <w:u w:val="single"/>
        </w:rPr>
      </w:pPr>
      <w:r w:rsidRPr="00AF173E">
        <w:rPr>
          <w:rFonts w:ascii="Times New Roman" w:hAnsi="Times New Roman" w:cs="Times New Roman"/>
          <w:b/>
          <w:sz w:val="24"/>
          <w:szCs w:val="24"/>
          <w:u w:val="single"/>
        </w:rPr>
        <w:t xml:space="preserve">Informacja na temat </w:t>
      </w:r>
      <w:r w:rsidR="00F0649A" w:rsidRPr="00AF173E">
        <w:rPr>
          <w:rFonts w:ascii="Times New Roman" w:hAnsi="Times New Roman" w:cs="Times New Roman"/>
          <w:b/>
          <w:sz w:val="24"/>
          <w:szCs w:val="24"/>
          <w:u w:val="single"/>
        </w:rPr>
        <w:t>realizacji działania 12.1</w:t>
      </w:r>
      <w:r w:rsidR="00F0649A" w:rsidRPr="00AF173E">
        <w:rPr>
          <w:rFonts w:ascii="Times New Roman" w:hAnsi="Times New Roman" w:cs="Times New Roman"/>
          <w:b/>
          <w:i/>
          <w:sz w:val="24"/>
          <w:szCs w:val="24"/>
          <w:u w:val="single"/>
        </w:rPr>
        <w:t xml:space="preserve"> Rządowego Programu Przeciwdziałania Korupcji na lata 2014-2019</w:t>
      </w:r>
      <w:r w:rsidR="00F0649A" w:rsidRPr="00AF173E">
        <w:rPr>
          <w:rFonts w:ascii="Times New Roman" w:hAnsi="Times New Roman" w:cs="Times New Roman"/>
          <w:b/>
          <w:sz w:val="24"/>
          <w:szCs w:val="24"/>
          <w:u w:val="single"/>
        </w:rPr>
        <w:t xml:space="preserve"> tj. </w:t>
      </w:r>
      <w:r w:rsidR="00F0649A" w:rsidRPr="00AF173E">
        <w:rPr>
          <w:rFonts w:ascii="Times New Roman" w:hAnsi="Times New Roman" w:cs="Times New Roman"/>
          <w:b/>
          <w:i/>
          <w:sz w:val="24"/>
          <w:szCs w:val="24"/>
          <w:u w:val="single"/>
        </w:rPr>
        <w:t>monitorowani</w:t>
      </w:r>
      <w:r w:rsidR="00857015" w:rsidRPr="00AF173E">
        <w:rPr>
          <w:rFonts w:ascii="Times New Roman" w:hAnsi="Times New Roman" w:cs="Times New Roman"/>
          <w:b/>
          <w:i/>
          <w:sz w:val="24"/>
          <w:szCs w:val="24"/>
          <w:u w:val="single"/>
        </w:rPr>
        <w:t>a</w:t>
      </w:r>
      <w:r w:rsidR="00F0649A" w:rsidRPr="00AF173E">
        <w:rPr>
          <w:rFonts w:ascii="Times New Roman" w:hAnsi="Times New Roman" w:cs="Times New Roman"/>
          <w:b/>
          <w:i/>
          <w:sz w:val="24"/>
          <w:szCs w:val="24"/>
          <w:u w:val="single"/>
        </w:rPr>
        <w:t xml:space="preserve"> przebiegu implementacji rekomendacji wskazanych w raporcie z przeglądu implementacji przez Polskę postanowień Konwencji Narodów Zjednoczonych przeciwko korupcji</w:t>
      </w:r>
      <w:r w:rsidR="0065592B" w:rsidRPr="00AF173E">
        <w:rPr>
          <w:rFonts w:ascii="Times New Roman" w:hAnsi="Times New Roman" w:cs="Times New Roman"/>
          <w:b/>
          <w:i/>
          <w:sz w:val="24"/>
          <w:szCs w:val="24"/>
          <w:u w:val="single"/>
        </w:rPr>
        <w:t xml:space="preserve"> (UNCAC)</w:t>
      </w:r>
      <w:r w:rsidR="00F0649A" w:rsidRPr="00AF173E">
        <w:rPr>
          <w:rFonts w:ascii="Times New Roman" w:hAnsi="Times New Roman" w:cs="Times New Roman"/>
          <w:b/>
          <w:sz w:val="24"/>
          <w:szCs w:val="24"/>
          <w:u w:val="single"/>
        </w:rPr>
        <w:t>.</w:t>
      </w:r>
    </w:p>
    <w:p w:rsidR="008F3B2F" w:rsidRPr="0065592B" w:rsidRDefault="008F3B2F" w:rsidP="0065592B">
      <w:pPr>
        <w:spacing w:line="360" w:lineRule="auto"/>
        <w:ind w:firstLine="708"/>
        <w:jc w:val="both"/>
        <w:rPr>
          <w:rFonts w:ascii="Times New Roman" w:hAnsi="Times New Roman" w:cs="Times New Roman"/>
          <w:sz w:val="24"/>
          <w:szCs w:val="24"/>
        </w:rPr>
      </w:pPr>
    </w:p>
    <w:p w:rsidR="0065592B" w:rsidRDefault="0065592B" w:rsidP="00EB3EB7">
      <w:pPr>
        <w:spacing w:line="360" w:lineRule="auto"/>
        <w:ind w:firstLine="708"/>
        <w:jc w:val="both"/>
        <w:rPr>
          <w:rFonts w:ascii="Times New Roman" w:hAnsi="Times New Roman" w:cs="Times New Roman"/>
          <w:sz w:val="24"/>
          <w:szCs w:val="24"/>
        </w:rPr>
      </w:pPr>
      <w:r w:rsidRPr="0065592B">
        <w:rPr>
          <w:rFonts w:ascii="Times New Roman" w:hAnsi="Times New Roman" w:cs="Times New Roman"/>
          <w:sz w:val="24"/>
          <w:szCs w:val="24"/>
        </w:rPr>
        <w:t xml:space="preserve">W ramach implementacji postanowień Konwencji Narodów Zjednoczonych przeciwko korupcji (UNCAC) w szeregu resortach podjęto działania </w:t>
      </w:r>
      <w:r w:rsidR="00AF173E">
        <w:rPr>
          <w:rFonts w:ascii="Times New Roman" w:hAnsi="Times New Roman" w:cs="Times New Roman"/>
          <w:sz w:val="24"/>
          <w:szCs w:val="24"/>
        </w:rPr>
        <w:t xml:space="preserve">mające </w:t>
      </w:r>
      <w:r w:rsidRPr="0065592B">
        <w:rPr>
          <w:rFonts w:ascii="Times New Roman" w:hAnsi="Times New Roman" w:cs="Times New Roman"/>
          <w:sz w:val="24"/>
          <w:szCs w:val="24"/>
        </w:rPr>
        <w:t>celu prawidłowe wdrożeni</w:t>
      </w:r>
      <w:r w:rsidR="00AF173E">
        <w:rPr>
          <w:rFonts w:ascii="Times New Roman" w:hAnsi="Times New Roman" w:cs="Times New Roman"/>
          <w:sz w:val="24"/>
          <w:szCs w:val="24"/>
        </w:rPr>
        <w:t>e</w:t>
      </w:r>
      <w:r w:rsidRPr="0065592B">
        <w:rPr>
          <w:rFonts w:ascii="Times New Roman" w:hAnsi="Times New Roman" w:cs="Times New Roman"/>
          <w:sz w:val="24"/>
          <w:szCs w:val="24"/>
        </w:rPr>
        <w:t xml:space="preserve"> rekomendacji wskazanych podczas oceny implementacji przez Polskę postanowień tej Konwencji.</w:t>
      </w:r>
      <w:r>
        <w:rPr>
          <w:rFonts w:ascii="Times New Roman" w:hAnsi="Times New Roman" w:cs="Times New Roman"/>
          <w:sz w:val="24"/>
          <w:szCs w:val="24"/>
        </w:rPr>
        <w:t xml:space="preserve"> </w:t>
      </w:r>
      <w:r w:rsidR="00192B16">
        <w:rPr>
          <w:rFonts w:ascii="Times New Roman" w:hAnsi="Times New Roman" w:cs="Times New Roman"/>
          <w:sz w:val="24"/>
          <w:szCs w:val="24"/>
        </w:rPr>
        <w:t xml:space="preserve"> W pierwszej kolejności zdecydowano </w:t>
      </w:r>
      <w:r w:rsidR="00EB3EB7">
        <w:rPr>
          <w:rFonts w:ascii="Times New Roman" w:hAnsi="Times New Roman" w:cs="Times New Roman"/>
          <w:sz w:val="24"/>
          <w:szCs w:val="24"/>
        </w:rPr>
        <w:t xml:space="preserve">o </w:t>
      </w:r>
      <w:r w:rsidR="00EB3EB7" w:rsidRPr="009523B3">
        <w:rPr>
          <w:rFonts w:ascii="Times New Roman" w:hAnsi="Times New Roman" w:cs="Times New Roman"/>
          <w:sz w:val="24"/>
          <w:szCs w:val="24"/>
        </w:rPr>
        <w:t>dokonani</w:t>
      </w:r>
      <w:r w:rsidR="00EB3EB7">
        <w:rPr>
          <w:rFonts w:ascii="Times New Roman" w:hAnsi="Times New Roman" w:cs="Times New Roman"/>
          <w:sz w:val="24"/>
          <w:szCs w:val="24"/>
        </w:rPr>
        <w:t>u</w:t>
      </w:r>
      <w:r w:rsidR="00EB3EB7" w:rsidRPr="009523B3">
        <w:rPr>
          <w:rFonts w:ascii="Times New Roman" w:hAnsi="Times New Roman" w:cs="Times New Roman"/>
          <w:sz w:val="24"/>
          <w:szCs w:val="24"/>
        </w:rPr>
        <w:t xml:space="preserve"> zmian w Rządow</w:t>
      </w:r>
      <w:r w:rsidR="00EB3EB7">
        <w:rPr>
          <w:rFonts w:ascii="Times New Roman" w:hAnsi="Times New Roman" w:cs="Times New Roman"/>
          <w:sz w:val="24"/>
          <w:szCs w:val="24"/>
        </w:rPr>
        <w:t>ym</w:t>
      </w:r>
      <w:r w:rsidR="00EB3EB7" w:rsidRPr="009523B3">
        <w:rPr>
          <w:rFonts w:ascii="Times New Roman" w:hAnsi="Times New Roman" w:cs="Times New Roman"/>
          <w:sz w:val="24"/>
          <w:szCs w:val="24"/>
        </w:rPr>
        <w:t xml:space="preserve"> Program</w:t>
      </w:r>
      <w:r w:rsidR="00EB3EB7">
        <w:rPr>
          <w:rFonts w:ascii="Times New Roman" w:hAnsi="Times New Roman" w:cs="Times New Roman"/>
          <w:sz w:val="24"/>
          <w:szCs w:val="24"/>
        </w:rPr>
        <w:t>ie</w:t>
      </w:r>
      <w:r w:rsidR="00EB3EB7" w:rsidRPr="009523B3">
        <w:rPr>
          <w:rFonts w:ascii="Times New Roman" w:hAnsi="Times New Roman" w:cs="Times New Roman"/>
          <w:sz w:val="24"/>
          <w:szCs w:val="24"/>
        </w:rPr>
        <w:t xml:space="preserve"> Przeciwdziała</w:t>
      </w:r>
      <w:r w:rsidR="00EB3EB7">
        <w:rPr>
          <w:rFonts w:ascii="Times New Roman" w:hAnsi="Times New Roman" w:cs="Times New Roman"/>
          <w:sz w:val="24"/>
          <w:szCs w:val="24"/>
        </w:rPr>
        <w:t>nia Korupcji na lata 2014–2019</w:t>
      </w:r>
      <w:r w:rsidR="00EB3EB7" w:rsidRPr="009523B3">
        <w:rPr>
          <w:rFonts w:ascii="Times New Roman" w:hAnsi="Times New Roman" w:cs="Times New Roman"/>
          <w:sz w:val="24"/>
          <w:szCs w:val="24"/>
        </w:rPr>
        <w:t>, tak</w:t>
      </w:r>
      <w:r w:rsidR="00EB3EB7">
        <w:rPr>
          <w:rFonts w:ascii="Times New Roman" w:hAnsi="Times New Roman" w:cs="Times New Roman"/>
          <w:sz w:val="24"/>
          <w:szCs w:val="24"/>
        </w:rPr>
        <w:t>,</w:t>
      </w:r>
      <w:r w:rsidR="00EB3EB7" w:rsidRPr="009523B3">
        <w:rPr>
          <w:rFonts w:ascii="Times New Roman" w:hAnsi="Times New Roman" w:cs="Times New Roman"/>
          <w:sz w:val="24"/>
          <w:szCs w:val="24"/>
        </w:rPr>
        <w:t xml:space="preserve"> aby przewidywał on jasne, konkretne działania, których podstawowym celem byłoby ograniczenie zjawiska korupcji w Polsce.</w:t>
      </w:r>
    </w:p>
    <w:p w:rsidR="00EB3EB7" w:rsidRDefault="008F3B2F" w:rsidP="0065592B">
      <w:pPr>
        <w:spacing w:line="360" w:lineRule="auto"/>
        <w:jc w:val="both"/>
        <w:rPr>
          <w:rFonts w:ascii="Times New Roman" w:hAnsi="Times New Roman" w:cs="Times New Roman"/>
          <w:sz w:val="24"/>
          <w:szCs w:val="24"/>
        </w:rPr>
      </w:pPr>
      <w:r w:rsidRPr="0065592B">
        <w:rPr>
          <w:rFonts w:ascii="Times New Roman" w:hAnsi="Times New Roman" w:cs="Times New Roman"/>
          <w:sz w:val="24"/>
          <w:szCs w:val="24"/>
        </w:rPr>
        <w:t xml:space="preserve">Centralne Biuro Antykorupcyjne aktywnie działało na rzecz wprowadzenia do </w:t>
      </w:r>
      <w:r w:rsidRPr="0065592B">
        <w:rPr>
          <w:rFonts w:ascii="Times New Roman" w:hAnsi="Times New Roman" w:cs="Times New Roman"/>
          <w:i/>
          <w:iCs/>
          <w:sz w:val="24"/>
          <w:szCs w:val="24"/>
        </w:rPr>
        <w:t xml:space="preserve">Rządowego Programu Przeciwdziałania Korupcji na lata 2014-2019 </w:t>
      </w:r>
      <w:r w:rsidRPr="0065592B">
        <w:rPr>
          <w:rFonts w:ascii="Times New Roman" w:hAnsi="Times New Roman" w:cs="Times New Roman"/>
          <w:sz w:val="24"/>
          <w:szCs w:val="24"/>
        </w:rPr>
        <w:t xml:space="preserve">zadania związanego z ochroną informatorów. Wraz ze sprawozdaniem za 2015 rok </w:t>
      </w:r>
      <w:r w:rsidR="00AF173E">
        <w:rPr>
          <w:rFonts w:ascii="Times New Roman" w:hAnsi="Times New Roman" w:cs="Times New Roman"/>
          <w:sz w:val="24"/>
          <w:szCs w:val="24"/>
        </w:rPr>
        <w:t xml:space="preserve">złożonym </w:t>
      </w:r>
      <w:r w:rsidRPr="0065592B">
        <w:rPr>
          <w:rFonts w:ascii="Times New Roman" w:hAnsi="Times New Roman" w:cs="Times New Roman"/>
          <w:sz w:val="24"/>
          <w:szCs w:val="24"/>
        </w:rPr>
        <w:t>do Ministra Spraw Wewnętrznych i Administracji skierowan</w:t>
      </w:r>
      <w:r w:rsidR="00EB3EB7">
        <w:rPr>
          <w:rFonts w:ascii="Times New Roman" w:hAnsi="Times New Roman" w:cs="Times New Roman"/>
          <w:sz w:val="24"/>
          <w:szCs w:val="24"/>
        </w:rPr>
        <w:t>o</w:t>
      </w:r>
      <w:r w:rsidRPr="0065592B">
        <w:rPr>
          <w:rFonts w:ascii="Times New Roman" w:hAnsi="Times New Roman" w:cs="Times New Roman"/>
          <w:sz w:val="24"/>
          <w:szCs w:val="24"/>
        </w:rPr>
        <w:t xml:space="preserve"> postulat przywrócenia zadania w tym zakresie do RPPK. Ponadto, CBA </w:t>
      </w:r>
      <w:r w:rsidR="00EB3EB7">
        <w:rPr>
          <w:rFonts w:ascii="Times New Roman" w:hAnsi="Times New Roman" w:cs="Times New Roman"/>
          <w:sz w:val="24"/>
          <w:szCs w:val="24"/>
        </w:rPr>
        <w:t>opraco</w:t>
      </w:r>
      <w:r w:rsidR="001406A1">
        <w:rPr>
          <w:rFonts w:ascii="Times New Roman" w:hAnsi="Times New Roman" w:cs="Times New Roman"/>
          <w:sz w:val="24"/>
          <w:szCs w:val="24"/>
        </w:rPr>
        <w:t xml:space="preserve">wało </w:t>
      </w:r>
      <w:r w:rsidRPr="0065592B">
        <w:rPr>
          <w:rFonts w:ascii="Times New Roman" w:hAnsi="Times New Roman" w:cs="Times New Roman"/>
          <w:sz w:val="24"/>
          <w:szCs w:val="24"/>
        </w:rPr>
        <w:t>now</w:t>
      </w:r>
      <w:r w:rsidR="00EB3EB7">
        <w:rPr>
          <w:rFonts w:ascii="Times New Roman" w:hAnsi="Times New Roman" w:cs="Times New Roman"/>
          <w:sz w:val="24"/>
          <w:szCs w:val="24"/>
        </w:rPr>
        <w:t>y</w:t>
      </w:r>
      <w:r w:rsidRPr="0065592B">
        <w:rPr>
          <w:rFonts w:ascii="Times New Roman" w:hAnsi="Times New Roman" w:cs="Times New Roman"/>
          <w:sz w:val="24"/>
          <w:szCs w:val="24"/>
        </w:rPr>
        <w:t xml:space="preserve"> </w:t>
      </w:r>
      <w:r w:rsidR="00EB3EB7">
        <w:rPr>
          <w:rFonts w:ascii="Times New Roman" w:hAnsi="Times New Roman" w:cs="Times New Roman"/>
          <w:sz w:val="24"/>
          <w:szCs w:val="24"/>
        </w:rPr>
        <w:t xml:space="preserve">projekt </w:t>
      </w:r>
      <w:r w:rsidRPr="0065592B">
        <w:rPr>
          <w:rFonts w:ascii="Times New Roman" w:hAnsi="Times New Roman" w:cs="Times New Roman"/>
          <w:i/>
          <w:iCs/>
          <w:sz w:val="24"/>
          <w:szCs w:val="24"/>
        </w:rPr>
        <w:t>Rządowego Programu Przeciwdziałania Korupcji na lata 2017-2019</w:t>
      </w:r>
      <w:r w:rsidR="00AF173E">
        <w:rPr>
          <w:rFonts w:ascii="Times New Roman" w:hAnsi="Times New Roman" w:cs="Times New Roman"/>
          <w:sz w:val="24"/>
          <w:szCs w:val="24"/>
        </w:rPr>
        <w:t>, a o</w:t>
      </w:r>
      <w:r w:rsidRPr="0065592B">
        <w:rPr>
          <w:rFonts w:ascii="Times New Roman" w:hAnsi="Times New Roman" w:cs="Times New Roman"/>
          <w:sz w:val="24"/>
          <w:szCs w:val="24"/>
        </w:rPr>
        <w:t xml:space="preserve">chrona sygnalistów stanowi </w:t>
      </w:r>
      <w:r w:rsidR="00EB3EB7">
        <w:rPr>
          <w:rFonts w:ascii="Times New Roman" w:hAnsi="Times New Roman" w:cs="Times New Roman"/>
          <w:sz w:val="24"/>
          <w:szCs w:val="24"/>
        </w:rPr>
        <w:t xml:space="preserve">jego </w:t>
      </w:r>
      <w:r w:rsidRPr="0065592B">
        <w:rPr>
          <w:rFonts w:ascii="Times New Roman" w:hAnsi="Times New Roman" w:cs="Times New Roman"/>
          <w:sz w:val="24"/>
          <w:szCs w:val="24"/>
        </w:rPr>
        <w:t>istotny element</w:t>
      </w:r>
      <w:r w:rsidR="00EB3EB7">
        <w:rPr>
          <w:rFonts w:ascii="Times New Roman" w:hAnsi="Times New Roman" w:cs="Times New Roman"/>
          <w:sz w:val="24"/>
          <w:szCs w:val="24"/>
        </w:rPr>
        <w:t>.</w:t>
      </w:r>
      <w:r w:rsidRPr="0065592B">
        <w:rPr>
          <w:rFonts w:ascii="Times New Roman" w:hAnsi="Times New Roman" w:cs="Times New Roman"/>
          <w:sz w:val="24"/>
          <w:szCs w:val="24"/>
        </w:rPr>
        <w:t xml:space="preserve"> </w:t>
      </w:r>
    </w:p>
    <w:p w:rsidR="008F3B2F" w:rsidRPr="0065592B" w:rsidRDefault="00AF173E" w:rsidP="00655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Ponadto </w:t>
      </w:r>
      <w:r w:rsidR="008F3B2F" w:rsidRPr="0065592B">
        <w:rPr>
          <w:rFonts w:ascii="Times New Roman" w:hAnsi="Times New Roman" w:cs="Times New Roman"/>
          <w:sz w:val="24"/>
          <w:szCs w:val="24"/>
        </w:rPr>
        <w:t>CBA pod</w:t>
      </w:r>
      <w:r w:rsidR="001406A1">
        <w:rPr>
          <w:rFonts w:ascii="Times New Roman" w:hAnsi="Times New Roman" w:cs="Times New Roman"/>
          <w:sz w:val="24"/>
          <w:szCs w:val="24"/>
        </w:rPr>
        <w:t>jęło</w:t>
      </w:r>
      <w:r w:rsidR="008F3B2F" w:rsidRPr="0065592B">
        <w:rPr>
          <w:rFonts w:ascii="Times New Roman" w:hAnsi="Times New Roman" w:cs="Times New Roman"/>
          <w:sz w:val="24"/>
          <w:szCs w:val="24"/>
        </w:rPr>
        <w:t xml:space="preserve"> działania </w:t>
      </w:r>
      <w:r>
        <w:rPr>
          <w:rFonts w:ascii="Times New Roman" w:hAnsi="Times New Roman" w:cs="Times New Roman"/>
          <w:sz w:val="24"/>
          <w:szCs w:val="24"/>
        </w:rPr>
        <w:t>skierowane</w:t>
      </w:r>
      <w:r w:rsidR="008F3B2F" w:rsidRPr="0065592B">
        <w:rPr>
          <w:rFonts w:ascii="Times New Roman" w:hAnsi="Times New Roman" w:cs="Times New Roman"/>
          <w:sz w:val="24"/>
          <w:szCs w:val="24"/>
        </w:rPr>
        <w:t xml:space="preserve"> na popularyzację treści związanych z tematyką </w:t>
      </w:r>
      <w:r>
        <w:rPr>
          <w:rFonts w:ascii="Times New Roman" w:hAnsi="Times New Roman" w:cs="Times New Roman"/>
          <w:sz w:val="24"/>
          <w:szCs w:val="24"/>
        </w:rPr>
        <w:t xml:space="preserve">ochrony </w:t>
      </w:r>
      <w:r w:rsidR="008F3B2F" w:rsidRPr="0065592B">
        <w:rPr>
          <w:rFonts w:ascii="Times New Roman" w:hAnsi="Times New Roman" w:cs="Times New Roman"/>
          <w:sz w:val="24"/>
          <w:szCs w:val="24"/>
        </w:rPr>
        <w:t>sygnalistów czy odpowied</w:t>
      </w:r>
      <w:r>
        <w:rPr>
          <w:rFonts w:ascii="Times New Roman" w:hAnsi="Times New Roman" w:cs="Times New Roman"/>
          <w:sz w:val="24"/>
          <w:szCs w:val="24"/>
        </w:rPr>
        <w:t xml:space="preserve">zialności podmiotów zbiorowych między innymi </w:t>
      </w:r>
      <w:r w:rsidR="008F3B2F" w:rsidRPr="0065592B">
        <w:rPr>
          <w:rFonts w:ascii="Times New Roman" w:hAnsi="Times New Roman" w:cs="Times New Roman"/>
          <w:sz w:val="24"/>
          <w:szCs w:val="24"/>
        </w:rPr>
        <w:t>w ramach RPPK</w:t>
      </w:r>
      <w:r>
        <w:rPr>
          <w:rFonts w:ascii="Times New Roman" w:hAnsi="Times New Roman" w:cs="Times New Roman"/>
          <w:sz w:val="24"/>
          <w:szCs w:val="24"/>
        </w:rPr>
        <w:t>,</w:t>
      </w:r>
      <w:r w:rsidR="008F3B2F" w:rsidRPr="0065592B">
        <w:rPr>
          <w:rFonts w:ascii="Times New Roman" w:hAnsi="Times New Roman" w:cs="Times New Roman"/>
          <w:sz w:val="24"/>
          <w:szCs w:val="24"/>
        </w:rPr>
        <w:t xml:space="preserve"> czasopisma CBA </w:t>
      </w:r>
      <w:r w:rsidR="008F3B2F" w:rsidRPr="0065592B">
        <w:rPr>
          <w:rFonts w:ascii="Times New Roman" w:hAnsi="Times New Roman" w:cs="Times New Roman"/>
          <w:i/>
          <w:iCs/>
          <w:sz w:val="24"/>
          <w:szCs w:val="24"/>
        </w:rPr>
        <w:t>Przegląd Antykorupcyjny</w:t>
      </w:r>
      <w:r w:rsidR="0065592B">
        <w:rPr>
          <w:rFonts w:ascii="Times New Roman" w:hAnsi="Times New Roman" w:cs="Times New Roman"/>
          <w:sz w:val="24"/>
          <w:szCs w:val="24"/>
        </w:rPr>
        <w:t xml:space="preserve"> (2016</w:t>
      </w:r>
      <w:r>
        <w:rPr>
          <w:rFonts w:ascii="Times New Roman" w:hAnsi="Times New Roman" w:cs="Times New Roman"/>
          <w:sz w:val="24"/>
          <w:szCs w:val="24"/>
        </w:rPr>
        <w:t xml:space="preserve">r.) oraz </w:t>
      </w:r>
      <w:r w:rsidR="008F3B2F" w:rsidRPr="0065592B">
        <w:rPr>
          <w:rFonts w:ascii="Times New Roman" w:hAnsi="Times New Roman" w:cs="Times New Roman"/>
          <w:sz w:val="24"/>
          <w:szCs w:val="24"/>
        </w:rPr>
        <w:t xml:space="preserve">podczas </w:t>
      </w:r>
      <w:r w:rsidR="008F3B2F" w:rsidRPr="0065592B">
        <w:rPr>
          <w:rFonts w:ascii="Times New Roman" w:hAnsi="Times New Roman" w:cs="Times New Roman"/>
          <w:i/>
          <w:iCs/>
          <w:sz w:val="24"/>
          <w:szCs w:val="24"/>
        </w:rPr>
        <w:t>IV Międzynarodowej Konferencji Antykorupcyjnej. Rola urzędów administracji państwowej w identyfikowaniu nieprawidłowości w zamówieniach publicznych</w:t>
      </w:r>
      <w:r w:rsidR="008F3B2F" w:rsidRPr="0065592B">
        <w:rPr>
          <w:rFonts w:ascii="Times New Roman" w:hAnsi="Times New Roman" w:cs="Times New Roman"/>
          <w:sz w:val="24"/>
          <w:szCs w:val="24"/>
        </w:rPr>
        <w:t>, zorganizowanej przez CBA oraz Urząd Zamówień Publicznych i Urząd Ochrony Konkurencji i Konsumentów w Międzynarodowym Dniu Przeciwdziałania Korupcji (9 grudnia, 2013 r.)</w:t>
      </w:r>
      <w:r>
        <w:rPr>
          <w:rFonts w:ascii="Times New Roman" w:hAnsi="Times New Roman" w:cs="Times New Roman"/>
          <w:sz w:val="24"/>
          <w:szCs w:val="24"/>
        </w:rPr>
        <w:t xml:space="preserve">. </w:t>
      </w:r>
    </w:p>
    <w:p w:rsidR="008F3B2F" w:rsidRPr="00192B16" w:rsidRDefault="00AF173E" w:rsidP="00F6406B">
      <w:pPr>
        <w:spacing w:line="360" w:lineRule="auto"/>
        <w:ind w:firstLine="708"/>
        <w:jc w:val="both"/>
        <w:rPr>
          <w:rFonts w:ascii="Times New Roman" w:hAnsi="Times New Roman" w:cs="Times New Roman"/>
          <w:i/>
          <w:sz w:val="24"/>
          <w:szCs w:val="24"/>
        </w:rPr>
      </w:pPr>
      <w:r w:rsidRPr="00AF173E">
        <w:rPr>
          <w:rFonts w:ascii="Times New Roman" w:hAnsi="Times New Roman" w:cs="Times New Roman"/>
          <w:sz w:val="24"/>
          <w:szCs w:val="24"/>
        </w:rPr>
        <w:lastRenderedPageBreak/>
        <w:t>W odniesieniu do działań podejmowanych przez Prokuraturę wskazać należy, iż o</w:t>
      </w:r>
      <w:r w:rsidR="0065592B" w:rsidRPr="00AF173E">
        <w:rPr>
          <w:rFonts w:ascii="Times New Roman" w:hAnsi="Times New Roman" w:cs="Times New Roman"/>
          <w:sz w:val="24"/>
          <w:szCs w:val="24"/>
        </w:rPr>
        <w:t xml:space="preserve">d </w:t>
      </w:r>
      <w:r w:rsidR="009523B3" w:rsidRPr="00AF173E">
        <w:rPr>
          <w:rFonts w:ascii="Times New Roman" w:hAnsi="Times New Roman" w:cs="Times New Roman"/>
          <w:sz w:val="24"/>
          <w:szCs w:val="24"/>
        </w:rPr>
        <w:t>2014</w:t>
      </w:r>
      <w:r w:rsidR="008F3B2F" w:rsidRPr="00AF173E">
        <w:rPr>
          <w:rFonts w:ascii="Times New Roman" w:hAnsi="Times New Roman" w:cs="Times New Roman"/>
          <w:sz w:val="24"/>
          <w:szCs w:val="24"/>
        </w:rPr>
        <w:t>r</w:t>
      </w:r>
      <w:r w:rsidR="0065592B" w:rsidRPr="00AF173E">
        <w:rPr>
          <w:rFonts w:ascii="Times New Roman" w:hAnsi="Times New Roman" w:cs="Times New Roman"/>
          <w:sz w:val="24"/>
          <w:szCs w:val="24"/>
        </w:rPr>
        <w:t>.</w:t>
      </w:r>
      <w:r w:rsidR="008F3B2F" w:rsidRPr="00AF173E">
        <w:rPr>
          <w:rFonts w:ascii="Times New Roman" w:hAnsi="Times New Roman" w:cs="Times New Roman"/>
          <w:sz w:val="24"/>
          <w:szCs w:val="24"/>
        </w:rPr>
        <w:t xml:space="preserve"> wszystkich prokuratorów prowadzących śledztwa w sprawach korupcyjnych, </w:t>
      </w:r>
      <w:r w:rsidR="009523B3" w:rsidRPr="00AF173E">
        <w:rPr>
          <w:rFonts w:ascii="Times New Roman" w:hAnsi="Times New Roman" w:cs="Times New Roman"/>
          <w:sz w:val="24"/>
          <w:szCs w:val="24"/>
        </w:rPr>
        <w:t xml:space="preserve">obowiązują zalecenia </w:t>
      </w:r>
      <w:r w:rsidR="008F3B2F" w:rsidRPr="00AF173E">
        <w:rPr>
          <w:rFonts w:ascii="Times New Roman" w:hAnsi="Times New Roman" w:cs="Times New Roman"/>
          <w:sz w:val="24"/>
          <w:szCs w:val="24"/>
        </w:rPr>
        <w:t xml:space="preserve">dotyczące szeregu aspektów postępowania przygotowawczego, </w:t>
      </w:r>
      <w:r w:rsidR="008F3B2F" w:rsidRPr="0065592B">
        <w:rPr>
          <w:rFonts w:ascii="Times New Roman" w:hAnsi="Times New Roman" w:cs="Times New Roman"/>
          <w:sz w:val="24"/>
          <w:szCs w:val="24"/>
        </w:rPr>
        <w:t xml:space="preserve">w tym między innymi </w:t>
      </w:r>
      <w:r>
        <w:rPr>
          <w:rFonts w:ascii="Times New Roman" w:hAnsi="Times New Roman" w:cs="Times New Roman"/>
          <w:sz w:val="24"/>
          <w:szCs w:val="24"/>
        </w:rPr>
        <w:t xml:space="preserve">dotyczące </w:t>
      </w:r>
      <w:r w:rsidR="008F3B2F" w:rsidRPr="0065592B">
        <w:rPr>
          <w:rFonts w:ascii="Times New Roman" w:hAnsi="Times New Roman" w:cs="Times New Roman"/>
          <w:sz w:val="24"/>
          <w:szCs w:val="24"/>
        </w:rPr>
        <w:t>ścigania osób prawnych za czyny przynoszące im korzyść majątkową popełnione przez osoby wymienione art. 3 ustawy z dnia 28 października 2002 r</w:t>
      </w:r>
      <w:r>
        <w:rPr>
          <w:rFonts w:ascii="Times New Roman" w:hAnsi="Times New Roman" w:cs="Times New Roman"/>
          <w:sz w:val="24"/>
          <w:szCs w:val="24"/>
        </w:rPr>
        <w:t>.</w:t>
      </w:r>
      <w:r w:rsidR="008F3B2F" w:rsidRPr="0065592B">
        <w:rPr>
          <w:rFonts w:ascii="Times New Roman" w:hAnsi="Times New Roman" w:cs="Times New Roman"/>
          <w:sz w:val="24"/>
          <w:szCs w:val="24"/>
        </w:rPr>
        <w:t xml:space="preserve"> o odpowiedzialności podmiotów zbiorowych za czyny zabronione pod groźb</w:t>
      </w:r>
      <w:r>
        <w:rPr>
          <w:rFonts w:ascii="Times New Roman" w:hAnsi="Times New Roman" w:cs="Times New Roman"/>
          <w:sz w:val="24"/>
          <w:szCs w:val="24"/>
        </w:rPr>
        <w:t>ą</w:t>
      </w:r>
      <w:r w:rsidR="008F3B2F" w:rsidRPr="0065592B">
        <w:rPr>
          <w:rFonts w:ascii="Times New Roman" w:hAnsi="Times New Roman" w:cs="Times New Roman"/>
          <w:sz w:val="24"/>
          <w:szCs w:val="24"/>
        </w:rPr>
        <w:t xml:space="preserve"> kar</w:t>
      </w:r>
      <w:r w:rsidR="009523B3">
        <w:rPr>
          <w:rFonts w:ascii="Times New Roman" w:hAnsi="Times New Roman" w:cs="Times New Roman"/>
          <w:sz w:val="24"/>
          <w:szCs w:val="24"/>
        </w:rPr>
        <w:t>y (</w:t>
      </w:r>
      <w:proofErr w:type="spellStart"/>
      <w:r w:rsidR="009523B3">
        <w:rPr>
          <w:rFonts w:ascii="Times New Roman" w:hAnsi="Times New Roman" w:cs="Times New Roman"/>
          <w:sz w:val="24"/>
          <w:szCs w:val="24"/>
        </w:rPr>
        <w:t>Dz.U</w:t>
      </w:r>
      <w:proofErr w:type="spellEnd"/>
      <w:r w:rsidR="009523B3">
        <w:rPr>
          <w:rFonts w:ascii="Times New Roman" w:hAnsi="Times New Roman" w:cs="Times New Roman"/>
          <w:sz w:val="24"/>
          <w:szCs w:val="24"/>
        </w:rPr>
        <w:t xml:space="preserve">. z 2012 roku, </w:t>
      </w:r>
      <w:r>
        <w:rPr>
          <w:rFonts w:ascii="Times New Roman" w:hAnsi="Times New Roman" w:cs="Times New Roman"/>
          <w:sz w:val="24"/>
          <w:szCs w:val="24"/>
        </w:rPr>
        <w:t>poz</w:t>
      </w:r>
      <w:proofErr w:type="gramStart"/>
      <w:r>
        <w:rPr>
          <w:rFonts w:ascii="Times New Roman" w:hAnsi="Times New Roman" w:cs="Times New Roman"/>
          <w:sz w:val="24"/>
          <w:szCs w:val="24"/>
        </w:rPr>
        <w:t>. 768). Zalecenia</w:t>
      </w:r>
      <w:proofErr w:type="gramEnd"/>
      <w:r w:rsidR="009523B3">
        <w:rPr>
          <w:rFonts w:ascii="Times New Roman" w:hAnsi="Times New Roman" w:cs="Times New Roman"/>
          <w:sz w:val="24"/>
          <w:szCs w:val="24"/>
        </w:rPr>
        <w:t xml:space="preserve"> te w</w:t>
      </w:r>
      <w:r w:rsidR="008F3B2F" w:rsidRPr="0065592B">
        <w:rPr>
          <w:rFonts w:ascii="Times New Roman" w:hAnsi="Times New Roman" w:cs="Times New Roman"/>
          <w:sz w:val="24"/>
          <w:szCs w:val="24"/>
        </w:rPr>
        <w:t>skaz</w:t>
      </w:r>
      <w:r w:rsidR="009523B3">
        <w:rPr>
          <w:rFonts w:ascii="Times New Roman" w:hAnsi="Times New Roman" w:cs="Times New Roman"/>
          <w:sz w:val="24"/>
          <w:szCs w:val="24"/>
        </w:rPr>
        <w:t>ują</w:t>
      </w:r>
      <w:r w:rsidR="008F3B2F" w:rsidRPr="0065592B">
        <w:rPr>
          <w:rFonts w:ascii="Times New Roman" w:hAnsi="Times New Roman" w:cs="Times New Roman"/>
          <w:sz w:val="24"/>
          <w:szCs w:val="24"/>
        </w:rPr>
        <w:t xml:space="preserve"> m.in., że „</w:t>
      </w:r>
      <w:r w:rsidR="008F3B2F" w:rsidRPr="00192B16">
        <w:rPr>
          <w:rFonts w:ascii="Times New Roman" w:hAnsi="Times New Roman" w:cs="Times New Roman"/>
          <w:i/>
          <w:sz w:val="24"/>
          <w:szCs w:val="24"/>
        </w:rPr>
        <w:t>zagadnieniem szczególnej wagi w kontekście czynnej korupcji (…) jest odpowiedzialność polskich podmiotów zbiorowych w związku z popełnieniem tego przestępstwa przez osoby działające w ich imieniu, interesie lub w innych okolicznościach wskazanych wyczerpująco w art. 3 Ustawy z dnia 28 października 2002 r</w:t>
      </w:r>
      <w:r w:rsidRPr="00192B16">
        <w:rPr>
          <w:rFonts w:ascii="Times New Roman" w:hAnsi="Times New Roman" w:cs="Times New Roman"/>
          <w:i/>
          <w:sz w:val="24"/>
          <w:szCs w:val="24"/>
        </w:rPr>
        <w:t>.</w:t>
      </w:r>
      <w:r w:rsidR="008F3B2F" w:rsidRPr="00192B16">
        <w:rPr>
          <w:rFonts w:ascii="Times New Roman" w:hAnsi="Times New Roman" w:cs="Times New Roman"/>
          <w:i/>
          <w:sz w:val="24"/>
          <w:szCs w:val="24"/>
        </w:rPr>
        <w:t xml:space="preserve"> o odpowiedzialności podmiotów zbiorowych za czyny zabronione pod groźbą kary. Działalność gospodarczą o charakterze transgranicznym prowadzą</w:t>
      </w:r>
      <w:r w:rsidR="009523B3" w:rsidRPr="00192B16">
        <w:rPr>
          <w:rFonts w:ascii="Times New Roman" w:hAnsi="Times New Roman" w:cs="Times New Roman"/>
          <w:i/>
          <w:sz w:val="24"/>
          <w:szCs w:val="24"/>
        </w:rPr>
        <w:t>,</w:t>
      </w:r>
      <w:r w:rsidR="008F3B2F" w:rsidRPr="00192B16">
        <w:rPr>
          <w:rFonts w:ascii="Times New Roman" w:hAnsi="Times New Roman" w:cs="Times New Roman"/>
          <w:i/>
          <w:sz w:val="24"/>
          <w:szCs w:val="24"/>
        </w:rPr>
        <w:t xml:space="preserve"> bowiem niemal wyłącznie przedsiębi</w:t>
      </w:r>
      <w:r w:rsidR="00192B16" w:rsidRPr="00192B16">
        <w:rPr>
          <w:rFonts w:ascii="Times New Roman" w:hAnsi="Times New Roman" w:cs="Times New Roman"/>
          <w:i/>
          <w:sz w:val="24"/>
          <w:szCs w:val="24"/>
        </w:rPr>
        <w:t xml:space="preserve">orcy będący osobami prawnymi i są </w:t>
      </w:r>
      <w:r w:rsidR="008F3B2F" w:rsidRPr="00192B16">
        <w:rPr>
          <w:rFonts w:ascii="Times New Roman" w:hAnsi="Times New Roman" w:cs="Times New Roman"/>
          <w:i/>
          <w:sz w:val="24"/>
          <w:szCs w:val="24"/>
        </w:rPr>
        <w:t>też rzeczywistymi beneficjentami uzyskanych w innych państwach zamówień publicznych, nabywcami prywatyzowanego mienia lub dostawcami dóbr i usług na dużą skalę. Na tle aktywności tych podmiotów dochodzi do najpoważniejszych przypadków korupcji, zwłaszcza</w:t>
      </w:r>
      <w:r w:rsidR="009523B3" w:rsidRPr="00192B16">
        <w:rPr>
          <w:rFonts w:ascii="Times New Roman" w:hAnsi="Times New Roman" w:cs="Times New Roman"/>
          <w:i/>
          <w:sz w:val="24"/>
          <w:szCs w:val="24"/>
        </w:rPr>
        <w:t>,</w:t>
      </w:r>
      <w:r w:rsidR="008F3B2F" w:rsidRPr="00192B16">
        <w:rPr>
          <w:rFonts w:ascii="Times New Roman" w:hAnsi="Times New Roman" w:cs="Times New Roman"/>
          <w:i/>
          <w:sz w:val="24"/>
          <w:szCs w:val="24"/>
        </w:rPr>
        <w:t xml:space="preserve"> że operują one nierzadko w sektorach wrażliwych dla bezpieczeństwa państwa, jak np. obronność, czy przemysł energetyczny. W przypadku ujawnienia korupcji zagranicznego funkcjonariusza publicznego przez osobę działającą w imieniu lub interesie takiej, polskiej osoby prawnej, prowadzone postępowanie przygotowawcze powinno</w:t>
      </w:r>
      <w:r w:rsidR="00192B16">
        <w:rPr>
          <w:rFonts w:ascii="Times New Roman" w:hAnsi="Times New Roman" w:cs="Times New Roman"/>
          <w:i/>
          <w:sz w:val="24"/>
          <w:szCs w:val="24"/>
        </w:rPr>
        <w:t xml:space="preserve">, </w:t>
      </w:r>
      <w:r w:rsidR="008F3B2F" w:rsidRPr="00192B16">
        <w:rPr>
          <w:rFonts w:ascii="Times New Roman" w:hAnsi="Times New Roman" w:cs="Times New Roman"/>
          <w:i/>
          <w:sz w:val="24"/>
          <w:szCs w:val="24"/>
        </w:rPr>
        <w:t>zatem zmierzać również do ustalenia, czy zachodzą przesłanki pociągnięcia do odpowiedzialności podmiotu zbiorowego, przewidziane w art. 3 i 5 Ustawy z dnia 28 października 2002 r</w:t>
      </w:r>
      <w:r w:rsidR="00192B16" w:rsidRPr="00192B16">
        <w:rPr>
          <w:rFonts w:ascii="Times New Roman" w:hAnsi="Times New Roman" w:cs="Times New Roman"/>
          <w:i/>
          <w:sz w:val="24"/>
          <w:szCs w:val="24"/>
        </w:rPr>
        <w:t>.</w:t>
      </w:r>
      <w:r w:rsidR="008F3B2F" w:rsidRPr="00192B16">
        <w:rPr>
          <w:rFonts w:ascii="Times New Roman" w:hAnsi="Times New Roman" w:cs="Times New Roman"/>
          <w:i/>
          <w:sz w:val="24"/>
          <w:szCs w:val="24"/>
        </w:rPr>
        <w:t xml:space="preserve"> o odpowiedzialności podmiotów zbiorowych za czyny zabronione pod groźbą kary. Dochowanie należytej staranności w gromadzeniu tego rodzaju materiału dowodowego ma o tyle istotne znaczenie, że postępowanie przeciwko podmiotom zbiorowym toczy się w przede wszystkim w oparciu o dowody zebrane w śledztwie przeciwko sprawcy przestępstwa popełnionego na ich korzyść. Po jego zakończeniu, ustawodawca nie przewidział możliwości wdrożenia odrębnego postępowania wyłącznie w celu ustalenia przesłanek odpowiedzialności podmiotów zbiorowych, a jedynie wyposażył prokuratora w uprawnienia do składania wniosków dowodowych przed sądem </w:t>
      </w:r>
      <w:proofErr w:type="spellStart"/>
      <w:r w:rsidR="008F3B2F" w:rsidRPr="00192B16">
        <w:rPr>
          <w:rFonts w:ascii="Times New Roman" w:hAnsi="Times New Roman" w:cs="Times New Roman"/>
          <w:i/>
          <w:sz w:val="24"/>
          <w:szCs w:val="24"/>
        </w:rPr>
        <w:t>meriti</w:t>
      </w:r>
      <w:proofErr w:type="spellEnd"/>
      <w:r w:rsidR="008F3B2F" w:rsidRPr="00192B16">
        <w:rPr>
          <w:rFonts w:ascii="Times New Roman" w:hAnsi="Times New Roman" w:cs="Times New Roman"/>
          <w:i/>
          <w:sz w:val="24"/>
          <w:szCs w:val="24"/>
        </w:rPr>
        <w:t xml:space="preserve">. W tym aspekcie, kluczowe znaczenie ma też właściwa dynamika postępowania i optymalna koncentracja czynności dowodowych, </w:t>
      </w:r>
      <w:proofErr w:type="gramStart"/>
      <w:r w:rsidR="008F3B2F" w:rsidRPr="00192B16">
        <w:rPr>
          <w:rFonts w:ascii="Times New Roman" w:hAnsi="Times New Roman" w:cs="Times New Roman"/>
          <w:i/>
          <w:sz w:val="24"/>
          <w:szCs w:val="24"/>
        </w:rPr>
        <w:t>zwłaszcza iż</w:t>
      </w:r>
      <w:proofErr w:type="gramEnd"/>
      <w:r w:rsidR="008F3B2F" w:rsidRPr="00192B16">
        <w:rPr>
          <w:rFonts w:ascii="Times New Roman" w:hAnsi="Times New Roman" w:cs="Times New Roman"/>
          <w:i/>
          <w:sz w:val="24"/>
          <w:szCs w:val="24"/>
        </w:rPr>
        <w:t xml:space="preserve"> w przypadku odpowiedzialności podmiotów zbiorowych osoby zasiadające w ich władzach mogą dążyć do uniknięcia odpowiedzialności poprzez przekształcenie lub likwidację tych podmiotów zanim zostanie złożony wniosek w trybie art. 27 wspomnianej wyżej ustawy.  </w:t>
      </w:r>
    </w:p>
    <w:p w:rsidR="008F3B2F" w:rsidRPr="009523B3" w:rsidRDefault="008F3B2F" w:rsidP="009523B3">
      <w:pPr>
        <w:spacing w:line="360" w:lineRule="auto"/>
        <w:jc w:val="both"/>
        <w:rPr>
          <w:rFonts w:ascii="Times New Roman" w:hAnsi="Times New Roman" w:cs="Times New Roman"/>
          <w:sz w:val="24"/>
          <w:szCs w:val="24"/>
        </w:rPr>
      </w:pPr>
      <w:r w:rsidRPr="008944CC">
        <w:rPr>
          <w:rFonts w:ascii="Times New Roman" w:hAnsi="Times New Roman" w:cs="Times New Roman"/>
          <w:sz w:val="24"/>
          <w:szCs w:val="24"/>
        </w:rPr>
        <w:lastRenderedPageBreak/>
        <w:t xml:space="preserve">      </w:t>
      </w:r>
      <w:r w:rsidRPr="009523B3">
        <w:rPr>
          <w:rFonts w:ascii="Times New Roman" w:hAnsi="Times New Roman" w:cs="Times New Roman"/>
          <w:sz w:val="24"/>
          <w:szCs w:val="24"/>
        </w:rPr>
        <w:t xml:space="preserve">Wspomniane powyżej wytyczne dotyczyły też stosowania przez prokuratorów klauzuli niekaralności w rozumieniu art. 229 § 6 kk. W tym kontekście zwrócono prokuratorom uwagę, że stosowanie klauzuli nie wyłącza możliwości sankcjonowania tych współsprawców czynnej korupcji, których zachowanie nie spełniło ustawowych przesłanek klauzuli niekaralności, jak również nie wyłącza odpowiedzialności osób prawnych.  </w:t>
      </w:r>
    </w:p>
    <w:p w:rsidR="008F3B2F" w:rsidRPr="00192B16" w:rsidRDefault="008F3B2F" w:rsidP="009523B3">
      <w:pPr>
        <w:spacing w:line="360" w:lineRule="auto"/>
        <w:jc w:val="both"/>
        <w:rPr>
          <w:rFonts w:ascii="Times New Roman" w:hAnsi="Times New Roman" w:cs="Times New Roman"/>
          <w:i/>
          <w:sz w:val="24"/>
          <w:szCs w:val="24"/>
        </w:rPr>
      </w:pPr>
      <w:r w:rsidRPr="009523B3">
        <w:rPr>
          <w:rFonts w:ascii="Times New Roman" w:hAnsi="Times New Roman" w:cs="Times New Roman"/>
          <w:sz w:val="24"/>
          <w:szCs w:val="24"/>
        </w:rPr>
        <w:t xml:space="preserve">      Stosowny fragment wytycznych ma następujące brzmienie: „</w:t>
      </w:r>
      <w:r w:rsidRPr="00192B16">
        <w:rPr>
          <w:rFonts w:ascii="Times New Roman" w:hAnsi="Times New Roman" w:cs="Times New Roman"/>
          <w:i/>
          <w:sz w:val="24"/>
          <w:szCs w:val="24"/>
        </w:rPr>
        <w:t>Pierwszym istotnym zagadnieniem wymagającym szczególnej uwagi prokuratorów jest stosowanie do sprawców czynnej korupcji (…) tzw. klauzuli niekaralności, o której mowa w art. 229 § 6 kodeksu karnego. Stosując tę klauzulę prokuratorzy winni dokonać każdorazowo wnikliwej analizy przesłanek, które pozwalają na przyjęcie, iż osoby takie nie podlegają karze, a w szczególności tego, czy sprawcy ujawnili wszystkie istotne okoliczności przestępstwa i czy uczynili to zanim organy ścigania powzięły informację o fakcie wręczenia korzyści majątkowej (…). Analiza ta nie może skutkować umorzeniem śledztwa w całości w sytuacji, w której z osobą korzystającą z dobrodziejstwa klauzuli niekaralności mogły współdziałać inne osoby, które nie podjęły współpracy z organami wymiaru sprawiedliwości. Stosowanie klauzuli do indywidualnego sprawcy przestępstwa nie zwalnia też prokuratorów od ewentualnego sformułowania wniosku w trybie art. 27 ustęp 1 Ustawy z dnia 28 października 2002 r. o odpowiedzialności podmiotów zbiorowych za czyny zabronione pod groźbą kary (</w:t>
      </w:r>
      <w:proofErr w:type="spellStart"/>
      <w:r w:rsidRPr="00192B16">
        <w:rPr>
          <w:rFonts w:ascii="Times New Roman" w:hAnsi="Times New Roman" w:cs="Times New Roman"/>
          <w:i/>
          <w:sz w:val="24"/>
          <w:szCs w:val="24"/>
        </w:rPr>
        <w:t>t.j</w:t>
      </w:r>
      <w:proofErr w:type="spellEnd"/>
      <w:r w:rsidRPr="00192B16">
        <w:rPr>
          <w:rFonts w:ascii="Times New Roman" w:hAnsi="Times New Roman" w:cs="Times New Roman"/>
          <w:i/>
          <w:sz w:val="24"/>
          <w:szCs w:val="24"/>
        </w:rPr>
        <w:t xml:space="preserve">. </w:t>
      </w:r>
      <w:proofErr w:type="spellStart"/>
      <w:r w:rsidRPr="00192B16">
        <w:rPr>
          <w:rFonts w:ascii="Times New Roman" w:hAnsi="Times New Roman" w:cs="Times New Roman"/>
          <w:i/>
          <w:sz w:val="24"/>
          <w:szCs w:val="24"/>
        </w:rPr>
        <w:t>Dz.U</w:t>
      </w:r>
      <w:proofErr w:type="spellEnd"/>
      <w:r w:rsidRPr="00192B16">
        <w:rPr>
          <w:rFonts w:ascii="Times New Roman" w:hAnsi="Times New Roman" w:cs="Times New Roman"/>
          <w:i/>
          <w:sz w:val="24"/>
          <w:szCs w:val="24"/>
        </w:rPr>
        <w:t xml:space="preserve">. </w:t>
      </w:r>
      <w:proofErr w:type="gramStart"/>
      <w:r w:rsidRPr="00192B16">
        <w:rPr>
          <w:rFonts w:ascii="Times New Roman" w:hAnsi="Times New Roman" w:cs="Times New Roman"/>
          <w:i/>
          <w:sz w:val="24"/>
          <w:szCs w:val="24"/>
        </w:rPr>
        <w:t>z</w:t>
      </w:r>
      <w:proofErr w:type="gramEnd"/>
      <w:r w:rsidRPr="00192B16">
        <w:rPr>
          <w:rFonts w:ascii="Times New Roman" w:hAnsi="Times New Roman" w:cs="Times New Roman"/>
          <w:i/>
          <w:sz w:val="24"/>
          <w:szCs w:val="24"/>
        </w:rPr>
        <w:t xml:space="preserve"> 2012 roku, poz.768), o ile z okoliczności sprawy jednoznacznie wynika, że sprawcy przekupstwa działali w warunkach określonych w art. 3 przywołanej ustawy, a podmiot zbiorowy w rezultacie tych działań odniósł lub mógł odnieść korzyść (…). Wystąpienie okoliczności wyłączającej ukaranie sprawcy cz</w:t>
      </w:r>
      <w:r w:rsidR="009523B3" w:rsidRPr="00192B16">
        <w:rPr>
          <w:rFonts w:ascii="Times New Roman" w:hAnsi="Times New Roman" w:cs="Times New Roman"/>
          <w:i/>
          <w:sz w:val="24"/>
          <w:szCs w:val="24"/>
        </w:rPr>
        <w:t xml:space="preserve">ynu zabronionego nie przekreśla, </w:t>
      </w:r>
      <w:r w:rsidRPr="00192B16">
        <w:rPr>
          <w:rFonts w:ascii="Times New Roman" w:hAnsi="Times New Roman" w:cs="Times New Roman"/>
          <w:i/>
          <w:sz w:val="24"/>
          <w:szCs w:val="24"/>
        </w:rPr>
        <w:t xml:space="preserve">bowiem faktu, iż działanie to było bezprawne, a umorzenie postępowania przygotowawczego w tym wypadku, zgodnie z dyspozycją art. 4 wspomnianej ustawy nie stanowi przeszkody do pociągnięcia osoby prawnej do odpowiedzialności. Stosowanie klauzuli bezkarności i umorzenie na tej podstawie śledztwa nie powinno prowadzić również do swoistej legalizacji korzyści z popełnionego przez sprawcę przekupstwa przestępstwa. Jakkolwiek możliwości orzekania przepadku przedmiotów w wypadku umorzenia postępowania są ograniczone, w każdym przypadku stosowania art. 229 § 6 kodeksu karnego należy zbadać, czy zachodzi możliwość wystąpienia z wnioskiem do sądu o orzeczenie przepadku przewidzianego w art. 39 pkt 4 kodeksu karnego, tytułem środka zabezpieczającego na podstawie </w:t>
      </w:r>
      <w:proofErr w:type="gramStart"/>
      <w:r w:rsidRPr="00192B16">
        <w:rPr>
          <w:rFonts w:ascii="Times New Roman" w:hAnsi="Times New Roman" w:cs="Times New Roman"/>
          <w:i/>
          <w:sz w:val="24"/>
          <w:szCs w:val="24"/>
        </w:rPr>
        <w:t>art. 100  kodeksu</w:t>
      </w:r>
      <w:proofErr w:type="gramEnd"/>
      <w:r w:rsidRPr="00192B16">
        <w:rPr>
          <w:rFonts w:ascii="Times New Roman" w:hAnsi="Times New Roman" w:cs="Times New Roman"/>
          <w:i/>
          <w:sz w:val="24"/>
          <w:szCs w:val="24"/>
        </w:rPr>
        <w:t xml:space="preserve"> karnego. </w:t>
      </w:r>
    </w:p>
    <w:p w:rsidR="00EB3EB7" w:rsidRDefault="009523B3" w:rsidP="00192B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W celu </w:t>
      </w:r>
      <w:r w:rsidR="002C782B" w:rsidRPr="0015098B">
        <w:rPr>
          <w:rFonts w:ascii="Times New Roman" w:hAnsi="Times New Roman" w:cs="Times New Roman"/>
          <w:sz w:val="24"/>
          <w:szCs w:val="24"/>
        </w:rPr>
        <w:t xml:space="preserve">wzmocnienia ochrony </w:t>
      </w:r>
      <w:r w:rsidR="00EB3EB7">
        <w:rPr>
          <w:rFonts w:ascii="Times New Roman" w:hAnsi="Times New Roman" w:cs="Times New Roman"/>
          <w:sz w:val="24"/>
          <w:szCs w:val="24"/>
        </w:rPr>
        <w:t xml:space="preserve">sygnalistów </w:t>
      </w:r>
      <w:r w:rsidR="002C782B" w:rsidRPr="0015098B">
        <w:rPr>
          <w:rFonts w:ascii="Times New Roman" w:hAnsi="Times New Roman" w:cs="Times New Roman"/>
          <w:sz w:val="24"/>
          <w:szCs w:val="24"/>
        </w:rPr>
        <w:t>w polskim porzą</w:t>
      </w:r>
      <w:r>
        <w:rPr>
          <w:rFonts w:ascii="Times New Roman" w:hAnsi="Times New Roman" w:cs="Times New Roman"/>
          <w:sz w:val="24"/>
          <w:szCs w:val="24"/>
        </w:rPr>
        <w:t>dku prawnym</w:t>
      </w:r>
      <w:r w:rsidR="001B1DAA">
        <w:rPr>
          <w:rFonts w:ascii="Times New Roman" w:hAnsi="Times New Roman" w:cs="Times New Roman"/>
          <w:sz w:val="24"/>
          <w:szCs w:val="24"/>
        </w:rPr>
        <w:t xml:space="preserve"> w Ministerstwie Sprawiedliwości </w:t>
      </w:r>
      <w:r w:rsidR="002C782B" w:rsidRPr="0015098B">
        <w:rPr>
          <w:rFonts w:ascii="Times New Roman" w:hAnsi="Times New Roman" w:cs="Times New Roman"/>
          <w:sz w:val="24"/>
          <w:szCs w:val="24"/>
        </w:rPr>
        <w:t xml:space="preserve">podjęto szereg inicjatyw zmierzających do ochrony i </w:t>
      </w:r>
      <w:r>
        <w:rPr>
          <w:rFonts w:ascii="Times New Roman" w:hAnsi="Times New Roman" w:cs="Times New Roman"/>
          <w:sz w:val="24"/>
          <w:szCs w:val="24"/>
        </w:rPr>
        <w:t xml:space="preserve">poprawy </w:t>
      </w:r>
      <w:r w:rsidR="002C782B" w:rsidRPr="0015098B">
        <w:rPr>
          <w:rFonts w:ascii="Times New Roman" w:hAnsi="Times New Roman" w:cs="Times New Roman"/>
          <w:sz w:val="24"/>
          <w:szCs w:val="24"/>
        </w:rPr>
        <w:t xml:space="preserve">gwarancji procesowych osób uczestniczących w postępowaniu karnym. Zmiany te odnosiły się zarówno do </w:t>
      </w:r>
      <w:proofErr w:type="gramStart"/>
      <w:r w:rsidR="002C782B" w:rsidRPr="0015098B">
        <w:rPr>
          <w:rFonts w:ascii="Times New Roman" w:hAnsi="Times New Roman" w:cs="Times New Roman"/>
          <w:sz w:val="24"/>
          <w:szCs w:val="24"/>
        </w:rPr>
        <w:t>praw</w:t>
      </w:r>
      <w:proofErr w:type="gramEnd"/>
      <w:r w:rsidR="002C782B" w:rsidRPr="0015098B">
        <w:rPr>
          <w:rFonts w:ascii="Times New Roman" w:hAnsi="Times New Roman" w:cs="Times New Roman"/>
          <w:sz w:val="24"/>
          <w:szCs w:val="24"/>
        </w:rPr>
        <w:t xml:space="preserve"> pokrzywdzonych, zawiadamiających o popełnionym przestępstwie, </w:t>
      </w:r>
      <w:r>
        <w:rPr>
          <w:rFonts w:ascii="Times New Roman" w:hAnsi="Times New Roman" w:cs="Times New Roman"/>
          <w:sz w:val="24"/>
          <w:szCs w:val="24"/>
        </w:rPr>
        <w:t xml:space="preserve">jak i </w:t>
      </w:r>
      <w:r w:rsidR="002C782B" w:rsidRPr="0015098B">
        <w:rPr>
          <w:rFonts w:ascii="Times New Roman" w:hAnsi="Times New Roman" w:cs="Times New Roman"/>
          <w:sz w:val="24"/>
          <w:szCs w:val="24"/>
        </w:rPr>
        <w:t xml:space="preserve">świadków. Większość instrumentów zmierzających do wzmocnienia ochrony </w:t>
      </w:r>
      <w:proofErr w:type="gramStart"/>
      <w:r w:rsidR="002C782B" w:rsidRPr="0015098B">
        <w:rPr>
          <w:rFonts w:ascii="Times New Roman" w:hAnsi="Times New Roman" w:cs="Times New Roman"/>
          <w:sz w:val="24"/>
          <w:szCs w:val="24"/>
        </w:rPr>
        <w:t>praw</w:t>
      </w:r>
      <w:proofErr w:type="gramEnd"/>
      <w:r w:rsidR="002C782B" w:rsidRPr="0015098B">
        <w:rPr>
          <w:rFonts w:ascii="Times New Roman" w:hAnsi="Times New Roman" w:cs="Times New Roman"/>
          <w:sz w:val="24"/>
          <w:szCs w:val="24"/>
        </w:rPr>
        <w:t xml:space="preserve"> osób pokrzywdzonych weszła w Polsce w życie w 2015 r</w:t>
      </w:r>
      <w:r w:rsidR="00EB3EB7">
        <w:rPr>
          <w:rFonts w:ascii="Times New Roman" w:hAnsi="Times New Roman" w:cs="Times New Roman"/>
          <w:sz w:val="24"/>
          <w:szCs w:val="24"/>
        </w:rPr>
        <w:t>.</w:t>
      </w:r>
      <w:r w:rsidR="002C782B" w:rsidRPr="0015098B">
        <w:rPr>
          <w:rFonts w:ascii="Times New Roman" w:hAnsi="Times New Roman" w:cs="Times New Roman"/>
          <w:sz w:val="24"/>
          <w:szCs w:val="24"/>
        </w:rPr>
        <w:t xml:space="preserve"> Do najobszerniejszych należy zaliczyć </w:t>
      </w:r>
      <w:r w:rsidR="002C782B" w:rsidRPr="0015098B">
        <w:rPr>
          <w:rFonts w:ascii="Times New Roman" w:hAnsi="Times New Roman" w:cs="Times New Roman"/>
          <w:color w:val="000000"/>
          <w:sz w:val="24"/>
          <w:szCs w:val="24"/>
        </w:rPr>
        <w:t xml:space="preserve">ustawę z dnia 28 listopada 2014 r. </w:t>
      </w:r>
      <w:r w:rsidR="002C782B" w:rsidRPr="0015098B">
        <w:rPr>
          <w:rFonts w:ascii="Times New Roman" w:hAnsi="Times New Roman" w:cs="Times New Roman"/>
          <w:i/>
          <w:color w:val="000000"/>
          <w:sz w:val="24"/>
          <w:szCs w:val="24"/>
        </w:rPr>
        <w:t>o ochronie i pomocy dla pokrzywdzonego i świadka</w:t>
      </w:r>
      <w:r w:rsidR="002C782B" w:rsidRPr="0015098B">
        <w:rPr>
          <w:rFonts w:ascii="Times New Roman" w:hAnsi="Times New Roman" w:cs="Times New Roman"/>
          <w:color w:val="000000"/>
          <w:sz w:val="24"/>
          <w:szCs w:val="24"/>
        </w:rPr>
        <w:t xml:space="preserve">, która zaczęła obowiązywać </w:t>
      </w:r>
      <w:r w:rsidR="002C782B" w:rsidRPr="0015098B">
        <w:rPr>
          <w:rFonts w:ascii="Times New Roman" w:hAnsi="Times New Roman" w:cs="Times New Roman"/>
          <w:sz w:val="24"/>
          <w:szCs w:val="24"/>
        </w:rPr>
        <w:t>8 kwietnia 2015r</w:t>
      </w:r>
      <w:r w:rsidR="00EB3EB7">
        <w:rPr>
          <w:rFonts w:ascii="Times New Roman" w:hAnsi="Times New Roman" w:cs="Times New Roman"/>
          <w:sz w:val="24"/>
          <w:szCs w:val="24"/>
        </w:rPr>
        <w:t>.</w:t>
      </w:r>
      <w:r w:rsidR="002C782B" w:rsidRPr="0015098B">
        <w:rPr>
          <w:rFonts w:ascii="Times New Roman" w:hAnsi="Times New Roman" w:cs="Times New Roman"/>
          <w:sz w:val="24"/>
          <w:szCs w:val="24"/>
        </w:rPr>
        <w:t xml:space="preserve"> z wyjątkiem przepisów implementujących dyrektywę w sprawie europejskiego nakazu ochrony, które obowiązują od 11 stycznia 2015 r. Ustawa </w:t>
      </w:r>
      <w:r w:rsidR="002C782B" w:rsidRPr="0015098B">
        <w:rPr>
          <w:rFonts w:ascii="Times New Roman" w:hAnsi="Times New Roman" w:cs="Times New Roman"/>
          <w:bCs/>
          <w:i/>
          <w:sz w:val="24"/>
          <w:szCs w:val="24"/>
        </w:rPr>
        <w:t xml:space="preserve">o ochronie i pomocy dla pokrzywdzonego i świadka </w:t>
      </w:r>
      <w:r w:rsidR="002C782B" w:rsidRPr="0015098B">
        <w:rPr>
          <w:rFonts w:ascii="Times New Roman" w:hAnsi="Times New Roman" w:cs="Times New Roman"/>
          <w:sz w:val="24"/>
          <w:szCs w:val="24"/>
        </w:rPr>
        <w:t xml:space="preserve">zgodnie z jej uzasadnieniem ma stanowić kompleksową regulację poświęconą ochronie osób pokrzywdzonych i świadków oraz osób im najbliższych, których zdrowie i życie są zagrożone, w związku z toczącym się lub zakończonym postępowaniem karnym. Ustawa ta wprowadziła także zmiany w </w:t>
      </w:r>
      <w:r w:rsidR="002C782B" w:rsidRPr="0015098B">
        <w:rPr>
          <w:rFonts w:ascii="Times New Roman" w:hAnsi="Times New Roman" w:cs="Times New Roman"/>
          <w:i/>
          <w:sz w:val="24"/>
          <w:szCs w:val="24"/>
        </w:rPr>
        <w:t>Kodeksie postępowania karnego</w:t>
      </w:r>
      <w:r w:rsidR="002C782B" w:rsidRPr="0015098B">
        <w:rPr>
          <w:rFonts w:ascii="Times New Roman" w:hAnsi="Times New Roman" w:cs="Times New Roman"/>
          <w:sz w:val="24"/>
          <w:szCs w:val="24"/>
        </w:rPr>
        <w:t xml:space="preserve"> wprowadzając dodatkowe środki o charakterze procesowym służące ochr</w:t>
      </w:r>
      <w:r w:rsidR="002C782B">
        <w:rPr>
          <w:rFonts w:ascii="Times New Roman" w:hAnsi="Times New Roman" w:cs="Times New Roman"/>
          <w:sz w:val="24"/>
          <w:szCs w:val="24"/>
        </w:rPr>
        <w:t xml:space="preserve">onie pokrzywdzonych i świadków, w szczególności </w:t>
      </w:r>
      <w:r w:rsidR="002C782B" w:rsidRPr="0015098B">
        <w:rPr>
          <w:rFonts w:ascii="Times New Roman" w:hAnsi="Times New Roman" w:cs="Times New Roman"/>
          <w:sz w:val="24"/>
          <w:szCs w:val="24"/>
        </w:rPr>
        <w:t xml:space="preserve">istotną z uwagi na poczucie bezpieczeństwa </w:t>
      </w:r>
      <w:r w:rsidR="002C782B">
        <w:rPr>
          <w:rFonts w:ascii="Times New Roman" w:hAnsi="Times New Roman" w:cs="Times New Roman"/>
          <w:sz w:val="24"/>
          <w:szCs w:val="24"/>
        </w:rPr>
        <w:t xml:space="preserve">uczestników postępowania </w:t>
      </w:r>
      <w:proofErr w:type="spellStart"/>
      <w:r w:rsidR="00EB3EB7">
        <w:rPr>
          <w:rFonts w:ascii="Times New Roman" w:hAnsi="Times New Roman" w:cs="Times New Roman"/>
          <w:sz w:val="24"/>
          <w:szCs w:val="24"/>
        </w:rPr>
        <w:t>anoni</w:t>
      </w:r>
      <w:r w:rsidR="002C782B" w:rsidRPr="0015098B">
        <w:rPr>
          <w:rFonts w:ascii="Times New Roman" w:hAnsi="Times New Roman" w:cs="Times New Roman"/>
          <w:sz w:val="24"/>
          <w:szCs w:val="24"/>
        </w:rPr>
        <w:t>mizację</w:t>
      </w:r>
      <w:proofErr w:type="spellEnd"/>
      <w:r w:rsidR="002C782B" w:rsidRPr="0015098B">
        <w:rPr>
          <w:rFonts w:ascii="Times New Roman" w:hAnsi="Times New Roman" w:cs="Times New Roman"/>
          <w:sz w:val="24"/>
          <w:szCs w:val="24"/>
        </w:rPr>
        <w:t xml:space="preserve"> danych adresowych. Pierwotne brzmienie tych przepisów zostało zmodyfikowane ustawą </w:t>
      </w:r>
      <w:r w:rsidR="002C782B" w:rsidRPr="0015098B">
        <w:rPr>
          <w:rFonts w:ascii="Times New Roman" w:hAnsi="Times New Roman" w:cs="Times New Roman"/>
          <w:color w:val="000000"/>
          <w:sz w:val="24"/>
          <w:szCs w:val="24"/>
        </w:rPr>
        <w:t>ustawy o zmianie ustawy - Kodeks postępowania karnego oraz niektórych innych ustaw z dnia 11 marca 2016 r., jednakże nie zmieniła ona zasadniczo idei gwarantującej ochronę danych osób uczestniczących w post</w:t>
      </w:r>
      <w:r w:rsidR="002C782B">
        <w:rPr>
          <w:rFonts w:ascii="Times New Roman" w:hAnsi="Times New Roman" w:cs="Times New Roman"/>
          <w:color w:val="000000"/>
          <w:sz w:val="24"/>
          <w:szCs w:val="24"/>
        </w:rPr>
        <w:t>ę</w:t>
      </w:r>
      <w:r w:rsidR="002C782B" w:rsidRPr="0015098B">
        <w:rPr>
          <w:rFonts w:ascii="Times New Roman" w:hAnsi="Times New Roman" w:cs="Times New Roman"/>
          <w:color w:val="000000"/>
          <w:sz w:val="24"/>
          <w:szCs w:val="24"/>
        </w:rPr>
        <w:t xml:space="preserve">powaniu karnym. </w:t>
      </w:r>
      <w:r w:rsidR="002C782B" w:rsidRPr="0015098B">
        <w:rPr>
          <w:rFonts w:ascii="Times New Roman" w:hAnsi="Times New Roman" w:cs="Times New Roman"/>
          <w:sz w:val="24"/>
          <w:szCs w:val="24"/>
        </w:rPr>
        <w:t xml:space="preserve">Powołane powyżej przepisy odnoszą się do zapewnienia ochrony osobom już występującym lub mającym być </w:t>
      </w:r>
      <w:r w:rsidR="002C782B">
        <w:rPr>
          <w:rFonts w:ascii="Times New Roman" w:hAnsi="Times New Roman" w:cs="Times New Roman"/>
          <w:sz w:val="24"/>
          <w:szCs w:val="24"/>
        </w:rPr>
        <w:t xml:space="preserve">uczestnikami </w:t>
      </w:r>
      <w:r w:rsidR="002C782B" w:rsidRPr="0015098B">
        <w:rPr>
          <w:rFonts w:ascii="Times New Roman" w:hAnsi="Times New Roman" w:cs="Times New Roman"/>
          <w:sz w:val="24"/>
          <w:szCs w:val="24"/>
        </w:rPr>
        <w:t>postępowania karnego</w:t>
      </w:r>
      <w:r w:rsidR="002C782B">
        <w:rPr>
          <w:rFonts w:ascii="Times New Roman" w:hAnsi="Times New Roman" w:cs="Times New Roman"/>
          <w:sz w:val="24"/>
          <w:szCs w:val="24"/>
        </w:rPr>
        <w:t>, a tym samym znajdą zastosowanie</w:t>
      </w:r>
      <w:r w:rsidR="002C782B" w:rsidRPr="0015098B">
        <w:rPr>
          <w:rFonts w:ascii="Times New Roman" w:hAnsi="Times New Roman" w:cs="Times New Roman"/>
          <w:sz w:val="24"/>
          <w:szCs w:val="24"/>
        </w:rPr>
        <w:t xml:space="preserve"> do osób zgłaszających o podejrzeniu popełnienia przestępstwa. </w:t>
      </w:r>
    </w:p>
    <w:p w:rsidR="002C782B" w:rsidRPr="009523B3" w:rsidRDefault="00192B16" w:rsidP="00192B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Natomiast w</w:t>
      </w:r>
      <w:r w:rsidR="009523B3">
        <w:rPr>
          <w:rFonts w:ascii="Times New Roman" w:hAnsi="Times New Roman" w:cs="Times New Roman"/>
          <w:sz w:val="24"/>
          <w:szCs w:val="24"/>
        </w:rPr>
        <w:t xml:space="preserve"> odniesieniu do problematyki odpowiedzialności osób prawnych za przest</w:t>
      </w:r>
      <w:r>
        <w:rPr>
          <w:rFonts w:ascii="Times New Roman" w:hAnsi="Times New Roman" w:cs="Times New Roman"/>
          <w:sz w:val="24"/>
          <w:szCs w:val="24"/>
        </w:rPr>
        <w:t>ępstwa korupcyjne</w:t>
      </w:r>
      <w:r w:rsidR="009523B3" w:rsidRPr="009523B3">
        <w:rPr>
          <w:rFonts w:ascii="Times New Roman" w:hAnsi="Times New Roman" w:cs="Times New Roman"/>
          <w:sz w:val="24"/>
          <w:szCs w:val="24"/>
        </w:rPr>
        <w:t xml:space="preserve"> </w:t>
      </w:r>
      <w:r w:rsidR="00F6406B">
        <w:rPr>
          <w:rFonts w:ascii="Times New Roman" w:hAnsi="Times New Roman" w:cs="Times New Roman"/>
          <w:sz w:val="24"/>
          <w:szCs w:val="24"/>
        </w:rPr>
        <w:t>wskazać należy, iż p</w:t>
      </w:r>
      <w:r w:rsidR="002C782B" w:rsidRPr="009523B3">
        <w:rPr>
          <w:rFonts w:ascii="Times New Roman" w:hAnsi="Times New Roman" w:cs="Times New Roman"/>
          <w:sz w:val="24"/>
          <w:szCs w:val="24"/>
        </w:rPr>
        <w:t xml:space="preserve">rojekt </w:t>
      </w:r>
      <w:r w:rsidR="00F6406B">
        <w:rPr>
          <w:rFonts w:ascii="Times New Roman" w:hAnsi="Times New Roman" w:cs="Times New Roman"/>
          <w:sz w:val="24"/>
          <w:szCs w:val="24"/>
        </w:rPr>
        <w:t xml:space="preserve">zmian legislacyjnych w tym zakresie </w:t>
      </w:r>
      <w:r w:rsidR="002C782B" w:rsidRPr="009523B3">
        <w:rPr>
          <w:rFonts w:ascii="Times New Roman" w:hAnsi="Times New Roman" w:cs="Times New Roman"/>
          <w:sz w:val="24"/>
          <w:szCs w:val="24"/>
        </w:rPr>
        <w:t xml:space="preserve">stanowić </w:t>
      </w:r>
      <w:r w:rsidR="009523B3" w:rsidRPr="009523B3">
        <w:rPr>
          <w:rFonts w:ascii="Times New Roman" w:hAnsi="Times New Roman" w:cs="Times New Roman"/>
          <w:sz w:val="24"/>
          <w:szCs w:val="24"/>
        </w:rPr>
        <w:t>będzie</w:t>
      </w:r>
      <w:r w:rsidR="002C782B" w:rsidRPr="009523B3">
        <w:rPr>
          <w:rFonts w:ascii="Times New Roman" w:hAnsi="Times New Roman" w:cs="Times New Roman"/>
          <w:sz w:val="24"/>
          <w:szCs w:val="24"/>
        </w:rPr>
        <w:t xml:space="preserve"> kolejny, trzeci etap tworzenia skutecznych narzędzi do walki z </w:t>
      </w:r>
      <w:r w:rsidR="009523B3" w:rsidRPr="009523B3">
        <w:rPr>
          <w:rFonts w:ascii="Times New Roman" w:hAnsi="Times New Roman" w:cs="Times New Roman"/>
          <w:sz w:val="24"/>
          <w:szCs w:val="24"/>
        </w:rPr>
        <w:t>przestępczością</w:t>
      </w:r>
      <w:r w:rsidR="002C782B" w:rsidRPr="009523B3">
        <w:rPr>
          <w:rFonts w:ascii="Times New Roman" w:hAnsi="Times New Roman" w:cs="Times New Roman"/>
          <w:sz w:val="24"/>
          <w:szCs w:val="24"/>
        </w:rPr>
        <w:t>. Pierwszy</w:t>
      </w:r>
      <w:r w:rsidR="00F6406B">
        <w:rPr>
          <w:rFonts w:ascii="Times New Roman" w:hAnsi="Times New Roman" w:cs="Times New Roman"/>
          <w:sz w:val="24"/>
          <w:szCs w:val="24"/>
        </w:rPr>
        <w:t xml:space="preserve"> etap stanowi</w:t>
      </w:r>
      <w:r w:rsidR="002C782B" w:rsidRPr="009523B3">
        <w:rPr>
          <w:rFonts w:ascii="Times New Roman" w:hAnsi="Times New Roman" w:cs="Times New Roman"/>
          <w:sz w:val="24"/>
          <w:szCs w:val="24"/>
        </w:rPr>
        <w:t xml:space="preserve"> implementacja dyrektywy Parlamentu Europejskiego i Rady 2014/42/UE w sprawie zabezpieczenia i konfiskaty narzędzi służących do popełnienia przestępstwa i korzyści pochodzących z przestępstwa w Unii Europejskiej. Drugi </w:t>
      </w:r>
      <w:r w:rsidR="00EB3EB7">
        <w:rPr>
          <w:rFonts w:ascii="Times New Roman" w:hAnsi="Times New Roman" w:cs="Times New Roman"/>
          <w:sz w:val="24"/>
          <w:szCs w:val="24"/>
        </w:rPr>
        <w:t>etap</w:t>
      </w:r>
      <w:r w:rsidR="00F6406B">
        <w:rPr>
          <w:rFonts w:ascii="Times New Roman" w:hAnsi="Times New Roman" w:cs="Times New Roman"/>
          <w:sz w:val="24"/>
          <w:szCs w:val="24"/>
        </w:rPr>
        <w:t xml:space="preserve"> </w:t>
      </w:r>
      <w:r w:rsidR="002C782B" w:rsidRPr="009523B3">
        <w:rPr>
          <w:rFonts w:ascii="Times New Roman" w:hAnsi="Times New Roman" w:cs="Times New Roman"/>
          <w:sz w:val="24"/>
          <w:szCs w:val="24"/>
        </w:rPr>
        <w:t>to proj</w:t>
      </w:r>
      <w:r w:rsidR="00F6406B">
        <w:rPr>
          <w:rFonts w:ascii="Times New Roman" w:hAnsi="Times New Roman" w:cs="Times New Roman"/>
          <w:sz w:val="24"/>
          <w:szCs w:val="24"/>
        </w:rPr>
        <w:t>ekt dotyczący konfiskaty in rem</w:t>
      </w:r>
      <w:r w:rsidR="002C782B" w:rsidRPr="009523B3">
        <w:rPr>
          <w:rFonts w:ascii="Times New Roman" w:hAnsi="Times New Roman" w:cs="Times New Roman"/>
          <w:sz w:val="24"/>
          <w:szCs w:val="24"/>
        </w:rPr>
        <w:t xml:space="preserve">. </w:t>
      </w:r>
      <w:r w:rsidR="00EB3EB7">
        <w:rPr>
          <w:rFonts w:ascii="Times New Roman" w:hAnsi="Times New Roman" w:cs="Times New Roman"/>
          <w:sz w:val="24"/>
          <w:szCs w:val="24"/>
        </w:rPr>
        <w:t xml:space="preserve">Natomiast w trzecim etapie </w:t>
      </w:r>
      <w:r w:rsidR="008027D2">
        <w:rPr>
          <w:rFonts w:ascii="Times New Roman" w:hAnsi="Times New Roman" w:cs="Times New Roman"/>
          <w:sz w:val="24"/>
          <w:szCs w:val="24"/>
        </w:rPr>
        <w:t xml:space="preserve">planuje się przeprowadzenie zmian </w:t>
      </w:r>
      <w:r w:rsidR="00EB3EB7">
        <w:rPr>
          <w:rFonts w:ascii="Times New Roman" w:hAnsi="Times New Roman" w:cs="Times New Roman"/>
          <w:sz w:val="24"/>
          <w:szCs w:val="24"/>
        </w:rPr>
        <w:t xml:space="preserve">w </w:t>
      </w:r>
      <w:r w:rsidRPr="009523B3">
        <w:rPr>
          <w:rFonts w:ascii="Times New Roman" w:hAnsi="Times New Roman" w:cs="Times New Roman"/>
          <w:sz w:val="24"/>
          <w:szCs w:val="24"/>
        </w:rPr>
        <w:t>zakresie odpowiedzialności osób prawnych za czyny zabronione pod groźb</w:t>
      </w:r>
      <w:r>
        <w:rPr>
          <w:rFonts w:ascii="Times New Roman" w:hAnsi="Times New Roman" w:cs="Times New Roman"/>
          <w:sz w:val="24"/>
          <w:szCs w:val="24"/>
        </w:rPr>
        <w:t>ą kary</w:t>
      </w:r>
      <w:r w:rsidR="008027D2">
        <w:rPr>
          <w:rFonts w:ascii="Times New Roman" w:hAnsi="Times New Roman" w:cs="Times New Roman"/>
          <w:sz w:val="24"/>
          <w:szCs w:val="24"/>
        </w:rPr>
        <w:t>.</w:t>
      </w:r>
      <w:r>
        <w:rPr>
          <w:rFonts w:ascii="Times New Roman" w:hAnsi="Times New Roman" w:cs="Times New Roman"/>
          <w:sz w:val="24"/>
          <w:szCs w:val="24"/>
        </w:rPr>
        <w:t xml:space="preserve"> </w:t>
      </w:r>
      <w:r w:rsidR="008027D2">
        <w:rPr>
          <w:rFonts w:ascii="Times New Roman" w:hAnsi="Times New Roman" w:cs="Times New Roman"/>
          <w:sz w:val="24"/>
          <w:szCs w:val="24"/>
        </w:rPr>
        <w:t>T</w:t>
      </w:r>
      <w:r w:rsidR="002C782B" w:rsidRPr="009523B3">
        <w:rPr>
          <w:rFonts w:ascii="Times New Roman" w:hAnsi="Times New Roman" w:cs="Times New Roman"/>
          <w:sz w:val="24"/>
          <w:szCs w:val="24"/>
        </w:rPr>
        <w:t xml:space="preserve">rwają </w:t>
      </w:r>
      <w:r w:rsidR="008027D2">
        <w:rPr>
          <w:rFonts w:ascii="Times New Roman" w:hAnsi="Times New Roman" w:cs="Times New Roman"/>
          <w:sz w:val="24"/>
          <w:szCs w:val="24"/>
        </w:rPr>
        <w:t>obecnie</w:t>
      </w:r>
      <w:r w:rsidR="008027D2" w:rsidRPr="009523B3">
        <w:rPr>
          <w:rFonts w:ascii="Times New Roman" w:hAnsi="Times New Roman" w:cs="Times New Roman"/>
          <w:sz w:val="24"/>
          <w:szCs w:val="24"/>
        </w:rPr>
        <w:t xml:space="preserve"> prace</w:t>
      </w:r>
      <w:r w:rsidR="002C782B" w:rsidRPr="009523B3">
        <w:rPr>
          <w:rFonts w:ascii="Times New Roman" w:hAnsi="Times New Roman" w:cs="Times New Roman"/>
          <w:sz w:val="24"/>
          <w:szCs w:val="24"/>
        </w:rPr>
        <w:t xml:space="preserve"> koncepcyjne nad projektem </w:t>
      </w:r>
      <w:r w:rsidR="008027D2">
        <w:rPr>
          <w:rFonts w:ascii="Times New Roman" w:hAnsi="Times New Roman" w:cs="Times New Roman"/>
          <w:sz w:val="24"/>
          <w:szCs w:val="24"/>
        </w:rPr>
        <w:t xml:space="preserve">ustawy mającej na celu </w:t>
      </w:r>
      <w:r w:rsidR="002C782B" w:rsidRPr="009523B3">
        <w:rPr>
          <w:rFonts w:ascii="Times New Roman" w:hAnsi="Times New Roman" w:cs="Times New Roman"/>
          <w:sz w:val="24"/>
          <w:szCs w:val="24"/>
        </w:rPr>
        <w:t>przemode</w:t>
      </w:r>
      <w:r w:rsidR="008027D2">
        <w:rPr>
          <w:rFonts w:ascii="Times New Roman" w:hAnsi="Times New Roman" w:cs="Times New Roman"/>
          <w:sz w:val="24"/>
          <w:szCs w:val="24"/>
        </w:rPr>
        <w:t>lowanie</w:t>
      </w:r>
      <w:r w:rsidR="00F6406B">
        <w:rPr>
          <w:rFonts w:ascii="Times New Roman" w:hAnsi="Times New Roman" w:cs="Times New Roman"/>
          <w:sz w:val="24"/>
          <w:szCs w:val="24"/>
        </w:rPr>
        <w:t xml:space="preserve"> obowiązującego systemu</w:t>
      </w:r>
      <w:r w:rsidR="008027D2">
        <w:rPr>
          <w:rFonts w:ascii="Times New Roman" w:hAnsi="Times New Roman" w:cs="Times New Roman"/>
          <w:sz w:val="24"/>
          <w:szCs w:val="24"/>
        </w:rPr>
        <w:t xml:space="preserve"> odpowiedzialności osób prawnych</w:t>
      </w:r>
      <w:r w:rsidR="00F6406B">
        <w:rPr>
          <w:rFonts w:ascii="Times New Roman" w:hAnsi="Times New Roman" w:cs="Times New Roman"/>
          <w:sz w:val="24"/>
          <w:szCs w:val="24"/>
        </w:rPr>
        <w:t xml:space="preserve">. </w:t>
      </w:r>
      <w:r w:rsidR="002C782B" w:rsidRPr="009523B3">
        <w:rPr>
          <w:rFonts w:ascii="Times New Roman" w:hAnsi="Times New Roman" w:cs="Times New Roman"/>
          <w:sz w:val="24"/>
          <w:szCs w:val="24"/>
        </w:rPr>
        <w:t>W założeniu</w:t>
      </w:r>
      <w:r w:rsidR="00F6406B">
        <w:rPr>
          <w:rFonts w:ascii="Times New Roman" w:hAnsi="Times New Roman" w:cs="Times New Roman"/>
          <w:sz w:val="24"/>
          <w:szCs w:val="24"/>
        </w:rPr>
        <w:t xml:space="preserve"> </w:t>
      </w:r>
      <w:r w:rsidR="008027D2">
        <w:rPr>
          <w:rFonts w:ascii="Times New Roman" w:hAnsi="Times New Roman" w:cs="Times New Roman"/>
          <w:sz w:val="24"/>
          <w:szCs w:val="24"/>
        </w:rPr>
        <w:t xml:space="preserve">projekt ten </w:t>
      </w:r>
      <w:r w:rsidR="00F6406B">
        <w:rPr>
          <w:rFonts w:ascii="Times New Roman" w:hAnsi="Times New Roman" w:cs="Times New Roman"/>
          <w:sz w:val="24"/>
          <w:szCs w:val="24"/>
        </w:rPr>
        <w:t xml:space="preserve">ma </w:t>
      </w:r>
      <w:r w:rsidR="002C782B" w:rsidRPr="009523B3">
        <w:rPr>
          <w:rFonts w:ascii="Times New Roman" w:hAnsi="Times New Roman" w:cs="Times New Roman"/>
          <w:sz w:val="24"/>
          <w:szCs w:val="24"/>
        </w:rPr>
        <w:t> uwzględni</w:t>
      </w:r>
      <w:r w:rsidR="00F6406B">
        <w:rPr>
          <w:rFonts w:ascii="Times New Roman" w:hAnsi="Times New Roman" w:cs="Times New Roman"/>
          <w:sz w:val="24"/>
          <w:szCs w:val="24"/>
        </w:rPr>
        <w:t>ć</w:t>
      </w:r>
      <w:r w:rsidR="002C782B" w:rsidRPr="009523B3">
        <w:rPr>
          <w:rFonts w:ascii="Times New Roman" w:hAnsi="Times New Roman" w:cs="Times New Roman"/>
          <w:sz w:val="24"/>
          <w:szCs w:val="24"/>
        </w:rPr>
        <w:t xml:space="preserve"> szereg </w:t>
      </w:r>
      <w:r w:rsidR="002C782B" w:rsidRPr="009523B3">
        <w:rPr>
          <w:rFonts w:ascii="Times New Roman" w:hAnsi="Times New Roman" w:cs="Times New Roman"/>
          <w:sz w:val="24"/>
          <w:szCs w:val="24"/>
        </w:rPr>
        <w:lastRenderedPageBreak/>
        <w:t xml:space="preserve">rekomendacji wysuwanych wobec Polski względem obowiązujących przepisów ustawy o podmiotach zbiorowych. Planuje </w:t>
      </w:r>
      <w:r w:rsidRPr="009523B3">
        <w:rPr>
          <w:rFonts w:ascii="Times New Roman" w:hAnsi="Times New Roman" w:cs="Times New Roman"/>
          <w:sz w:val="24"/>
          <w:szCs w:val="24"/>
        </w:rPr>
        <w:t>się</w:t>
      </w:r>
      <w:r w:rsidR="002C782B" w:rsidRPr="009523B3">
        <w:rPr>
          <w:rFonts w:ascii="Times New Roman" w:hAnsi="Times New Roman" w:cs="Times New Roman"/>
          <w:sz w:val="24"/>
          <w:szCs w:val="24"/>
        </w:rPr>
        <w:t xml:space="preserve"> m.in. wprowadz</w:t>
      </w:r>
      <w:r w:rsidR="00F6406B">
        <w:rPr>
          <w:rFonts w:ascii="Times New Roman" w:hAnsi="Times New Roman" w:cs="Times New Roman"/>
          <w:sz w:val="24"/>
          <w:szCs w:val="24"/>
        </w:rPr>
        <w:t>enie</w:t>
      </w:r>
      <w:r w:rsidR="002C782B" w:rsidRPr="009523B3">
        <w:rPr>
          <w:rFonts w:ascii="Times New Roman" w:hAnsi="Times New Roman" w:cs="Times New Roman"/>
          <w:sz w:val="24"/>
          <w:szCs w:val="24"/>
        </w:rPr>
        <w:t xml:space="preserve"> rozwiązania, które pozwol</w:t>
      </w:r>
      <w:r w:rsidR="00F6406B">
        <w:rPr>
          <w:rFonts w:ascii="Times New Roman" w:hAnsi="Times New Roman" w:cs="Times New Roman"/>
          <w:sz w:val="24"/>
          <w:szCs w:val="24"/>
        </w:rPr>
        <w:t>i</w:t>
      </w:r>
      <w:r w:rsidR="002C782B" w:rsidRPr="009523B3">
        <w:rPr>
          <w:rFonts w:ascii="Times New Roman" w:hAnsi="Times New Roman" w:cs="Times New Roman"/>
          <w:sz w:val="24"/>
          <w:szCs w:val="24"/>
        </w:rPr>
        <w:t xml:space="preserve"> na pociągnięcie osoby prawnej do odpowiedzialności niezależnie od odpowiedzialności osoby fizycznej, na przeprowadzenie pełnego postepowania dowodowego wobec osoby prawnej, </w:t>
      </w:r>
      <w:r w:rsidR="00F6406B">
        <w:rPr>
          <w:rFonts w:ascii="Times New Roman" w:hAnsi="Times New Roman" w:cs="Times New Roman"/>
          <w:sz w:val="24"/>
          <w:szCs w:val="24"/>
        </w:rPr>
        <w:t xml:space="preserve">oraz </w:t>
      </w:r>
      <w:r w:rsidR="002C782B" w:rsidRPr="009523B3">
        <w:rPr>
          <w:rFonts w:ascii="Times New Roman" w:hAnsi="Times New Roman" w:cs="Times New Roman"/>
          <w:sz w:val="24"/>
          <w:szCs w:val="24"/>
        </w:rPr>
        <w:t>zaostrzenie kar</w:t>
      </w:r>
      <w:r w:rsidR="00F6406B">
        <w:rPr>
          <w:rFonts w:ascii="Times New Roman" w:hAnsi="Times New Roman" w:cs="Times New Roman"/>
          <w:sz w:val="24"/>
          <w:szCs w:val="24"/>
        </w:rPr>
        <w:t xml:space="preserve"> wobec takich osób</w:t>
      </w:r>
      <w:r w:rsidR="002C782B" w:rsidRPr="009523B3">
        <w:rPr>
          <w:rFonts w:ascii="Times New Roman" w:hAnsi="Times New Roman" w:cs="Times New Roman"/>
          <w:sz w:val="24"/>
          <w:szCs w:val="24"/>
        </w:rPr>
        <w:t>. </w:t>
      </w:r>
    </w:p>
    <w:p w:rsidR="00EB3EB7" w:rsidRDefault="008027D2" w:rsidP="00EB3EB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Ponadto </w:t>
      </w:r>
      <w:r w:rsidR="00EB3EB7" w:rsidRPr="0065592B">
        <w:rPr>
          <w:rFonts w:ascii="Times New Roman" w:hAnsi="Times New Roman" w:cs="Times New Roman"/>
          <w:sz w:val="24"/>
          <w:szCs w:val="24"/>
        </w:rPr>
        <w:t>Generalny Inspektor Informacji Finansowej podjął prace nad przygotowaniem ustawy o centralnym rejestrze rachunków bankowych. Projekt ustawy opracowany w Ministerstwie Finansów znajduje się w trakcie procesu legislacyjnego. Jednocześnie trwają prace nad przygotowaniem zmian ustawy o przeciwdziałaniu praniu pieni</w:t>
      </w:r>
      <w:r w:rsidR="00EB3EB7">
        <w:rPr>
          <w:rFonts w:ascii="Times New Roman" w:hAnsi="Times New Roman" w:cs="Times New Roman"/>
          <w:sz w:val="24"/>
          <w:szCs w:val="24"/>
        </w:rPr>
        <w:t>ędzy i finansowaniu terroryzmu</w:t>
      </w:r>
      <w:r w:rsidR="00EB3EB7" w:rsidRPr="0065592B">
        <w:rPr>
          <w:rFonts w:ascii="Times New Roman" w:hAnsi="Times New Roman" w:cs="Times New Roman"/>
          <w:sz w:val="24"/>
          <w:szCs w:val="24"/>
        </w:rPr>
        <w:t xml:space="preserve">, która uwzględniać będzie także </w:t>
      </w:r>
      <w:r w:rsidR="00EB3EB7">
        <w:rPr>
          <w:rFonts w:ascii="Times New Roman" w:hAnsi="Times New Roman" w:cs="Times New Roman"/>
          <w:sz w:val="24"/>
          <w:szCs w:val="24"/>
        </w:rPr>
        <w:t xml:space="preserve">problematykę </w:t>
      </w:r>
      <w:r w:rsidR="00EB3EB7" w:rsidRPr="0065592B">
        <w:rPr>
          <w:rFonts w:ascii="Times New Roman" w:hAnsi="Times New Roman" w:cs="Times New Roman"/>
          <w:sz w:val="24"/>
          <w:szCs w:val="24"/>
        </w:rPr>
        <w:t xml:space="preserve">ochrony pracowników instytucji obowiązanej lub innych osób wykonujących czynności na rzecz instytucji obowiązanej, które w ramach wykonywanych zadań stwierdzą nieprawidłowości w realizacji obowiązków wynikających z ustawy </w:t>
      </w:r>
      <w:r w:rsidR="00EB3EB7">
        <w:rPr>
          <w:rFonts w:ascii="Times New Roman" w:hAnsi="Times New Roman" w:cs="Times New Roman"/>
          <w:sz w:val="24"/>
          <w:szCs w:val="24"/>
        </w:rPr>
        <w:t xml:space="preserve">o przeciwdziałaniu prania pieniędzy </w:t>
      </w:r>
      <w:r w:rsidR="00EB3EB7" w:rsidRPr="0065592B">
        <w:rPr>
          <w:rFonts w:ascii="Times New Roman" w:hAnsi="Times New Roman" w:cs="Times New Roman"/>
          <w:sz w:val="24"/>
          <w:szCs w:val="24"/>
        </w:rPr>
        <w:t>i powiadomią o tym fakcie GIIF.</w:t>
      </w:r>
    </w:p>
    <w:p w:rsidR="002D352E" w:rsidRPr="0065592B" w:rsidRDefault="002D352E" w:rsidP="00EB3EB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odniesieniu do problematyki współpracy międzynarodowej </w:t>
      </w:r>
      <w:r w:rsidR="001B1DAA">
        <w:rPr>
          <w:rFonts w:ascii="Times New Roman" w:hAnsi="Times New Roman" w:cs="Times New Roman"/>
          <w:sz w:val="24"/>
          <w:szCs w:val="24"/>
        </w:rPr>
        <w:t xml:space="preserve">w Ministerstwie Sprawiedliwości kontynuowane są </w:t>
      </w:r>
      <w:r>
        <w:rPr>
          <w:rFonts w:ascii="Times New Roman" w:hAnsi="Times New Roman" w:cs="Times New Roman"/>
          <w:sz w:val="24"/>
          <w:szCs w:val="24"/>
        </w:rPr>
        <w:t xml:space="preserve">prace nad rozwijaniem sieci dwustronnych umów o pomocy prawnej w sprawach karnych </w:t>
      </w:r>
      <w:r w:rsidR="001B1DAA">
        <w:rPr>
          <w:rFonts w:ascii="Times New Roman" w:hAnsi="Times New Roman" w:cs="Times New Roman"/>
          <w:sz w:val="24"/>
          <w:szCs w:val="24"/>
        </w:rPr>
        <w:t xml:space="preserve">i ekstradycji </w:t>
      </w:r>
      <w:r>
        <w:rPr>
          <w:rFonts w:ascii="Times New Roman" w:hAnsi="Times New Roman" w:cs="Times New Roman"/>
          <w:sz w:val="24"/>
          <w:szCs w:val="24"/>
        </w:rPr>
        <w:t xml:space="preserve">z państwami spoza Unii Europejskiej oraz niebędących stronami Europejskiej Konwencji o pomocy prawnej w sprawach karnych z 1959r. </w:t>
      </w:r>
      <w:r w:rsidR="001B1DAA">
        <w:rPr>
          <w:rFonts w:ascii="Times New Roman" w:hAnsi="Times New Roman" w:cs="Times New Roman"/>
          <w:sz w:val="24"/>
          <w:szCs w:val="24"/>
        </w:rPr>
        <w:t>(Peru, Indie, Argentyna, Ekwador, Zjednoczone Emiraty Arabskie).</w:t>
      </w:r>
    </w:p>
    <w:p w:rsidR="002C782B" w:rsidRDefault="002C782B" w:rsidP="002C782B">
      <w:pPr>
        <w:spacing w:line="360" w:lineRule="auto"/>
        <w:jc w:val="both"/>
        <w:rPr>
          <w:lang w:eastAsia="fr-BE"/>
        </w:rPr>
      </w:pPr>
    </w:p>
    <w:p w:rsidR="008F3B2F" w:rsidRDefault="008F3B2F" w:rsidP="004C61E2">
      <w:pPr>
        <w:spacing w:line="360" w:lineRule="auto"/>
        <w:ind w:firstLine="708"/>
        <w:jc w:val="both"/>
        <w:rPr>
          <w:rFonts w:ascii="Times New Roman" w:hAnsi="Times New Roman" w:cs="Times New Roman"/>
          <w:sz w:val="24"/>
          <w:szCs w:val="24"/>
        </w:rPr>
      </w:pPr>
    </w:p>
    <w:p w:rsidR="008F3B2F" w:rsidRDefault="008F3B2F" w:rsidP="004C61E2">
      <w:pPr>
        <w:spacing w:line="360" w:lineRule="auto"/>
        <w:ind w:firstLine="708"/>
        <w:jc w:val="both"/>
        <w:rPr>
          <w:rFonts w:ascii="Times New Roman" w:hAnsi="Times New Roman" w:cs="Times New Roman"/>
          <w:bCs/>
          <w:sz w:val="24"/>
          <w:szCs w:val="24"/>
        </w:rPr>
      </w:pPr>
    </w:p>
    <w:p w:rsidR="00771956" w:rsidRDefault="00771956" w:rsidP="00771956">
      <w:pPr>
        <w:spacing w:line="360" w:lineRule="auto"/>
        <w:ind w:left="4956" w:firstLine="708"/>
        <w:jc w:val="both"/>
        <w:rPr>
          <w:rFonts w:ascii="Times New Roman" w:hAnsi="Times New Roman" w:cs="Times New Roman"/>
          <w:i/>
          <w:sz w:val="24"/>
          <w:szCs w:val="24"/>
        </w:rPr>
      </w:pPr>
    </w:p>
    <w:p w:rsidR="00771956" w:rsidRDefault="00771956" w:rsidP="00771956">
      <w:pPr>
        <w:spacing w:line="360" w:lineRule="auto"/>
        <w:ind w:left="4956" w:firstLine="708"/>
        <w:jc w:val="both"/>
        <w:rPr>
          <w:rFonts w:ascii="Times New Roman" w:hAnsi="Times New Roman" w:cs="Times New Roman"/>
          <w:i/>
          <w:sz w:val="24"/>
          <w:szCs w:val="24"/>
        </w:rPr>
      </w:pPr>
    </w:p>
    <w:p w:rsidR="004C61E2" w:rsidRPr="00F62243" w:rsidRDefault="004C61E2" w:rsidP="004C61E2">
      <w:pPr>
        <w:jc w:val="both"/>
        <w:rPr>
          <w:rFonts w:ascii="Times New Roman" w:hAnsi="Times New Roman" w:cs="Times New Roman"/>
          <w:sz w:val="24"/>
          <w:szCs w:val="24"/>
        </w:rPr>
      </w:pPr>
    </w:p>
    <w:p w:rsidR="004C61E2" w:rsidRPr="00F62243" w:rsidRDefault="004C61E2" w:rsidP="004C61E2">
      <w:pPr>
        <w:jc w:val="both"/>
        <w:rPr>
          <w:rFonts w:ascii="Times New Roman" w:hAnsi="Times New Roman" w:cs="Times New Roman"/>
          <w:sz w:val="24"/>
          <w:szCs w:val="24"/>
        </w:rPr>
      </w:pPr>
    </w:p>
    <w:p w:rsidR="00771956" w:rsidRDefault="00771956" w:rsidP="004C61E2">
      <w:pPr>
        <w:jc w:val="both"/>
        <w:rPr>
          <w:rFonts w:ascii="Times New Roman" w:hAnsi="Times New Roman" w:cs="Times New Roman"/>
          <w:sz w:val="24"/>
          <w:szCs w:val="24"/>
          <w:u w:val="single"/>
        </w:rPr>
      </w:pPr>
    </w:p>
    <w:p w:rsidR="00771956" w:rsidRDefault="00771956" w:rsidP="004C61E2">
      <w:pPr>
        <w:jc w:val="both"/>
        <w:rPr>
          <w:rFonts w:ascii="Times New Roman" w:hAnsi="Times New Roman" w:cs="Times New Roman"/>
          <w:sz w:val="24"/>
          <w:szCs w:val="24"/>
          <w:u w:val="single"/>
        </w:rPr>
      </w:pPr>
    </w:p>
    <w:p w:rsidR="003E6EB4" w:rsidRPr="00362195" w:rsidRDefault="003E6EB4" w:rsidP="004C61E2">
      <w:pPr>
        <w:jc w:val="center"/>
        <w:outlineLvl w:val="0"/>
        <w:rPr>
          <w:sz w:val="20"/>
        </w:rPr>
      </w:pPr>
    </w:p>
    <w:sectPr w:rsidR="003E6EB4" w:rsidRPr="00362195" w:rsidSect="00096068">
      <w:headerReference w:type="even" r:id="rId8"/>
      <w:headerReference w:type="first" r:id="rId9"/>
      <w:pgSz w:w="11906" w:h="16838"/>
      <w:pgMar w:top="1843" w:right="1417" w:bottom="127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7DE" w:rsidRDefault="008137DE" w:rsidP="00A73A5C">
      <w:pPr>
        <w:spacing w:after="0" w:line="240" w:lineRule="auto"/>
      </w:pPr>
      <w:r>
        <w:separator/>
      </w:r>
    </w:p>
  </w:endnote>
  <w:endnote w:type="continuationSeparator" w:id="0">
    <w:p w:rsidR="008137DE" w:rsidRDefault="008137DE" w:rsidP="00A7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7DE" w:rsidRDefault="008137DE" w:rsidP="00A73A5C">
      <w:pPr>
        <w:spacing w:after="0" w:line="240" w:lineRule="auto"/>
      </w:pPr>
      <w:r>
        <w:separator/>
      </w:r>
    </w:p>
  </w:footnote>
  <w:footnote w:type="continuationSeparator" w:id="0">
    <w:p w:rsidR="008137DE" w:rsidRDefault="008137DE" w:rsidP="00A73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5C" w:rsidRDefault="008137DE">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4447" o:spid="_x0000_s2062" type="#_x0000_t75" style="position:absolute;margin-left:0;margin-top:0;width:595.2pt;height:841.9pt;z-index:-251657216;mso-position-horizontal:center;mso-position-horizontal-relative:margin;mso-position-vertical:center;mso-position-vertical-relative:margin" o:allowincell="f">
          <v:imagedata r:id="rId1" o:title="podkl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5C" w:rsidRDefault="008137DE">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4446" o:spid="_x0000_s2061" type="#_x0000_t75" style="position:absolute;margin-left:0;margin-top:0;width:595.2pt;height:841.9pt;z-index:-251658240;mso-position-horizontal:center;mso-position-horizontal-relative:margin;mso-position-vertical:center;mso-position-vertical-relative:margin" o:allowincell="f">
          <v:imagedata r:id="rId1" o:title="podkl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5C"/>
    <w:rsid w:val="00050333"/>
    <w:rsid w:val="00070EDE"/>
    <w:rsid w:val="00087246"/>
    <w:rsid w:val="00093D62"/>
    <w:rsid w:val="00096068"/>
    <w:rsid w:val="000B6F0B"/>
    <w:rsid w:val="000B7CA9"/>
    <w:rsid w:val="000D4D67"/>
    <w:rsid w:val="001105A3"/>
    <w:rsid w:val="00125359"/>
    <w:rsid w:val="00140625"/>
    <w:rsid w:val="001406A1"/>
    <w:rsid w:val="00151648"/>
    <w:rsid w:val="00176300"/>
    <w:rsid w:val="00192B16"/>
    <w:rsid w:val="001A09F7"/>
    <w:rsid w:val="001A567D"/>
    <w:rsid w:val="001B10FB"/>
    <w:rsid w:val="001B1DAA"/>
    <w:rsid w:val="001C7FD6"/>
    <w:rsid w:val="001F5261"/>
    <w:rsid w:val="00206DD6"/>
    <w:rsid w:val="00222697"/>
    <w:rsid w:val="00266445"/>
    <w:rsid w:val="002705EB"/>
    <w:rsid w:val="00280C58"/>
    <w:rsid w:val="00287DC4"/>
    <w:rsid w:val="002944D4"/>
    <w:rsid w:val="002C678E"/>
    <w:rsid w:val="002C782B"/>
    <w:rsid w:val="002C78EF"/>
    <w:rsid w:val="002D352E"/>
    <w:rsid w:val="003020D4"/>
    <w:rsid w:val="003404E6"/>
    <w:rsid w:val="00362195"/>
    <w:rsid w:val="00372CCF"/>
    <w:rsid w:val="00394429"/>
    <w:rsid w:val="00396955"/>
    <w:rsid w:val="003D14DF"/>
    <w:rsid w:val="003E036E"/>
    <w:rsid w:val="003E6EB4"/>
    <w:rsid w:val="004141C5"/>
    <w:rsid w:val="004423D9"/>
    <w:rsid w:val="00464960"/>
    <w:rsid w:val="004A316C"/>
    <w:rsid w:val="004A7770"/>
    <w:rsid w:val="004C61E2"/>
    <w:rsid w:val="004C7493"/>
    <w:rsid w:val="004F38AF"/>
    <w:rsid w:val="00536B97"/>
    <w:rsid w:val="0054402D"/>
    <w:rsid w:val="005538C5"/>
    <w:rsid w:val="00566824"/>
    <w:rsid w:val="005B4F18"/>
    <w:rsid w:val="005E719E"/>
    <w:rsid w:val="00624AE2"/>
    <w:rsid w:val="00633DCB"/>
    <w:rsid w:val="00641182"/>
    <w:rsid w:val="0065592B"/>
    <w:rsid w:val="00693A10"/>
    <w:rsid w:val="006D2725"/>
    <w:rsid w:val="006E35AA"/>
    <w:rsid w:val="006E7207"/>
    <w:rsid w:val="00737E87"/>
    <w:rsid w:val="00754640"/>
    <w:rsid w:val="00771956"/>
    <w:rsid w:val="00772E06"/>
    <w:rsid w:val="00790F59"/>
    <w:rsid w:val="007B141C"/>
    <w:rsid w:val="007B5AEA"/>
    <w:rsid w:val="008027D2"/>
    <w:rsid w:val="008052CB"/>
    <w:rsid w:val="008137DE"/>
    <w:rsid w:val="00814B59"/>
    <w:rsid w:val="00835A3F"/>
    <w:rsid w:val="00835F12"/>
    <w:rsid w:val="00857015"/>
    <w:rsid w:val="00881325"/>
    <w:rsid w:val="008A2100"/>
    <w:rsid w:val="008B0D0F"/>
    <w:rsid w:val="008F3B2F"/>
    <w:rsid w:val="008F57C8"/>
    <w:rsid w:val="00901AEB"/>
    <w:rsid w:val="009523B3"/>
    <w:rsid w:val="009565A4"/>
    <w:rsid w:val="009603A1"/>
    <w:rsid w:val="00970AD8"/>
    <w:rsid w:val="009818C4"/>
    <w:rsid w:val="009946A0"/>
    <w:rsid w:val="009C5D2E"/>
    <w:rsid w:val="009D0425"/>
    <w:rsid w:val="009D1D69"/>
    <w:rsid w:val="009D4076"/>
    <w:rsid w:val="009E2705"/>
    <w:rsid w:val="00A175BB"/>
    <w:rsid w:val="00A20FCE"/>
    <w:rsid w:val="00A73A5C"/>
    <w:rsid w:val="00A75684"/>
    <w:rsid w:val="00AA5D26"/>
    <w:rsid w:val="00AB1139"/>
    <w:rsid w:val="00AD1C82"/>
    <w:rsid w:val="00AD4AB6"/>
    <w:rsid w:val="00AE4058"/>
    <w:rsid w:val="00AE7318"/>
    <w:rsid w:val="00AF173E"/>
    <w:rsid w:val="00B01AF2"/>
    <w:rsid w:val="00B22AF8"/>
    <w:rsid w:val="00B268A7"/>
    <w:rsid w:val="00B276A1"/>
    <w:rsid w:val="00B46C7F"/>
    <w:rsid w:val="00B52899"/>
    <w:rsid w:val="00B52EFA"/>
    <w:rsid w:val="00B82E44"/>
    <w:rsid w:val="00B94E48"/>
    <w:rsid w:val="00BB6B55"/>
    <w:rsid w:val="00BD1CFB"/>
    <w:rsid w:val="00BE7272"/>
    <w:rsid w:val="00C04185"/>
    <w:rsid w:val="00C2127E"/>
    <w:rsid w:val="00C75D8D"/>
    <w:rsid w:val="00C806E8"/>
    <w:rsid w:val="00C8641C"/>
    <w:rsid w:val="00C96F25"/>
    <w:rsid w:val="00CA662D"/>
    <w:rsid w:val="00CB28B4"/>
    <w:rsid w:val="00CD0108"/>
    <w:rsid w:val="00CD2BD5"/>
    <w:rsid w:val="00CE6786"/>
    <w:rsid w:val="00D17748"/>
    <w:rsid w:val="00D64004"/>
    <w:rsid w:val="00D6459F"/>
    <w:rsid w:val="00D714FB"/>
    <w:rsid w:val="00DA6C65"/>
    <w:rsid w:val="00DB0007"/>
    <w:rsid w:val="00DB0D96"/>
    <w:rsid w:val="00DB2F87"/>
    <w:rsid w:val="00E07244"/>
    <w:rsid w:val="00E119B5"/>
    <w:rsid w:val="00E179D5"/>
    <w:rsid w:val="00E714EB"/>
    <w:rsid w:val="00E86191"/>
    <w:rsid w:val="00EB0567"/>
    <w:rsid w:val="00EB3EB7"/>
    <w:rsid w:val="00ED0CFA"/>
    <w:rsid w:val="00EE5EB7"/>
    <w:rsid w:val="00EF3922"/>
    <w:rsid w:val="00F0649A"/>
    <w:rsid w:val="00F06FDA"/>
    <w:rsid w:val="00F1049B"/>
    <w:rsid w:val="00F32D66"/>
    <w:rsid w:val="00F34A7F"/>
    <w:rsid w:val="00F448EF"/>
    <w:rsid w:val="00F46142"/>
    <w:rsid w:val="00F6383A"/>
    <w:rsid w:val="00F6406B"/>
    <w:rsid w:val="00F856CB"/>
    <w:rsid w:val="00FF14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0B7CA9"/>
    <w:pPr>
      <w:keepNext/>
      <w:spacing w:after="0" w:line="360" w:lineRule="auto"/>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semiHidden/>
    <w:unhideWhenUsed/>
    <w:qFormat/>
    <w:rsid w:val="000B7CA9"/>
    <w:pPr>
      <w:keepNext/>
      <w:spacing w:after="0" w:line="360" w:lineRule="auto"/>
      <w:outlineLvl w:val="1"/>
    </w:pPr>
    <w:rPr>
      <w:rFonts w:ascii="Garamond" w:eastAsia="Times New Roman" w:hAnsi="Garamond" w:cs="Times New Roman"/>
      <w:b/>
      <w:sz w:val="28"/>
      <w:szCs w:val="20"/>
    </w:rPr>
  </w:style>
  <w:style w:type="paragraph" w:styleId="Nagwek4">
    <w:name w:val="heading 4"/>
    <w:basedOn w:val="Normalny"/>
    <w:next w:val="Normalny"/>
    <w:link w:val="Nagwek4Znak"/>
    <w:semiHidden/>
    <w:unhideWhenUsed/>
    <w:qFormat/>
    <w:rsid w:val="000B7CA9"/>
    <w:pPr>
      <w:keepNext/>
      <w:spacing w:after="0" w:line="240" w:lineRule="auto"/>
      <w:outlineLvl w:val="3"/>
    </w:pPr>
    <w:rPr>
      <w:rFonts w:ascii="Arial" w:eastAsia="Times New Roman" w:hAnsi="Arial" w:cs="Times New Roman"/>
      <w:b/>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A73A5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73A5C"/>
  </w:style>
  <w:style w:type="paragraph" w:styleId="Stopka">
    <w:name w:val="footer"/>
    <w:basedOn w:val="Normalny"/>
    <w:link w:val="StopkaZnak"/>
    <w:uiPriority w:val="99"/>
    <w:semiHidden/>
    <w:unhideWhenUsed/>
    <w:rsid w:val="00A73A5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73A5C"/>
  </w:style>
  <w:style w:type="paragraph" w:customStyle="1" w:styleId="Tekstblokowy1">
    <w:name w:val="Tekst blokowy1"/>
    <w:basedOn w:val="Normalny"/>
    <w:rsid w:val="00093D62"/>
    <w:pPr>
      <w:spacing w:after="0" w:line="240" w:lineRule="auto"/>
      <w:ind w:left="709" w:right="963"/>
    </w:pPr>
    <w:rPr>
      <w:rFonts w:ascii="Times New Roman" w:eastAsia="Times New Roman" w:hAnsi="Times New Roman" w:cs="Times New Roman"/>
      <w:sz w:val="24"/>
      <w:szCs w:val="20"/>
    </w:rPr>
  </w:style>
  <w:style w:type="character" w:styleId="Hipercze">
    <w:name w:val="Hyperlink"/>
    <w:basedOn w:val="Domylnaczcionkaakapitu"/>
    <w:uiPriority w:val="99"/>
    <w:unhideWhenUsed/>
    <w:rsid w:val="00F6383A"/>
    <w:rPr>
      <w:color w:val="0000FF" w:themeColor="hyperlink"/>
      <w:u w:val="single"/>
    </w:rPr>
  </w:style>
  <w:style w:type="paragraph" w:customStyle="1" w:styleId="Tekstblokowy2">
    <w:name w:val="Tekst blokowy2"/>
    <w:basedOn w:val="Normalny"/>
    <w:rsid w:val="007B141C"/>
    <w:pPr>
      <w:spacing w:after="0" w:line="240" w:lineRule="auto"/>
      <w:ind w:left="709" w:right="963"/>
    </w:pPr>
    <w:rPr>
      <w:rFonts w:ascii="Times New Roman" w:eastAsia="Times New Roman" w:hAnsi="Times New Roman" w:cs="Times New Roman"/>
      <w:sz w:val="24"/>
      <w:szCs w:val="20"/>
    </w:rPr>
  </w:style>
  <w:style w:type="paragraph" w:styleId="Tekstpodstawowy">
    <w:name w:val="Body Text"/>
    <w:basedOn w:val="Normalny"/>
    <w:link w:val="TekstpodstawowyZnak"/>
    <w:rsid w:val="00D714FB"/>
    <w:pPr>
      <w:spacing w:after="0" w:line="360" w:lineRule="auto"/>
      <w:ind w:right="396"/>
      <w:jc w:val="both"/>
    </w:pPr>
    <w:rPr>
      <w:rFonts w:ascii="Arial" w:eastAsia="Times New Roman" w:hAnsi="Arial" w:cs="Times New Roman"/>
      <w:szCs w:val="20"/>
    </w:rPr>
  </w:style>
  <w:style w:type="character" w:customStyle="1" w:styleId="TekstpodstawowyZnak">
    <w:name w:val="Tekst podstawowy Znak"/>
    <w:basedOn w:val="Domylnaczcionkaakapitu"/>
    <w:link w:val="Tekstpodstawowy"/>
    <w:rsid w:val="00D714FB"/>
    <w:rPr>
      <w:rFonts w:ascii="Arial" w:eastAsia="Times New Roman" w:hAnsi="Arial" w:cs="Times New Roman"/>
      <w:szCs w:val="20"/>
    </w:rPr>
  </w:style>
  <w:style w:type="character" w:customStyle="1" w:styleId="Nagwek1Znak">
    <w:name w:val="Nagłówek 1 Znak"/>
    <w:basedOn w:val="Domylnaczcionkaakapitu"/>
    <w:link w:val="Nagwek1"/>
    <w:rsid w:val="000B7CA9"/>
    <w:rPr>
      <w:rFonts w:ascii="Times New Roman" w:eastAsia="Times New Roman" w:hAnsi="Times New Roman" w:cs="Times New Roman"/>
      <w:sz w:val="24"/>
      <w:szCs w:val="20"/>
    </w:rPr>
  </w:style>
  <w:style w:type="character" w:customStyle="1" w:styleId="Nagwek2Znak">
    <w:name w:val="Nagłówek 2 Znak"/>
    <w:basedOn w:val="Domylnaczcionkaakapitu"/>
    <w:link w:val="Nagwek2"/>
    <w:semiHidden/>
    <w:rsid w:val="000B7CA9"/>
    <w:rPr>
      <w:rFonts w:ascii="Garamond" w:eastAsia="Times New Roman" w:hAnsi="Garamond" w:cs="Times New Roman"/>
      <w:b/>
      <w:sz w:val="28"/>
      <w:szCs w:val="20"/>
    </w:rPr>
  </w:style>
  <w:style w:type="character" w:customStyle="1" w:styleId="Nagwek4Znak">
    <w:name w:val="Nagłówek 4 Znak"/>
    <w:basedOn w:val="Domylnaczcionkaakapitu"/>
    <w:link w:val="Nagwek4"/>
    <w:semiHidden/>
    <w:rsid w:val="000B7CA9"/>
    <w:rPr>
      <w:rFonts w:ascii="Arial" w:eastAsia="Times New Roman" w:hAnsi="Arial" w:cs="Times New Roman"/>
      <w:b/>
      <w:sz w:val="26"/>
      <w:szCs w:val="20"/>
    </w:rPr>
  </w:style>
  <w:style w:type="paragraph" w:customStyle="1" w:styleId="Tekstblokowy3">
    <w:name w:val="Tekst blokowy3"/>
    <w:basedOn w:val="Normalny"/>
    <w:rsid w:val="000B7CA9"/>
    <w:pPr>
      <w:spacing w:after="0" w:line="240" w:lineRule="auto"/>
      <w:ind w:left="709" w:right="963"/>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C806E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06E8"/>
    <w:rPr>
      <w:sz w:val="20"/>
      <w:szCs w:val="20"/>
    </w:rPr>
  </w:style>
  <w:style w:type="character" w:styleId="Odwoanieprzypisukocowego">
    <w:name w:val="endnote reference"/>
    <w:basedOn w:val="Domylnaczcionkaakapitu"/>
    <w:uiPriority w:val="99"/>
    <w:semiHidden/>
    <w:unhideWhenUsed/>
    <w:rsid w:val="00C806E8"/>
    <w:rPr>
      <w:vertAlign w:val="superscript"/>
    </w:rPr>
  </w:style>
  <w:style w:type="paragraph" w:customStyle="1" w:styleId="Default">
    <w:name w:val="Default"/>
    <w:rsid w:val="001A09F7"/>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rsid w:val="00362195"/>
    <w:pPr>
      <w:spacing w:before="100" w:beforeAutospacing="1" w:after="100" w:afterAutospacing="1" w:line="240" w:lineRule="auto"/>
    </w:pPr>
    <w:rPr>
      <w:rFonts w:ascii="Verdana" w:eastAsia="Times New Roman" w:hAnsi="Verdana" w:cs="Times New Roman"/>
      <w:sz w:val="15"/>
      <w:szCs w:val="15"/>
    </w:rPr>
  </w:style>
  <w:style w:type="character" w:styleId="Uwydatnienie">
    <w:name w:val="Emphasis"/>
    <w:basedOn w:val="Domylnaczcionkaakapitu"/>
    <w:uiPriority w:val="20"/>
    <w:qFormat/>
    <w:rsid w:val="002C78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0B7CA9"/>
    <w:pPr>
      <w:keepNext/>
      <w:spacing w:after="0" w:line="360" w:lineRule="auto"/>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semiHidden/>
    <w:unhideWhenUsed/>
    <w:qFormat/>
    <w:rsid w:val="000B7CA9"/>
    <w:pPr>
      <w:keepNext/>
      <w:spacing w:after="0" w:line="360" w:lineRule="auto"/>
      <w:outlineLvl w:val="1"/>
    </w:pPr>
    <w:rPr>
      <w:rFonts w:ascii="Garamond" w:eastAsia="Times New Roman" w:hAnsi="Garamond" w:cs="Times New Roman"/>
      <w:b/>
      <w:sz w:val="28"/>
      <w:szCs w:val="20"/>
    </w:rPr>
  </w:style>
  <w:style w:type="paragraph" w:styleId="Nagwek4">
    <w:name w:val="heading 4"/>
    <w:basedOn w:val="Normalny"/>
    <w:next w:val="Normalny"/>
    <w:link w:val="Nagwek4Znak"/>
    <w:semiHidden/>
    <w:unhideWhenUsed/>
    <w:qFormat/>
    <w:rsid w:val="000B7CA9"/>
    <w:pPr>
      <w:keepNext/>
      <w:spacing w:after="0" w:line="240" w:lineRule="auto"/>
      <w:outlineLvl w:val="3"/>
    </w:pPr>
    <w:rPr>
      <w:rFonts w:ascii="Arial" w:eastAsia="Times New Roman" w:hAnsi="Arial" w:cs="Times New Roman"/>
      <w:b/>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A73A5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73A5C"/>
  </w:style>
  <w:style w:type="paragraph" w:styleId="Stopka">
    <w:name w:val="footer"/>
    <w:basedOn w:val="Normalny"/>
    <w:link w:val="StopkaZnak"/>
    <w:uiPriority w:val="99"/>
    <w:semiHidden/>
    <w:unhideWhenUsed/>
    <w:rsid w:val="00A73A5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73A5C"/>
  </w:style>
  <w:style w:type="paragraph" w:customStyle="1" w:styleId="Tekstblokowy1">
    <w:name w:val="Tekst blokowy1"/>
    <w:basedOn w:val="Normalny"/>
    <w:rsid w:val="00093D62"/>
    <w:pPr>
      <w:spacing w:after="0" w:line="240" w:lineRule="auto"/>
      <w:ind w:left="709" w:right="963"/>
    </w:pPr>
    <w:rPr>
      <w:rFonts w:ascii="Times New Roman" w:eastAsia="Times New Roman" w:hAnsi="Times New Roman" w:cs="Times New Roman"/>
      <w:sz w:val="24"/>
      <w:szCs w:val="20"/>
    </w:rPr>
  </w:style>
  <w:style w:type="character" w:styleId="Hipercze">
    <w:name w:val="Hyperlink"/>
    <w:basedOn w:val="Domylnaczcionkaakapitu"/>
    <w:uiPriority w:val="99"/>
    <w:unhideWhenUsed/>
    <w:rsid w:val="00F6383A"/>
    <w:rPr>
      <w:color w:val="0000FF" w:themeColor="hyperlink"/>
      <w:u w:val="single"/>
    </w:rPr>
  </w:style>
  <w:style w:type="paragraph" w:customStyle="1" w:styleId="Tekstblokowy2">
    <w:name w:val="Tekst blokowy2"/>
    <w:basedOn w:val="Normalny"/>
    <w:rsid w:val="007B141C"/>
    <w:pPr>
      <w:spacing w:after="0" w:line="240" w:lineRule="auto"/>
      <w:ind w:left="709" w:right="963"/>
    </w:pPr>
    <w:rPr>
      <w:rFonts w:ascii="Times New Roman" w:eastAsia="Times New Roman" w:hAnsi="Times New Roman" w:cs="Times New Roman"/>
      <w:sz w:val="24"/>
      <w:szCs w:val="20"/>
    </w:rPr>
  </w:style>
  <w:style w:type="paragraph" w:styleId="Tekstpodstawowy">
    <w:name w:val="Body Text"/>
    <w:basedOn w:val="Normalny"/>
    <w:link w:val="TekstpodstawowyZnak"/>
    <w:rsid w:val="00D714FB"/>
    <w:pPr>
      <w:spacing w:after="0" w:line="360" w:lineRule="auto"/>
      <w:ind w:right="396"/>
      <w:jc w:val="both"/>
    </w:pPr>
    <w:rPr>
      <w:rFonts w:ascii="Arial" w:eastAsia="Times New Roman" w:hAnsi="Arial" w:cs="Times New Roman"/>
      <w:szCs w:val="20"/>
    </w:rPr>
  </w:style>
  <w:style w:type="character" w:customStyle="1" w:styleId="TekstpodstawowyZnak">
    <w:name w:val="Tekst podstawowy Znak"/>
    <w:basedOn w:val="Domylnaczcionkaakapitu"/>
    <w:link w:val="Tekstpodstawowy"/>
    <w:rsid w:val="00D714FB"/>
    <w:rPr>
      <w:rFonts w:ascii="Arial" w:eastAsia="Times New Roman" w:hAnsi="Arial" w:cs="Times New Roman"/>
      <w:szCs w:val="20"/>
    </w:rPr>
  </w:style>
  <w:style w:type="character" w:customStyle="1" w:styleId="Nagwek1Znak">
    <w:name w:val="Nagłówek 1 Znak"/>
    <w:basedOn w:val="Domylnaczcionkaakapitu"/>
    <w:link w:val="Nagwek1"/>
    <w:rsid w:val="000B7CA9"/>
    <w:rPr>
      <w:rFonts w:ascii="Times New Roman" w:eastAsia="Times New Roman" w:hAnsi="Times New Roman" w:cs="Times New Roman"/>
      <w:sz w:val="24"/>
      <w:szCs w:val="20"/>
    </w:rPr>
  </w:style>
  <w:style w:type="character" w:customStyle="1" w:styleId="Nagwek2Znak">
    <w:name w:val="Nagłówek 2 Znak"/>
    <w:basedOn w:val="Domylnaczcionkaakapitu"/>
    <w:link w:val="Nagwek2"/>
    <w:semiHidden/>
    <w:rsid w:val="000B7CA9"/>
    <w:rPr>
      <w:rFonts w:ascii="Garamond" w:eastAsia="Times New Roman" w:hAnsi="Garamond" w:cs="Times New Roman"/>
      <w:b/>
      <w:sz w:val="28"/>
      <w:szCs w:val="20"/>
    </w:rPr>
  </w:style>
  <w:style w:type="character" w:customStyle="1" w:styleId="Nagwek4Znak">
    <w:name w:val="Nagłówek 4 Znak"/>
    <w:basedOn w:val="Domylnaczcionkaakapitu"/>
    <w:link w:val="Nagwek4"/>
    <w:semiHidden/>
    <w:rsid w:val="000B7CA9"/>
    <w:rPr>
      <w:rFonts w:ascii="Arial" w:eastAsia="Times New Roman" w:hAnsi="Arial" w:cs="Times New Roman"/>
      <w:b/>
      <w:sz w:val="26"/>
      <w:szCs w:val="20"/>
    </w:rPr>
  </w:style>
  <w:style w:type="paragraph" w:customStyle="1" w:styleId="Tekstblokowy3">
    <w:name w:val="Tekst blokowy3"/>
    <w:basedOn w:val="Normalny"/>
    <w:rsid w:val="000B7CA9"/>
    <w:pPr>
      <w:spacing w:after="0" w:line="240" w:lineRule="auto"/>
      <w:ind w:left="709" w:right="963"/>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C806E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06E8"/>
    <w:rPr>
      <w:sz w:val="20"/>
      <w:szCs w:val="20"/>
    </w:rPr>
  </w:style>
  <w:style w:type="character" w:styleId="Odwoanieprzypisukocowego">
    <w:name w:val="endnote reference"/>
    <w:basedOn w:val="Domylnaczcionkaakapitu"/>
    <w:uiPriority w:val="99"/>
    <w:semiHidden/>
    <w:unhideWhenUsed/>
    <w:rsid w:val="00C806E8"/>
    <w:rPr>
      <w:vertAlign w:val="superscript"/>
    </w:rPr>
  </w:style>
  <w:style w:type="paragraph" w:customStyle="1" w:styleId="Default">
    <w:name w:val="Default"/>
    <w:rsid w:val="001A09F7"/>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rsid w:val="00362195"/>
    <w:pPr>
      <w:spacing w:before="100" w:beforeAutospacing="1" w:after="100" w:afterAutospacing="1" w:line="240" w:lineRule="auto"/>
    </w:pPr>
    <w:rPr>
      <w:rFonts w:ascii="Verdana" w:eastAsia="Times New Roman" w:hAnsi="Verdana" w:cs="Times New Roman"/>
      <w:sz w:val="15"/>
      <w:szCs w:val="15"/>
    </w:rPr>
  </w:style>
  <w:style w:type="character" w:styleId="Uwydatnienie">
    <w:name w:val="Emphasis"/>
    <w:basedOn w:val="Domylnaczcionkaakapitu"/>
    <w:uiPriority w:val="20"/>
    <w:qFormat/>
    <w:rsid w:val="002C78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66690">
      <w:bodyDiv w:val="1"/>
      <w:marLeft w:val="0"/>
      <w:marRight w:val="0"/>
      <w:marTop w:val="0"/>
      <w:marBottom w:val="0"/>
      <w:divBdr>
        <w:top w:val="none" w:sz="0" w:space="0" w:color="auto"/>
        <w:left w:val="none" w:sz="0" w:space="0" w:color="auto"/>
        <w:bottom w:val="none" w:sz="0" w:space="0" w:color="auto"/>
        <w:right w:val="none" w:sz="0" w:space="0" w:color="auto"/>
      </w:divBdr>
    </w:div>
    <w:div w:id="373045675">
      <w:bodyDiv w:val="1"/>
      <w:marLeft w:val="0"/>
      <w:marRight w:val="0"/>
      <w:marTop w:val="0"/>
      <w:marBottom w:val="0"/>
      <w:divBdr>
        <w:top w:val="none" w:sz="0" w:space="0" w:color="auto"/>
        <w:left w:val="none" w:sz="0" w:space="0" w:color="auto"/>
        <w:bottom w:val="none" w:sz="0" w:space="0" w:color="auto"/>
        <w:right w:val="none" w:sz="0" w:space="0" w:color="auto"/>
      </w:divBdr>
    </w:div>
    <w:div w:id="483354504">
      <w:bodyDiv w:val="1"/>
      <w:marLeft w:val="0"/>
      <w:marRight w:val="0"/>
      <w:marTop w:val="0"/>
      <w:marBottom w:val="0"/>
      <w:divBdr>
        <w:top w:val="none" w:sz="0" w:space="0" w:color="auto"/>
        <w:left w:val="none" w:sz="0" w:space="0" w:color="auto"/>
        <w:bottom w:val="none" w:sz="0" w:space="0" w:color="auto"/>
        <w:right w:val="none" w:sz="0" w:space="0" w:color="auto"/>
      </w:divBdr>
    </w:div>
    <w:div w:id="536821946">
      <w:bodyDiv w:val="1"/>
      <w:marLeft w:val="0"/>
      <w:marRight w:val="0"/>
      <w:marTop w:val="0"/>
      <w:marBottom w:val="0"/>
      <w:divBdr>
        <w:top w:val="none" w:sz="0" w:space="0" w:color="auto"/>
        <w:left w:val="none" w:sz="0" w:space="0" w:color="auto"/>
        <w:bottom w:val="none" w:sz="0" w:space="0" w:color="auto"/>
        <w:right w:val="none" w:sz="0" w:space="0" w:color="auto"/>
      </w:divBdr>
    </w:div>
    <w:div w:id="738282974">
      <w:bodyDiv w:val="1"/>
      <w:marLeft w:val="0"/>
      <w:marRight w:val="0"/>
      <w:marTop w:val="0"/>
      <w:marBottom w:val="0"/>
      <w:divBdr>
        <w:top w:val="none" w:sz="0" w:space="0" w:color="auto"/>
        <w:left w:val="none" w:sz="0" w:space="0" w:color="auto"/>
        <w:bottom w:val="none" w:sz="0" w:space="0" w:color="auto"/>
        <w:right w:val="none" w:sz="0" w:space="0" w:color="auto"/>
      </w:divBdr>
    </w:div>
    <w:div w:id="1114977439">
      <w:bodyDiv w:val="1"/>
      <w:marLeft w:val="0"/>
      <w:marRight w:val="0"/>
      <w:marTop w:val="0"/>
      <w:marBottom w:val="0"/>
      <w:divBdr>
        <w:top w:val="none" w:sz="0" w:space="0" w:color="auto"/>
        <w:left w:val="none" w:sz="0" w:space="0" w:color="auto"/>
        <w:bottom w:val="none" w:sz="0" w:space="0" w:color="auto"/>
        <w:right w:val="none" w:sz="0" w:space="0" w:color="auto"/>
      </w:divBdr>
    </w:div>
    <w:div w:id="1136143555">
      <w:bodyDiv w:val="1"/>
      <w:marLeft w:val="0"/>
      <w:marRight w:val="0"/>
      <w:marTop w:val="0"/>
      <w:marBottom w:val="0"/>
      <w:divBdr>
        <w:top w:val="none" w:sz="0" w:space="0" w:color="auto"/>
        <w:left w:val="none" w:sz="0" w:space="0" w:color="auto"/>
        <w:bottom w:val="none" w:sz="0" w:space="0" w:color="auto"/>
        <w:right w:val="none" w:sz="0" w:space="0" w:color="auto"/>
      </w:divBdr>
    </w:div>
    <w:div w:id="1199390583">
      <w:bodyDiv w:val="1"/>
      <w:marLeft w:val="0"/>
      <w:marRight w:val="0"/>
      <w:marTop w:val="0"/>
      <w:marBottom w:val="0"/>
      <w:divBdr>
        <w:top w:val="none" w:sz="0" w:space="0" w:color="auto"/>
        <w:left w:val="none" w:sz="0" w:space="0" w:color="auto"/>
        <w:bottom w:val="none" w:sz="0" w:space="0" w:color="auto"/>
        <w:right w:val="none" w:sz="0" w:space="0" w:color="auto"/>
      </w:divBdr>
    </w:div>
    <w:div w:id="1586959621">
      <w:bodyDiv w:val="1"/>
      <w:marLeft w:val="0"/>
      <w:marRight w:val="0"/>
      <w:marTop w:val="0"/>
      <w:marBottom w:val="0"/>
      <w:divBdr>
        <w:top w:val="none" w:sz="0" w:space="0" w:color="auto"/>
        <w:left w:val="none" w:sz="0" w:space="0" w:color="auto"/>
        <w:bottom w:val="none" w:sz="0" w:space="0" w:color="auto"/>
        <w:right w:val="none" w:sz="0" w:space="0" w:color="auto"/>
      </w:divBdr>
    </w:div>
    <w:div w:id="1628586354">
      <w:bodyDiv w:val="1"/>
      <w:marLeft w:val="0"/>
      <w:marRight w:val="0"/>
      <w:marTop w:val="0"/>
      <w:marBottom w:val="0"/>
      <w:divBdr>
        <w:top w:val="none" w:sz="0" w:space="0" w:color="auto"/>
        <w:left w:val="none" w:sz="0" w:space="0" w:color="auto"/>
        <w:bottom w:val="none" w:sz="0" w:space="0" w:color="auto"/>
        <w:right w:val="none" w:sz="0" w:space="0" w:color="auto"/>
      </w:divBdr>
    </w:div>
    <w:div w:id="178889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80475-B001-4D17-9DA6-93ECFA9D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1670</Words>
  <Characters>10025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dc:creator>
  <cp:lastModifiedBy>Stawiarz Agnieszka (DWM)</cp:lastModifiedBy>
  <cp:revision>4</cp:revision>
  <cp:lastPrinted>2016-10-19T12:38:00Z</cp:lastPrinted>
  <dcterms:created xsi:type="dcterms:W3CDTF">2017-02-08T10:23:00Z</dcterms:created>
  <dcterms:modified xsi:type="dcterms:W3CDTF">2017-02-08T10:24:00Z</dcterms:modified>
</cp:coreProperties>
</file>