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FB084" w14:textId="77777777" w:rsidR="00C64B1B" w:rsidRPr="00FE3CF8" w:rsidRDefault="00C64B1B" w:rsidP="00B556C9">
      <w:pPr>
        <w:jc w:val="center"/>
        <w:rPr>
          <w:sz w:val="20"/>
          <w:szCs w:val="20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FE3CF8" w14:paraId="399C736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9538E45" w14:textId="7DEE94C8" w:rsidR="00A06425" w:rsidRPr="00FE3CF8" w:rsidRDefault="00A06425" w:rsidP="00B556C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Nazwa dokumentu:</w:t>
            </w:r>
            <w:r w:rsidR="00B556C9" w:rsidRPr="00FE3CF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="00B556C9" w:rsidRPr="00FE3CF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Dziedzictwo Kulturowe Podlasia – cyfryzacja i prezentacja zbiorów Muzeum Podlaskiego w Białymstoku</w:t>
            </w:r>
          </w:p>
          <w:p w14:paraId="511C4046" w14:textId="43DA935F" w:rsidR="00C03D84" w:rsidRPr="00FE3CF8" w:rsidRDefault="00C03D84" w:rsidP="00B556C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(wnioskodawca: Minister Kultury i Dziedzictwa Narodowego, beneficjent: Muzeum Podlaskie w Białymstoku)</w:t>
            </w:r>
          </w:p>
          <w:p w14:paraId="4585D07F" w14:textId="77777777" w:rsidR="00A06425" w:rsidRPr="00FE3CF8" w:rsidRDefault="00A06425" w:rsidP="00B556C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FE3CF8" w14:paraId="741B8273" w14:textId="77777777" w:rsidTr="00A06425">
        <w:tc>
          <w:tcPr>
            <w:tcW w:w="562" w:type="dxa"/>
            <w:shd w:val="clear" w:color="auto" w:fill="auto"/>
            <w:vAlign w:val="center"/>
          </w:tcPr>
          <w:p w14:paraId="4203F309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F7816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FEB957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Jednostka reda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cyjna, do której wn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18EDCF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86808AC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218C97" w14:textId="77777777" w:rsidR="00A06425" w:rsidRPr="00FE3CF8" w:rsidRDefault="00A06425" w:rsidP="00B556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FE3CF8" w14:paraId="2A2CB62A" w14:textId="77777777" w:rsidTr="001265A4">
        <w:tc>
          <w:tcPr>
            <w:tcW w:w="562" w:type="dxa"/>
            <w:shd w:val="clear" w:color="auto" w:fill="auto"/>
            <w:vAlign w:val="center"/>
          </w:tcPr>
          <w:p w14:paraId="5E6870E2" w14:textId="7B2162E3" w:rsidR="00A06425" w:rsidRPr="00FE3CF8" w:rsidRDefault="00A06425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32266F"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F78B9" w14:textId="6DC6F30F" w:rsidR="00A06425" w:rsidRPr="00FE3CF8" w:rsidRDefault="00B556C9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873D41" w14:textId="5A705DA1" w:rsidR="00A06425" w:rsidRPr="00FE3CF8" w:rsidRDefault="00B556C9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5A45BD9B" w14:textId="7666C29B" w:rsidR="00A06425" w:rsidRPr="00FE3CF8" w:rsidRDefault="00047E99" w:rsidP="000662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Należy odnotować konieczność usystematyzowania informacji dotyczących opisu interesariuszy opiniow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nego projektu. Zastosowany w opisie podział nie spe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nia następujących warunków będących podstawą wprowadzenia jakiekolwiek klasyfikacji: rozłączności,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wyczerpywalności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i wyłączności.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Jedenaście</w:t>
            </w:r>
            <w:r w:rsidRPr="00FE3CF8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wierszy tabeli umieszczonej w punkcie 1.1. opisu (badacze,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uczniowie szkół publicznych, „pasjonaci”, osoby z niepełnosprawnościami, turyści, członkowie mniejsz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ści narodowych i etnicznych, członkowie środowiska artystycznego, przedstawiciele Polonii, seniorzy, dziennikarze czy pracownicy Muzeum Podlaskiego w Białymstoku)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 facto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potencjalnych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użytko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ników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Muzeum Podlaskiego w Białymstoku (podział przedmiotowy).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atomiast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pozostałe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odnoszą się do konkretnych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instytucji i podmiotów zainter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sowanych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projekcie (podział przedmiotowy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).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Systemat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zacja ta 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rzyżuje się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podziałem według kryterium podmiot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wości. Informacje dotyczące użytkowników 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muzealiów (jedenaście opisanych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wierszy tabeli</w:t>
            </w:r>
            <w:r w:rsidR="00066299" w:rsidRPr="00FE3CF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, nie mają chara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teru rozłącznego, przez co systematyzacja ta może utrudniać ocenę całego projektu. Powoduje to kolejny problem, tj. powtarzanie szczegółowej charakterystyki zidentyfikowanych problemów, a każdym ze wskaz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nych wyżej wierszy opisu projektu.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87B8BA" w14:textId="7CD192F8" w:rsidR="00A06425" w:rsidRPr="00FE3CF8" w:rsidRDefault="00066299" w:rsidP="000662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Rozwiązaniem zas</w:t>
            </w:r>
            <w:bookmarkStart w:id="0" w:name="_GoBack"/>
            <w:bookmarkEnd w:id="0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ygnalizowanego problemu może być wprowadz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nie jednego wiersza, w którym można opisać wszystkich potencja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nych interesari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szy projektu, tj. ich użytkowników, z podziałem na przykładowe cele prowadzonych kwerend (naukowe, administracy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ne, genealogiczne itd.). Pozwoliło by to na połączenie powtarzaj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cych się treści dotyczących szczegółowej charakterystyki zidentyf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kowanych problemów w jednym miejscu.</w:t>
            </w:r>
          </w:p>
        </w:tc>
        <w:tc>
          <w:tcPr>
            <w:tcW w:w="1359" w:type="dxa"/>
          </w:tcPr>
          <w:p w14:paraId="31C6941C" w14:textId="73122A09" w:rsidR="00A06425" w:rsidRPr="00FE3CF8" w:rsidRDefault="00E2267D" w:rsidP="00B556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66299" w:rsidRPr="00FE3CF8" w14:paraId="25A5CC44" w14:textId="77777777" w:rsidTr="001265A4">
        <w:tc>
          <w:tcPr>
            <w:tcW w:w="562" w:type="dxa"/>
            <w:shd w:val="clear" w:color="auto" w:fill="auto"/>
            <w:vAlign w:val="center"/>
          </w:tcPr>
          <w:p w14:paraId="57985709" w14:textId="4ADB9347" w:rsidR="000662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FCC3D" w14:textId="7441EB40" w:rsidR="000662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AFD14" w14:textId="5912FCFA" w:rsidR="00066299" w:rsidRPr="00FE3CF8" w:rsidRDefault="00066299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67ABB597" w14:textId="10FFF978" w:rsidR="00066299" w:rsidRPr="00FE3CF8" w:rsidRDefault="00066299" w:rsidP="000662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Trudno uznać za uzasadnione potraktowanie w 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dzielnych wierszach badaczy i uczelni, nauczycieli 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storii i szkół p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blicznych czy „pasjonatów” i organizacji społecznych/instytucji kultury. Warto bowiem zauw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żyć, że badacze (w zdecydowanej większości) prow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dzą badania na ucze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niach, nauczyciele wykorzystują źródła historyczne, w tym muzealia, w szkołach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>, jako pomoc dydaktyczna a pasjonaci, np. historii loka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nej/regionalnej,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są skupieni m.in.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>rgan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>zacj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ach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społecznych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lub tez </w:t>
            </w:r>
            <w:r w:rsidR="0032266F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pracownikami instytucji kultury.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BDE8C2" w14:textId="77777777" w:rsidR="00066299" w:rsidRPr="00FE3CF8" w:rsidRDefault="0032266F" w:rsidP="000662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Rozwiązaniem zasygnalizowanego problemu może być wprowadz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nie jednego wiersza, w którym można opisać wszystkich potencja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nych interesari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szy projektu, tj. ich użytkowników, z podziałem na przykładowe cele prowadzonych kwerend (naukowe, administracy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ne, genealogiczne itd.). Pozwoliło by to na połączenie powtarzaj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cych się treści dotyczących szczegółowej charakterystyki zidentyf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kowanych problemów w jednym miejscu.</w:t>
            </w:r>
          </w:p>
          <w:p w14:paraId="41624D14" w14:textId="6B8D1A0A" w:rsidR="0032266F" w:rsidRPr="00FE3CF8" w:rsidRDefault="0032266F" w:rsidP="000662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Zachowując dotychczasowy podział niezbędnym wydaje się podanie doda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kowych informacji wskazujących na różnice w wykorzystaniu muzealiów udostępnionych i 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Internecie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przez badaczy i uczelnie,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nauczycieli i szkoły itd. </w:t>
            </w:r>
          </w:p>
        </w:tc>
        <w:tc>
          <w:tcPr>
            <w:tcW w:w="1359" w:type="dxa"/>
          </w:tcPr>
          <w:p w14:paraId="7333CF54" w14:textId="15A625C6" w:rsidR="00066299" w:rsidRPr="00FE3CF8" w:rsidRDefault="00E2267D" w:rsidP="00B556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47E99" w:rsidRPr="00FE3CF8" w14:paraId="243081A8" w14:textId="77777777" w:rsidTr="001265A4">
        <w:tc>
          <w:tcPr>
            <w:tcW w:w="562" w:type="dxa"/>
            <w:shd w:val="clear" w:color="auto" w:fill="auto"/>
            <w:vAlign w:val="center"/>
          </w:tcPr>
          <w:p w14:paraId="34EE3427" w14:textId="64ADEB86" w:rsidR="00047E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3860C" w14:textId="2E352184" w:rsidR="00047E99" w:rsidRPr="00FE3CF8" w:rsidRDefault="00047E99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4A57F1" w14:textId="47539E7E" w:rsidR="00047E99" w:rsidRPr="00FE3CF8" w:rsidRDefault="00047E99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7B1CB3BB" w14:textId="777E0A0F" w:rsidR="00047E99" w:rsidRPr="00FE3CF8" w:rsidRDefault="00047E99" w:rsidP="00047E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pierwszym wierszu tabeli wskazano na możliwości wykorzystania zasobu Muzeum Podlaskiego w Biały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stoku ud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stępnionego w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internecie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do prowadzenia badań nauk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wych. Z uwagi na regionalny charakter muzealiów zgrom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dzonych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tam zgromadzonych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opisie tego punktu brakuje podkreśl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nia zasadniczej kwestii z punktu specyfiki zasobu Muzeum Podlaskiego w Białymstoku i jego potencjalnego wykorz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stywania jako źródło historyczne. Muzealia tam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zachowane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będą bowiem używane w pierwszej kolejności w b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dania historii lokalnej i regionalnej. Problem ten został całkowicie pominięty, co może dziwić z uwagi na 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gionalny charakter tej placówki i dotychczasowych jej interesariuszy. </w:t>
            </w:r>
          </w:p>
        </w:tc>
        <w:tc>
          <w:tcPr>
            <w:tcW w:w="5812" w:type="dxa"/>
            <w:shd w:val="clear" w:color="auto" w:fill="auto"/>
          </w:tcPr>
          <w:p w14:paraId="1727FE74" w14:textId="77777777" w:rsidR="00047E99" w:rsidRPr="00FE3CF8" w:rsidRDefault="00047E99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745962CE" w14:textId="624ACB58" w:rsidR="00047E99" w:rsidRPr="00FE3CF8" w:rsidRDefault="00E2267D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47E99" w:rsidRPr="00FE3CF8" w14:paraId="7831000D" w14:textId="77777777" w:rsidTr="001265A4">
        <w:tc>
          <w:tcPr>
            <w:tcW w:w="562" w:type="dxa"/>
            <w:shd w:val="clear" w:color="auto" w:fill="auto"/>
            <w:vAlign w:val="center"/>
          </w:tcPr>
          <w:p w14:paraId="10552162" w14:textId="7F31609F" w:rsidR="00047E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E61F4" w14:textId="468175BB" w:rsidR="00047E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308DB4" w14:textId="58A61E16" w:rsidR="00047E99" w:rsidRPr="00FE3CF8" w:rsidRDefault="00047E99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71B917D7" w14:textId="0E532861" w:rsidR="00047E99" w:rsidRPr="00FE3CF8" w:rsidRDefault="00047E99" w:rsidP="00047E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tabeli wskazano mniejszości narodowych i etnic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nych jako potencjalnych interesariuszy projektu. Opis społeczności mniejszościowych ograniczono do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tych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zamieszkujących województwo podlaskie. Takie p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stępowanie nie wydaje się uzasadnione. Z zasobu Muzeum Podlaskiego w Białymstoku </w:t>
            </w:r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prezentowanego w </w:t>
            </w:r>
            <w:proofErr w:type="spellStart"/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>internecie</w:t>
            </w:r>
            <w:proofErr w:type="spellEnd"/>
            <w:r w:rsidR="003E59C6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będą mogli bowiem skorz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stać wszyscy zainteresowani, w tym przedstawiciele mnie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szości narodowych i etnicznych zamieszkali w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na terenie każdej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jednostk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i terytorialnej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RP. Ograniczenie się do skali województwa podlaskiego będzie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też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przykładem niekonsekwentnego opisania argumentów świadcz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cych o zasadności projektu. Warto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bowiem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zauważyć, że większość innych arg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mentów przedstawionych w punkcie 1.1. odnosi się do skali całego kraju (np. liczba instytucji kultury, liczba uczelni, liczba nauczycieli historii itd.)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4D4910F" w14:textId="77777777" w:rsidR="00047E99" w:rsidRPr="00FE3CF8" w:rsidRDefault="00047E99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49CDD353" w14:textId="31FCA117" w:rsidR="00047E99" w:rsidRPr="00FE3CF8" w:rsidRDefault="00E2267D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06224" w:rsidRPr="00FE3CF8" w14:paraId="5205E316" w14:textId="77777777" w:rsidTr="001265A4">
        <w:tc>
          <w:tcPr>
            <w:tcW w:w="562" w:type="dxa"/>
            <w:shd w:val="clear" w:color="auto" w:fill="auto"/>
            <w:vAlign w:val="center"/>
          </w:tcPr>
          <w:p w14:paraId="339FC71A" w14:textId="73455776" w:rsidR="00006224" w:rsidRPr="00FE3CF8" w:rsidRDefault="00006224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5F1DC" w14:textId="731AC17D" w:rsidR="00006224" w:rsidRPr="00FE3CF8" w:rsidRDefault="00006224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3C4E5A" w14:textId="3CA74B6A" w:rsidR="00006224" w:rsidRPr="00FE3CF8" w:rsidRDefault="00006224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1.2. Cele i korzyści wynikające z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</w:t>
            </w:r>
          </w:p>
        </w:tc>
        <w:tc>
          <w:tcPr>
            <w:tcW w:w="4678" w:type="dxa"/>
            <w:shd w:val="clear" w:color="auto" w:fill="auto"/>
          </w:tcPr>
          <w:p w14:paraId="0496ACD7" w14:textId="2740BBCD" w:rsidR="00006224" w:rsidRPr="00FE3CF8" w:rsidRDefault="00006224" w:rsidP="0000622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opisie założeń projektu podano, że obecnie zdigit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lizow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nych jest 7498 obiektów, ale brak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informacji, gdzie dostę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ne są ich kopie cyfrowe. </w:t>
            </w:r>
          </w:p>
        </w:tc>
        <w:tc>
          <w:tcPr>
            <w:tcW w:w="5812" w:type="dxa"/>
            <w:shd w:val="clear" w:color="auto" w:fill="auto"/>
          </w:tcPr>
          <w:p w14:paraId="237154ED" w14:textId="77777777" w:rsidR="00006224" w:rsidRPr="00FE3CF8" w:rsidRDefault="00006224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4DD3D101" w14:textId="40861FE1" w:rsidR="00006224" w:rsidRPr="00FE3CF8" w:rsidRDefault="00E2267D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06224" w:rsidRPr="00FE3CF8" w14:paraId="30AC04B9" w14:textId="77777777" w:rsidTr="001265A4">
        <w:tc>
          <w:tcPr>
            <w:tcW w:w="562" w:type="dxa"/>
            <w:shd w:val="clear" w:color="auto" w:fill="auto"/>
            <w:vAlign w:val="center"/>
          </w:tcPr>
          <w:p w14:paraId="2B302419" w14:textId="53F517E2" w:rsidR="00006224" w:rsidRPr="00FE3CF8" w:rsidRDefault="00EF51EB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5A0C8" w14:textId="261557AE" w:rsidR="00006224" w:rsidRPr="00FE3CF8" w:rsidRDefault="00234F72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56005C" w14:textId="218EE374" w:rsidR="00006224" w:rsidRPr="00FE3CF8" w:rsidRDefault="00006224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</w:t>
            </w:r>
          </w:p>
        </w:tc>
        <w:tc>
          <w:tcPr>
            <w:tcW w:w="4678" w:type="dxa"/>
            <w:shd w:val="clear" w:color="auto" w:fill="auto"/>
          </w:tcPr>
          <w:p w14:paraId="62588BE2" w14:textId="45F05488" w:rsidR="00006224" w:rsidRPr="00FE3CF8" w:rsidRDefault="00006224" w:rsidP="0000622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Jedną z korzyści ma być „Umożliwienie dalszego ud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stępni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nia zasobów muzealnych poprzez publikowanie ich na portalu „Kronika@”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EA5C13" w:rsidRPr="00FE3CF8">
              <w:rPr>
                <w:rFonts w:asciiTheme="minorHAnsi" w:hAnsiTheme="minorHAnsi" w:cstheme="minorHAnsi"/>
                <w:sz w:val="20"/>
                <w:szCs w:val="20"/>
              </w:rPr>
              <w:t>Należy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zauważyć, że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obe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nie na portalu Kronika@ Muzeum nie udostępnia danych.</w:t>
            </w:r>
          </w:p>
        </w:tc>
        <w:tc>
          <w:tcPr>
            <w:tcW w:w="5812" w:type="dxa"/>
            <w:shd w:val="clear" w:color="auto" w:fill="auto"/>
          </w:tcPr>
          <w:p w14:paraId="79FB3B5C" w14:textId="77777777" w:rsidR="00006224" w:rsidRPr="00FE3CF8" w:rsidRDefault="00006224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36212598" w14:textId="3580DB0B" w:rsidR="00006224" w:rsidRPr="00FE3CF8" w:rsidRDefault="00E2267D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047E99" w:rsidRPr="00FE3CF8" w14:paraId="350773B2" w14:textId="77777777" w:rsidTr="001265A4">
        <w:tc>
          <w:tcPr>
            <w:tcW w:w="562" w:type="dxa"/>
            <w:shd w:val="clear" w:color="auto" w:fill="auto"/>
            <w:vAlign w:val="center"/>
          </w:tcPr>
          <w:p w14:paraId="0ADBD7F4" w14:textId="767B5735" w:rsidR="00047E99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86E67" w14:textId="520D656E" w:rsidR="00047E99" w:rsidRPr="00FE3CF8" w:rsidRDefault="0032266F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B03931" w14:textId="1A17F8C9" w:rsidR="00047E99" w:rsidRPr="00FE3CF8" w:rsidRDefault="0032266F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2.1. Cele i korzyści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wynikające z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</w:t>
            </w:r>
          </w:p>
        </w:tc>
        <w:tc>
          <w:tcPr>
            <w:tcW w:w="4678" w:type="dxa"/>
            <w:shd w:val="clear" w:color="auto" w:fill="auto"/>
          </w:tcPr>
          <w:p w14:paraId="028EC321" w14:textId="0BCFC68A" w:rsidR="00047E99" w:rsidRPr="00FE3CF8" w:rsidRDefault="0032266F" w:rsidP="00047E9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Dla lepszej oceny opiniowanego projektu zasadnym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wydaje się usystematyzowanie przedstawionych w opisie korzyści. Służyć temu może ich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pogrupowanie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w podziałem na np. te związane efektami udostępniania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oraz te odnoszące się do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kwestii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techniczny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ud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stępniania muzealiów w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internecie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39E0708D" w14:textId="77777777" w:rsidR="00047E99" w:rsidRPr="00FE3CF8" w:rsidRDefault="00047E99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724AA777" w14:textId="44DFA1D2" w:rsidR="00047E99" w:rsidRPr="00FE3CF8" w:rsidRDefault="00E2267D" w:rsidP="00047E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154627" w:rsidRPr="00FE3CF8" w14:paraId="255BE2BD" w14:textId="77777777" w:rsidTr="001265A4">
        <w:tc>
          <w:tcPr>
            <w:tcW w:w="562" w:type="dxa"/>
            <w:shd w:val="clear" w:color="auto" w:fill="auto"/>
            <w:vAlign w:val="center"/>
          </w:tcPr>
          <w:p w14:paraId="79EE4A0E" w14:textId="36870FF1" w:rsidR="00154627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BE57C" w14:textId="7344EEB8" w:rsidR="00154627" w:rsidRPr="00FE3CF8" w:rsidRDefault="00154627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F9D31" w14:textId="4F117D0A" w:rsidR="00154627" w:rsidRPr="00FE3CF8" w:rsidRDefault="00154627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</w:t>
            </w:r>
          </w:p>
        </w:tc>
        <w:tc>
          <w:tcPr>
            <w:tcW w:w="4678" w:type="dxa"/>
            <w:shd w:val="clear" w:color="auto" w:fill="auto"/>
          </w:tcPr>
          <w:p w14:paraId="39FE1DCB" w14:textId="3765F8AB" w:rsidR="00154627" w:rsidRPr="00FE3CF8" w:rsidRDefault="00A75EA9" w:rsidP="0015462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opisie korzyści wynikających z dofinansowania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 zabrakło informacji o poprawie infrastruktury Muzeum Po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laskiego w Białymstoku, za pomocą której tworzone będą 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kopie cyfrowe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materiał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udostę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nion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intern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14:paraId="64C9C90A" w14:textId="77777777" w:rsidR="00154627" w:rsidRPr="00FE3CF8" w:rsidRDefault="00154627" w:rsidP="001546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2C326BBC" w14:textId="189F459E" w:rsidR="00154627" w:rsidRPr="00FE3CF8" w:rsidRDefault="00E2267D" w:rsidP="001546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A75EA9" w:rsidRPr="00FE3CF8" w14:paraId="7F0092A0" w14:textId="77777777" w:rsidTr="001265A4">
        <w:tc>
          <w:tcPr>
            <w:tcW w:w="562" w:type="dxa"/>
            <w:shd w:val="clear" w:color="auto" w:fill="auto"/>
            <w:vAlign w:val="center"/>
          </w:tcPr>
          <w:p w14:paraId="51164586" w14:textId="65603007" w:rsidR="00A75EA9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60FDA" w14:textId="5940391F" w:rsidR="00A75EA9" w:rsidRPr="00FE3CF8" w:rsidRDefault="00A75EA9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4B06CB" w14:textId="0FDC4E7B" w:rsidR="00A75EA9" w:rsidRPr="00FE3CF8" w:rsidRDefault="00A75EA9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</w:t>
            </w:r>
          </w:p>
        </w:tc>
        <w:tc>
          <w:tcPr>
            <w:tcW w:w="4678" w:type="dxa"/>
            <w:shd w:val="clear" w:color="auto" w:fill="auto"/>
          </w:tcPr>
          <w:p w14:paraId="43508977" w14:textId="4DE2DF82" w:rsidR="00A75EA9" w:rsidRPr="00FE3CF8" w:rsidRDefault="00A75EA9" w:rsidP="00A75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punktach 16. i 17. wskazano dwa razy wskazano na mi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dzynarodowe korzyści, jakie Muzeum Podlaskiego w Biały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stoku spodziewa się uzyskać po ewentualnym dofinansow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niu ich projektu. Z uwagi na regionalny charakter 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zealiów zgromadzonych w tym muzeum w opisie tego punktu brak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 informacji na temat „wzrostu potencjału Muzeum” na poziomie regiona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nym.</w:t>
            </w:r>
            <w:r w:rsidR="001B0E9B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3B66D7B" w14:textId="77777777" w:rsidR="00A75EA9" w:rsidRPr="00FE3CF8" w:rsidRDefault="00A75EA9" w:rsidP="00A75E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0892B398" w14:textId="48FB6F43" w:rsidR="00A75EA9" w:rsidRPr="00FE3CF8" w:rsidRDefault="00E2267D" w:rsidP="00A75E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475D0B" w:rsidRPr="00FE3CF8" w14:paraId="53B658CA" w14:textId="77777777" w:rsidTr="001265A4">
        <w:tc>
          <w:tcPr>
            <w:tcW w:w="562" w:type="dxa"/>
            <w:shd w:val="clear" w:color="auto" w:fill="auto"/>
            <w:vAlign w:val="center"/>
          </w:tcPr>
          <w:p w14:paraId="0FF9A50A" w14:textId="2D60606E" w:rsidR="00475D0B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D2049" w14:textId="51381F7E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0C7E70" w14:textId="6CFC9AFA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2.4. Produkty ko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cowe projektu</w:t>
            </w:r>
          </w:p>
        </w:tc>
        <w:tc>
          <w:tcPr>
            <w:tcW w:w="4678" w:type="dxa"/>
            <w:shd w:val="clear" w:color="auto" w:fill="auto"/>
          </w:tcPr>
          <w:p w14:paraId="1D5B7A83" w14:textId="6411D767" w:rsidR="00475D0B" w:rsidRPr="00FE3CF8" w:rsidRDefault="00475D0B" w:rsidP="00475D0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Wśród produktów nie zostały wymienione kopie c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frowe obiektów i ich opisy. </w:t>
            </w:r>
          </w:p>
        </w:tc>
        <w:tc>
          <w:tcPr>
            <w:tcW w:w="5812" w:type="dxa"/>
            <w:shd w:val="clear" w:color="auto" w:fill="auto"/>
          </w:tcPr>
          <w:p w14:paraId="5977B5C0" w14:textId="77777777" w:rsidR="00475D0B" w:rsidRPr="00FE3CF8" w:rsidRDefault="00475D0B" w:rsidP="00475D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60846F80" w14:textId="1F9EB3FC" w:rsidR="00475D0B" w:rsidRPr="00FE3CF8" w:rsidRDefault="00E2267D" w:rsidP="00475D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475D0B" w:rsidRPr="00FE3CF8" w14:paraId="44879CA1" w14:textId="77777777" w:rsidTr="001265A4">
        <w:tc>
          <w:tcPr>
            <w:tcW w:w="562" w:type="dxa"/>
            <w:shd w:val="clear" w:color="auto" w:fill="auto"/>
            <w:vAlign w:val="center"/>
          </w:tcPr>
          <w:p w14:paraId="20808D29" w14:textId="4A154762" w:rsidR="00475D0B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41929" w14:textId="711D1696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362DBB" w14:textId="2C8766EC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3. Kamienie milowe</w:t>
            </w:r>
          </w:p>
        </w:tc>
        <w:tc>
          <w:tcPr>
            <w:tcW w:w="4678" w:type="dxa"/>
            <w:shd w:val="clear" w:color="auto" w:fill="auto"/>
          </w:tcPr>
          <w:p w14:paraId="5F85583E" w14:textId="7E68CF1A" w:rsidR="00475D0B" w:rsidRPr="00FE3CF8" w:rsidRDefault="00475D0B" w:rsidP="00475D0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opisie kamieni milowych projektu użyto niejasnego te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minu „archiwizacja” w kontekście zabytków. Projekt opisu założeń nie zawiera definicji terminu „archiwiz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cja” w opis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nym w paradygmacie. Z tego powodu nie wiadomo jak 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zumiana jest wymieniona czterokrotnie „archiwizacja zabytków” (kamienie milowe 6-9)? 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jasności z tym związane pogłębia fakt, ze termin „a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chiwizacja” został zdefiniowany w literaturze archiw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stycznej. Posiada on dwa wyjaśnienia: 1. proces trac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nia przez materiały archiwalne twórcy zespołu związku z jego bieżącą działalnością; 2. przygotowania i przek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zanie materiałów archiwalnych do archiwum (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Polski Słownik Archiwalny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, red. W. Maciejewska, Warszawa 1974, s.18). Wyjaśnienie to aktualnie uległo częściowej dezaktual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zacji. Co więcej, mając na uwadze charakter prac wykonywanych podmiotach prowadzących dzi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łalność 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chiwalną w zakresie państwowego zasobu archiwalnego, wymienionych w art. 22 ustawy z dnia 14 lipca 1983 r. 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narodowym zas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bie archiwalnym i archiwach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(Dz. U. z 2020 r. poz. 164, ze zm.), których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nadrzędnym celem jest m.in. udostępnianie dokume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tacji, za niewykluczone, a przede wszystkim uzasa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nione należy uznać inne niż przytoczone w literaturze rozumienie terminu „archiwizacja”, mianowicie jako czynn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ści związanej z przygotowaniem i przekazaniem dokument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cji do archiwum. Warto przy tym zauważyć, że wykorzystywanie wyjaśnień z wypowiedzi fakty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nych stanowi – </w:t>
            </w:r>
            <w:r w:rsidRPr="00FE3CF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prima facie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– jeden z aspektów roz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mienia terminów, a także ich interpretacji (wykładni). </w:t>
            </w:r>
          </w:p>
        </w:tc>
        <w:tc>
          <w:tcPr>
            <w:tcW w:w="5812" w:type="dxa"/>
            <w:shd w:val="clear" w:color="auto" w:fill="auto"/>
          </w:tcPr>
          <w:p w14:paraId="19971F4A" w14:textId="04F6B08F" w:rsidR="00475D0B" w:rsidRPr="00FE3CF8" w:rsidRDefault="00475D0B" w:rsidP="00475D0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 uwagi na opisane rozbieżności terminologiczne występujące w literaturze przedmiotu, a przede wszystkim przedstawiony, pra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tyczny kontekst używania terminu „archiwizacja”, który trudno uznać za normę prawną, zasa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nym byłoby, doprecyzowanie tak użytego sformułowania lub zastąpienie go 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nym określeniem.</w:t>
            </w:r>
          </w:p>
        </w:tc>
        <w:tc>
          <w:tcPr>
            <w:tcW w:w="1359" w:type="dxa"/>
          </w:tcPr>
          <w:p w14:paraId="5598086A" w14:textId="5C69D331" w:rsidR="00475D0B" w:rsidRPr="00FE3CF8" w:rsidRDefault="00E2267D" w:rsidP="00475D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03D84"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</w:tc>
      </w:tr>
      <w:tr w:rsidR="00475D0B" w:rsidRPr="00FE3CF8" w14:paraId="75C76BA0" w14:textId="77777777" w:rsidTr="001265A4">
        <w:tc>
          <w:tcPr>
            <w:tcW w:w="562" w:type="dxa"/>
            <w:shd w:val="clear" w:color="auto" w:fill="auto"/>
            <w:vAlign w:val="center"/>
          </w:tcPr>
          <w:p w14:paraId="0EF98CA1" w14:textId="14DF0025" w:rsidR="00475D0B" w:rsidRPr="00FE3CF8" w:rsidRDefault="00EF51EB" w:rsidP="00EF51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4C339" w14:textId="03F87554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5F242" w14:textId="7A3B27E3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4.2. Wykaz p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szczególnych poz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cji kos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towych</w:t>
            </w:r>
          </w:p>
          <w:p w14:paraId="6412272A" w14:textId="77777777" w:rsidR="00475D0B" w:rsidRPr="00FE3CF8" w:rsidRDefault="00475D0B" w:rsidP="00126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7755EB6" w14:textId="05CE99C3" w:rsidR="00475D0B" w:rsidRPr="00FE3CF8" w:rsidRDefault="00475D0B" w:rsidP="00475D0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opisie założeń projektu brakuje informacji czy w ewidencji archiwaliów zostaną uwzględnione standa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dy opisu archiwalnego. Ponadto</w:t>
            </w:r>
            <w:r w:rsidR="002337B4" w:rsidRPr="00FE3C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kosztach nie wspomniano o wynagr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dzeniu osób dokonujących opisu i digitalizacji. Brakuje 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formacji czy te prace będą wykonywać pracownicy 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zeum Podlaskiego w Białymstoku w ramach zadań służbowych i wolontari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sze? </w:t>
            </w:r>
          </w:p>
        </w:tc>
        <w:tc>
          <w:tcPr>
            <w:tcW w:w="5812" w:type="dxa"/>
            <w:shd w:val="clear" w:color="auto" w:fill="auto"/>
          </w:tcPr>
          <w:p w14:paraId="5CBF2789" w14:textId="77777777" w:rsidR="00475D0B" w:rsidRPr="00FE3CF8" w:rsidRDefault="00475D0B" w:rsidP="00475D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2C5C8E2F" w14:textId="5B6846D7" w:rsidR="00475D0B" w:rsidRPr="00FE3CF8" w:rsidRDefault="00E2267D" w:rsidP="002A07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siono popra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ki. W odniesi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niu do archiw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liów, jak i do wszystkich innych 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zea</w:t>
            </w:r>
            <w:r w:rsidR="002A07FF"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liów MPB obowiązuje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Rozporządz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nie Ministra Kultury z dnia 30 sierpnia 2004 r., w sprawie 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kresu, form i sposobu ewidencj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nowania zabytków w muzeach. </w:t>
            </w:r>
          </w:p>
        </w:tc>
      </w:tr>
      <w:tr w:rsidR="00C03D84" w:rsidRPr="00FE3CF8" w14:paraId="6DCFEC76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BEE2" w14:textId="11FA3A05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B1A8" w14:textId="45681B5B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2D6F" w14:textId="31C91573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C607" w14:textId="0C6CE93E" w:rsidR="00C03D84" w:rsidRPr="00FE3CF8" w:rsidRDefault="00C03D84" w:rsidP="002730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Czy w ramach projektu w portalu KRONIK@ będą tylko udostępniane Państwa pliki prezentacyjne wraz z 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tadanymi czy też instytucja ma zamiar przechowywać kopię zapasową w repozytorium KRONIK@?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D80E" w14:textId="5D027B0C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5EEF" w14:textId="3DA22569" w:rsidR="00C03D84" w:rsidRPr="00FE3CF8" w:rsidRDefault="00C03D84" w:rsidP="00C03D8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Uzupełniono informację o udostepni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niu w repoz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torium KR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NIK@ plików prezentacy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nych wraz metadanymi</w:t>
            </w:r>
          </w:p>
        </w:tc>
      </w:tr>
      <w:tr w:rsidR="00FE3CF8" w:rsidRPr="00FE3CF8" w14:paraId="3B5FCF57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8AD8" w14:textId="63C291CC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2D20" w14:textId="45EE4AEC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085A" w14:textId="0A48B559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5BD5" w14:textId="0AD694C4" w:rsidR="00C03D84" w:rsidRPr="00FE3CF8" w:rsidRDefault="00C03D84" w:rsidP="002730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Należy podać aktualnego wnioskodawcę proje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k</w:t>
            </w:r>
            <w:r w:rsidRPr="00FE3CF8">
              <w:rPr>
                <w:rFonts w:ascii="Calibri" w:hAnsi="Calibri" w:cs="Calibri"/>
                <w:sz w:val="20"/>
                <w:szCs w:val="20"/>
              </w:rPr>
              <w:t xml:space="preserve">tu. </w:t>
            </w:r>
            <w:r w:rsidRPr="00FE3CF8">
              <w:rPr>
                <w:rFonts w:ascii="Calibri" w:hAnsi="Calibri" w:cs="Calibri"/>
                <w:sz w:val="20"/>
                <w:szCs w:val="20"/>
              </w:rPr>
              <w:lastRenderedPageBreak/>
              <w:t>Wnioskodawcą jest Minister Kultury i Dzi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e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dzictwa Narodowego.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CD07" w14:textId="4234BC98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466E" w14:textId="3848F0DA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62F28"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 uwagę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, naniesiono poprawk</w:t>
            </w:r>
            <w:r w:rsidR="00662F28" w:rsidRPr="00FE3CF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</w:p>
        </w:tc>
      </w:tr>
      <w:tr w:rsidR="00FE3CF8" w:rsidRPr="00FE3CF8" w14:paraId="29258662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0D3A" w14:textId="344667A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13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54FF" w14:textId="61BD29E8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75D4" w14:textId="23855AA0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2.1. Cele i korz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ści wynikające z pr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1689" w14:textId="77777777" w:rsidR="00662F28" w:rsidRPr="00FE3CF8" w:rsidRDefault="00662F28" w:rsidP="00662F28">
            <w:pPr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Zgodnie z opisem na wzorze formularza w wie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r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szu „Metoda pomiaru KPI” należy określić:</w:t>
            </w:r>
          </w:p>
          <w:p w14:paraId="0B9A6B00" w14:textId="77777777" w:rsidR="00662F28" w:rsidRPr="00FE3CF8" w:rsidRDefault="00662F28" w:rsidP="00662F28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metodę oraz sposób pomiaru KPI, np. szac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u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nek na podstawie danych zastanych, badanie ewaluacy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j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ne ilościowe, badanie ewaluacyjne jakościowe</w:t>
            </w:r>
          </w:p>
          <w:p w14:paraId="3E07A1B0" w14:textId="77777777" w:rsidR="00662F28" w:rsidRPr="00FE3CF8" w:rsidRDefault="00662F28" w:rsidP="00662F28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wskazać źródło danych np. baza danych sy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s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temu, BDL GUS, odpowiedzi/opinie interesariuszy, d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kumentacja projektowa, raport z realizacji, prot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sz w:val="20"/>
                <w:szCs w:val="20"/>
              </w:rPr>
              <w:t xml:space="preserve">kół odbioru systemu, albo inny dokument, który to potwierdzi wartość wskaźnika oraz </w:t>
            </w:r>
          </w:p>
          <w:p w14:paraId="362C32E3" w14:textId="45D2A9BD" w:rsidR="00C03D84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częstotliwość pomiaru, np. jednorazowo w dniu z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a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kończenia projektu mając na uwadze wykazaną pl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a</w:t>
            </w:r>
            <w:r w:rsidRPr="00FE3CF8">
              <w:rPr>
                <w:rFonts w:ascii="Calibri" w:hAnsi="Calibri" w:cs="Calibri"/>
                <w:sz w:val="20"/>
                <w:szCs w:val="20"/>
              </w:rPr>
              <w:t xml:space="preserve">nowaną docelową wartość wskaźnika KPI </w:t>
            </w:r>
            <w:r w:rsidRPr="00FE3CF8">
              <w:rPr>
                <w:rFonts w:ascii="Calibri" w:hAnsi="Calibri" w:cs="Calibri"/>
                <w:b/>
                <w:bCs/>
                <w:sz w:val="20"/>
                <w:szCs w:val="20"/>
              </w:rPr>
              <w:t>wraz z te</w:t>
            </w:r>
            <w:r w:rsidRPr="00FE3CF8">
              <w:rPr>
                <w:rFonts w:ascii="Calibri" w:hAnsi="Calibri" w:cs="Calibri"/>
                <w:b/>
                <w:bCs/>
                <w:sz w:val="20"/>
                <w:szCs w:val="20"/>
              </w:rPr>
              <w:t>r</w:t>
            </w:r>
            <w:r w:rsidRPr="00FE3CF8">
              <w:rPr>
                <w:rFonts w:ascii="Calibri" w:hAnsi="Calibri" w:cs="Calibri"/>
                <w:b/>
                <w:bCs/>
                <w:sz w:val="20"/>
                <w:szCs w:val="20"/>
              </w:rPr>
              <w:t>minem pomiaru.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0561" w14:textId="0E3CC235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4F0D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7FAAF28B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1D38" w14:textId="3E93E3BD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A8FE" w14:textId="30FD91E2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BBDC" w14:textId="4080179F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2.1. Cele i korz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ści wynikające z pr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C122" w14:textId="19A4D8A7" w:rsidR="00662F28" w:rsidRPr="00FE3CF8" w:rsidRDefault="00662F28" w:rsidP="00662F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 wierszu „KPI” wykazano wskaźnik „Liczba pracown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ków IT podmiotów wykonujących zadania publiczne objętych wsparciem szkoleniowym – kobiety”, którego wartość docelowa wynosi: 0. </w:t>
            </w:r>
          </w:p>
          <w:p w14:paraId="6370F1D7" w14:textId="40B923F2" w:rsidR="00C03D84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Nie należy wykazywać wskaźników, które nie zostaną zrealizowane w projekcie tj. ich wartość docelowa wynosi: 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ACE1" w14:textId="4BF335F5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2387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2ED31E7F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AC1D" w14:textId="3F0C7A51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CAD8" w14:textId="0AD25476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B966" w14:textId="2F2F75EA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2.3. Udostępni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ne informacje sektora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5050" w14:textId="77777777" w:rsidR="00662F28" w:rsidRPr="00FE3CF8" w:rsidRDefault="00662F28" w:rsidP="00662F28">
            <w:pPr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Niejasny jest zakres digitalizacji oraz udostępni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a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nia informacji/zasobów planowany do realizacji w proje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k</w:t>
            </w:r>
            <w:r w:rsidRPr="00FE3CF8">
              <w:rPr>
                <w:rFonts w:ascii="Calibri" w:hAnsi="Calibri" w:cs="Calibri"/>
                <w:sz w:val="20"/>
                <w:szCs w:val="20"/>
              </w:rPr>
              <w:t xml:space="preserve">cie. Dlatego sugerujemy przeredagowanie zapisów w kolumnie „Rodzaj informacji/zasobu” i uwzględnienie rozróżnienia, np.: </w:t>
            </w:r>
          </w:p>
          <w:p w14:paraId="0C4936AF" w14:textId="77777777" w:rsidR="00662F28" w:rsidRPr="00FE3CF8" w:rsidRDefault="00662F28" w:rsidP="00662F2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„Zdigitalizowane i udostępnione …………..” (jeśli zasób będzie digitalizowany i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jednocześnie ud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stępniony w ramach projektu)</w:t>
            </w:r>
          </w:p>
          <w:p w14:paraId="6FC37FF5" w14:textId="339B607B" w:rsidR="00662F28" w:rsidRPr="00FE3CF8" w:rsidRDefault="00662F28" w:rsidP="00662F2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„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Udostępnione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…” (jeśli zasób nie będzie digital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zowany w ramach projektu, ale będzie udostę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niony w projekcie)</w:t>
            </w:r>
          </w:p>
          <w:p w14:paraId="7DD184D9" w14:textId="3A10D689" w:rsidR="00C03D84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„Zdigitalizowane  …” (jeśli zasób będzie digital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zowany w ramach projektu, ale nie będzie ud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stępniony w projekcie)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27057" w14:textId="4C69D584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AF05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0A04D881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B325" w14:textId="36C95DE6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7772" w14:textId="41FEDFAD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248E" w14:textId="242025BE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2.4. Produkty ko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ń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cowe projektu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DF2E" w14:textId="77777777" w:rsidR="00662F28" w:rsidRPr="00FE3CF8" w:rsidRDefault="00662F28" w:rsidP="00662F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Należy wymienić sformułowaną jednoznacznie i prec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zyjnie nazwę produktu specjalistycznego projektu, do którego należy:</w:t>
            </w:r>
          </w:p>
          <w:p w14:paraId="15F45B1E" w14:textId="467FDEEC" w:rsidR="00C03D84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„Zakupione oprogramowanie dedykowane p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prawie 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bezpieczeństwa” 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– wykazane w pkt 4.2.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475E" w14:textId="1330F6CF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C734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2477FDF4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92B2" w14:textId="10383BD6" w:rsidR="00C03D84" w:rsidRPr="00FE3CF8" w:rsidRDefault="00C03D84" w:rsidP="00C03D8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9B97" w14:textId="69D7BB26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26A8" w14:textId="77777777" w:rsidR="00662F28" w:rsidRPr="00FE3CF8" w:rsidRDefault="00662F28" w:rsidP="00662F2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2.4. Produkty ko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ń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cowe projektu</w:t>
            </w:r>
          </w:p>
          <w:p w14:paraId="4047E378" w14:textId="31D2FB3C" w:rsidR="00C03D84" w:rsidRPr="00FE3CF8" w:rsidRDefault="00662F28" w:rsidP="00662F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3. Kamienie m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lowe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56DA" w14:textId="744D6DA9" w:rsidR="00C03D84" w:rsidRPr="00FE3CF8" w:rsidRDefault="00662F28" w:rsidP="002730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Wykazano kamień milowy o nazwie: „Uruch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mione stanowiska digitalizacyjne oraz serwis 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www Dziedzi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two Kulturowe Podlasia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”, podczas gdy w produktach końcowych wymieniono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dukt o nazwie: „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System do Ewidencji i Zarządz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nia Zbiorami Dziedzictwo Kulturowe Podlasia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” – należy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uspójnić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w całym dok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mencie nazwę 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kazanego systemu.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69E04" w14:textId="58790C1C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01D4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02FDBF43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4E9C" w14:textId="3540D6E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8FC3" w14:textId="14338FB4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048D" w14:textId="14209404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3. Kamienie m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lowe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DEC3" w14:textId="77777777" w:rsidR="00662F28" w:rsidRPr="00FE3CF8" w:rsidRDefault="00662F28" w:rsidP="00662F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Termin wdrożenia produktu: „Raport z badań UX” (01-2028) jest niespójny z powiązanym kamieniem mil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wym: „Uzyskany pozytywny wynik 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stów badań UX” (03-2028). </w:t>
            </w:r>
          </w:p>
          <w:p w14:paraId="571597D2" w14:textId="4B0E08D7" w:rsidR="00C03D84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Należy </w:t>
            </w:r>
            <w:proofErr w:type="spellStart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uspójnić</w:t>
            </w:r>
            <w:proofErr w:type="spellEnd"/>
            <w:r w:rsidRPr="00FE3CF8">
              <w:rPr>
                <w:rFonts w:asciiTheme="minorHAnsi" w:hAnsiTheme="minorHAnsi" w:cstheme="minorHAnsi"/>
                <w:sz w:val="20"/>
                <w:szCs w:val="20"/>
              </w:rPr>
              <w:t xml:space="preserve"> daty wdrożenia produktów pr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jektu z powiązanymi kamieniami milowymi.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4434" w14:textId="36D26EC1" w:rsidR="00C03D84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74D5" w14:textId="77777777" w:rsidR="00C03D84" w:rsidRPr="00FE3CF8" w:rsidRDefault="00C03D84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06C594C8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2370" w14:textId="12616175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5F14" w14:textId="12D1E165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2F25" w14:textId="32AE6473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3. Kamienie m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lowe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9714" w14:textId="0F1CD017" w:rsidR="00662F28" w:rsidRPr="00FE3CF8" w:rsidRDefault="00662F28" w:rsidP="002730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Kiedy planowana jest migracja zasobów do port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lu KRONIK@? Rekomendujemy dopisanie migracji zas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bów do portalu KRONIK@ w kamieniach m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lowych.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B5AE" w14:textId="41EFC11F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9EC4" w14:textId="77777777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015713D9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6C62" w14:textId="0F8F9849" w:rsidR="00662F28" w:rsidRPr="00FE3CF8" w:rsidRDefault="00662F28" w:rsidP="00C03D8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E07D" w14:textId="18C08E00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030A" w14:textId="26CED40A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4.2 Wykaz poszcz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e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gólnych pozycji koszt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sz w:val="20"/>
                <w:szCs w:val="20"/>
              </w:rPr>
              <w:t>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5221" w14:textId="2471435C" w:rsidR="00662F28" w:rsidRPr="00FE3CF8" w:rsidRDefault="00662F28" w:rsidP="002730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W pozycji kosztowej „oprogramowanie” nie wymi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niono kosztów wynagrodzenia pracowników meryt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rycznych wykonujących prace digitaliz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cyjne.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7801" w14:textId="25D0A864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AB28" w14:textId="77777777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FE3CF8" w:rsidRPr="00FE3CF8" w14:paraId="60CE33B8" w14:textId="77777777" w:rsidTr="00C03D8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181E" w14:textId="597C0EC9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F7CA" w14:textId="1F0D3D04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CAE4" w14:textId="3DD0FD98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7.1. Widok koop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racji aplikacji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9003" w14:textId="77777777" w:rsidR="00662F28" w:rsidRPr="00FE3CF8" w:rsidRDefault="00662F28" w:rsidP="00662F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W kolumnie „sposób wymiany danych”, zgodnie z opisem na wzorze formularza należy podać i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formację "wg KRI: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- tryb </w:t>
            </w:r>
            <w:proofErr w:type="spellStart"/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odwołań</w:t>
            </w:r>
            <w:proofErr w:type="spellEnd"/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bezpośrednich (§13 ust. 2) </w:t>
            </w: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- lub kopiowanie danych (§13 ust. 3)”</w:t>
            </w:r>
          </w:p>
          <w:p w14:paraId="15008AD3" w14:textId="19A5A852" w:rsidR="00662F28" w:rsidRPr="00FE3CF8" w:rsidRDefault="00662F28" w:rsidP="00662F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Pozostałe zapisy są nadmiarowe.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716E" w14:textId="1CC344F7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color w:val="000000"/>
                <w:sz w:val="20"/>
                <w:szCs w:val="20"/>
              </w:rPr>
              <w:t>Proszę o analizę i wyjaśnienie.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6C50" w14:textId="77777777" w:rsidR="00662F28" w:rsidRPr="00FE3CF8" w:rsidRDefault="00662F28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uwagi, naniesiono poprawki</w:t>
            </w:r>
          </w:p>
        </w:tc>
      </w:tr>
      <w:tr w:rsidR="0010654A" w:rsidRPr="00FE3CF8" w14:paraId="09D9FB2C" w14:textId="77777777" w:rsidTr="001065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7A86" w14:textId="3BE91E5B" w:rsidR="0010654A" w:rsidRPr="00FE3CF8" w:rsidRDefault="0010654A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FE3CF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4B2A" w14:textId="207B9C45" w:rsidR="0010654A" w:rsidRPr="00FE3CF8" w:rsidRDefault="0010654A" w:rsidP="002730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MF</w:t>
            </w:r>
            <w:r w:rsidR="00FE3CF8"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FE3CF8"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E3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77E7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Cs/>
                <w:sz w:val="20"/>
                <w:szCs w:val="20"/>
              </w:rPr>
              <w:t>2.1 Cele i</w:t>
            </w:r>
          </w:p>
          <w:p w14:paraId="09D29F21" w14:textId="5F25F44E" w:rsidR="0010654A" w:rsidRPr="00FE3CF8" w:rsidRDefault="0010654A" w:rsidP="0010654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Cs/>
                <w:sz w:val="20"/>
                <w:szCs w:val="20"/>
              </w:rPr>
              <w:t>korzyści</w:t>
            </w:r>
          </w:p>
          <w:p w14:paraId="702F7007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Cs/>
                <w:sz w:val="20"/>
                <w:szCs w:val="20"/>
              </w:rPr>
              <w:t>wynikające z</w:t>
            </w:r>
          </w:p>
          <w:p w14:paraId="2F0D2DA0" w14:textId="66E9C1D7" w:rsidR="0010654A" w:rsidRPr="00FE3CF8" w:rsidRDefault="0010654A" w:rsidP="0010654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bCs/>
                <w:sz w:val="20"/>
                <w:szCs w:val="20"/>
              </w:rPr>
              <w:t>projektu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F762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1. Wskaźnik „Liczba podmiotów</w:t>
            </w:r>
          </w:p>
          <w:p w14:paraId="7F1A67F4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wspartych w zakresie</w:t>
            </w:r>
          </w:p>
          <w:p w14:paraId="3312F780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E3CF8">
              <w:rPr>
                <w:rFonts w:ascii="Calibri" w:hAnsi="Calibri" w:cs="Calibri"/>
                <w:sz w:val="20"/>
                <w:szCs w:val="20"/>
              </w:rPr>
              <w:t>cyberbezpieczeństwa</w:t>
            </w:r>
            <w:proofErr w:type="spellEnd"/>
            <w:r w:rsidRPr="00FE3CF8">
              <w:rPr>
                <w:rFonts w:ascii="Calibri" w:hAnsi="Calibri" w:cs="Calibri"/>
                <w:sz w:val="20"/>
                <w:szCs w:val="20"/>
              </w:rPr>
              <w:t>” nie jest</w:t>
            </w:r>
          </w:p>
          <w:p w14:paraId="79ADA6B7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adekwatny dla działania 2.3 FERC (jest</w:t>
            </w:r>
          </w:p>
          <w:p w14:paraId="15E1A3AF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to wskaźnik z zakresu działania 2.2</w:t>
            </w:r>
          </w:p>
          <w:p w14:paraId="0C5124F4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FERC).</w:t>
            </w:r>
          </w:p>
          <w:p w14:paraId="200356D8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2. W przypadku niniejszego projektu</w:t>
            </w:r>
          </w:p>
          <w:p w14:paraId="3B276AC5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właściwy wskaźnik opisujący liczbę</w:t>
            </w:r>
          </w:p>
          <w:p w14:paraId="7237DA49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podmiotów, które uzyskały wsparcie</w:t>
            </w:r>
          </w:p>
          <w:p w14:paraId="63BE10BD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to: Instytucje publiczne otrzymujące</w:t>
            </w:r>
          </w:p>
          <w:p w14:paraId="0D9503FF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wsparcie na opracowywanie usług,</w:t>
            </w:r>
          </w:p>
          <w:p w14:paraId="28C6FF3E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produktów i procesów cyfrowych”</w:t>
            </w:r>
          </w:p>
          <w:p w14:paraId="753AAA70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zamiast wskaźnika: „Liczba</w:t>
            </w:r>
          </w:p>
          <w:p w14:paraId="66A97E60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podmiotów wspartych w zakresie</w:t>
            </w:r>
          </w:p>
          <w:p w14:paraId="0F62141A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lastRenderedPageBreak/>
              <w:t>rozwoju usług, produktów i procesów</w:t>
            </w:r>
          </w:p>
          <w:p w14:paraId="40A9DA26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cyfrowych”.</w:t>
            </w:r>
          </w:p>
          <w:p w14:paraId="4F22C031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3. Liczba zdigitalizowanych i</w:t>
            </w:r>
          </w:p>
          <w:p w14:paraId="0333F038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udostępnionych muzealiów – jest to</w:t>
            </w:r>
          </w:p>
          <w:p w14:paraId="7A9354B4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wskaźnik własny, który powiela się ze</w:t>
            </w:r>
          </w:p>
          <w:p w14:paraId="01257EB9" w14:textId="77777777" w:rsidR="0010654A" w:rsidRPr="00FE3CF8" w:rsidRDefault="0010654A" w:rsidP="0010654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wskaźnikami już określonymi dla</w:t>
            </w:r>
          </w:p>
          <w:p w14:paraId="2BEEE2FE" w14:textId="167B3708" w:rsidR="0010654A" w:rsidRPr="00FE3CF8" w:rsidRDefault="0010654A" w:rsidP="0010654A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działania 2.3.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E458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lastRenderedPageBreak/>
              <w:t>1. Wskaźnik „Liczba podmiotów wspartych w</w:t>
            </w:r>
          </w:p>
          <w:p w14:paraId="6479E7D9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 xml:space="preserve">zakresie </w:t>
            </w:r>
            <w:proofErr w:type="spellStart"/>
            <w:r w:rsidRPr="00FE3CF8">
              <w:rPr>
                <w:rFonts w:ascii="Calibri" w:hAnsi="Calibri" w:cs="Calibri"/>
                <w:sz w:val="20"/>
                <w:szCs w:val="20"/>
              </w:rPr>
              <w:t>cyberbezpieczeństwa</w:t>
            </w:r>
            <w:proofErr w:type="spellEnd"/>
            <w:r w:rsidRPr="00FE3CF8">
              <w:rPr>
                <w:rFonts w:ascii="Calibri" w:hAnsi="Calibri" w:cs="Calibri"/>
                <w:sz w:val="20"/>
                <w:szCs w:val="20"/>
              </w:rPr>
              <w:t>” należy usunąć.</w:t>
            </w:r>
          </w:p>
          <w:p w14:paraId="33C04E8B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2. Wskaźnik „Liczba podmiotów wspartych w</w:t>
            </w:r>
          </w:p>
          <w:p w14:paraId="7391F4BF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zakresie rozwoju usług, produktów i procesów</w:t>
            </w:r>
          </w:p>
          <w:p w14:paraId="416743D0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cyfrowych” należy zastąpić wskaźnikiem</w:t>
            </w:r>
          </w:p>
          <w:p w14:paraId="31A1694A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„Instytucje publiczne otrzymujące wsparcie na</w:t>
            </w:r>
          </w:p>
          <w:p w14:paraId="185116D9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opracowywanie usług, produktów i procesów</w:t>
            </w:r>
          </w:p>
          <w:p w14:paraId="79E649F0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cyfrowych”. Zgodnie z jego definicją wskaźnika,</w:t>
            </w:r>
          </w:p>
          <w:p w14:paraId="12AF647E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obejmuje on wszystkie instytucje publiczne poza</w:t>
            </w:r>
          </w:p>
          <w:p w14:paraId="6DAEE341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przedsiębiorstwami komunalnymi, publicznymi</w:t>
            </w:r>
          </w:p>
          <w:p w14:paraId="69511844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uczelniami, instytutami badawczymi.</w:t>
            </w:r>
          </w:p>
          <w:p w14:paraId="671CD905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3. Zamiast wskaźnika własnego należy monitorować</w:t>
            </w:r>
          </w:p>
          <w:p w14:paraId="58BE795E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wskaźniki określone już w działaniu 2.3, tj.:</w:t>
            </w:r>
          </w:p>
          <w:p w14:paraId="1E430236" w14:textId="5778792B" w:rsidR="0010654A" w:rsidRPr="00FE3CF8" w:rsidRDefault="0010654A" w:rsidP="001065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Liczba udostępnionych on-line dokumentów</w:t>
            </w:r>
          </w:p>
          <w:p w14:paraId="0BB89D26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lastRenderedPageBreak/>
              <w:t>zawierających informacje sektora</w:t>
            </w:r>
          </w:p>
          <w:p w14:paraId="447171E1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publicznego/dane prywatne</w:t>
            </w:r>
          </w:p>
          <w:p w14:paraId="4F2A8B9F" w14:textId="7B86ED18" w:rsidR="0010654A" w:rsidRPr="00FE3CF8" w:rsidRDefault="0010654A" w:rsidP="001065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Liczba zdigitalizowanych dokumentów</w:t>
            </w:r>
          </w:p>
          <w:p w14:paraId="2E3B2629" w14:textId="77777777" w:rsidR="0010654A" w:rsidRPr="00FE3CF8" w:rsidRDefault="0010654A" w:rsidP="001065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zawierających informacje sektora</w:t>
            </w:r>
          </w:p>
          <w:p w14:paraId="0686F4AE" w14:textId="2E33ACBE" w:rsidR="0010654A" w:rsidRPr="00FE3CF8" w:rsidRDefault="0010654A" w:rsidP="001065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3CF8">
              <w:rPr>
                <w:rFonts w:ascii="Calibri" w:hAnsi="Calibri" w:cs="Calibri"/>
                <w:sz w:val="20"/>
                <w:szCs w:val="20"/>
              </w:rPr>
              <w:t>publicznego/dane prywatne.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78DA" w14:textId="77777777" w:rsidR="0010654A" w:rsidRPr="00FE3CF8" w:rsidRDefault="0010654A" w:rsidP="002730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CF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uw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gi, naniesi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E3CF8">
              <w:rPr>
                <w:rFonts w:asciiTheme="minorHAnsi" w:hAnsiTheme="minorHAnsi" w:cstheme="minorHAnsi"/>
                <w:sz w:val="20"/>
                <w:szCs w:val="20"/>
              </w:rPr>
              <w:t>no poprawki</w:t>
            </w:r>
          </w:p>
        </w:tc>
      </w:tr>
    </w:tbl>
    <w:p w14:paraId="5405FE1B" w14:textId="77777777" w:rsidR="00C64B1B" w:rsidRPr="00FE3CF8" w:rsidRDefault="00C64B1B" w:rsidP="00C03D84">
      <w:pPr>
        <w:rPr>
          <w:sz w:val="20"/>
          <w:szCs w:val="20"/>
        </w:rPr>
      </w:pPr>
    </w:p>
    <w:sectPr w:rsidR="00C64B1B" w:rsidRPr="00FE3CF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75BE"/>
    <w:multiLevelType w:val="multilevel"/>
    <w:tmpl w:val="BCB6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3CC3736"/>
    <w:multiLevelType w:val="hybridMultilevel"/>
    <w:tmpl w:val="0484A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4C6686"/>
    <w:multiLevelType w:val="hybridMultilevel"/>
    <w:tmpl w:val="E3CA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06224"/>
    <w:rsid w:val="00034258"/>
    <w:rsid w:val="00047E99"/>
    <w:rsid w:val="00053A3F"/>
    <w:rsid w:val="00066299"/>
    <w:rsid w:val="0010654A"/>
    <w:rsid w:val="001265A4"/>
    <w:rsid w:val="00140BE8"/>
    <w:rsid w:val="00154627"/>
    <w:rsid w:val="0019648E"/>
    <w:rsid w:val="001B0E9B"/>
    <w:rsid w:val="002337B4"/>
    <w:rsid w:val="00234F72"/>
    <w:rsid w:val="002413DE"/>
    <w:rsid w:val="002715B2"/>
    <w:rsid w:val="002A07FF"/>
    <w:rsid w:val="003124D1"/>
    <w:rsid w:val="0032266F"/>
    <w:rsid w:val="003B4105"/>
    <w:rsid w:val="003E59C6"/>
    <w:rsid w:val="00475D0B"/>
    <w:rsid w:val="004D086F"/>
    <w:rsid w:val="005F6527"/>
    <w:rsid w:val="00600F62"/>
    <w:rsid w:val="00662F28"/>
    <w:rsid w:val="006705EC"/>
    <w:rsid w:val="006E16E9"/>
    <w:rsid w:val="006E716E"/>
    <w:rsid w:val="00807385"/>
    <w:rsid w:val="00944932"/>
    <w:rsid w:val="009E5FDB"/>
    <w:rsid w:val="00A06425"/>
    <w:rsid w:val="00A75EA9"/>
    <w:rsid w:val="00AC7796"/>
    <w:rsid w:val="00B556C9"/>
    <w:rsid w:val="00B871B6"/>
    <w:rsid w:val="00C03D84"/>
    <w:rsid w:val="00C64B1B"/>
    <w:rsid w:val="00CD5EB0"/>
    <w:rsid w:val="00D46157"/>
    <w:rsid w:val="00DB3A59"/>
    <w:rsid w:val="00DE2378"/>
    <w:rsid w:val="00E14C33"/>
    <w:rsid w:val="00E2267D"/>
    <w:rsid w:val="00EA5C13"/>
    <w:rsid w:val="00EF51EB"/>
    <w:rsid w:val="00FE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AF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B556C9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662F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B556C9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662F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2173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Krystyna Stawecka</cp:lastModifiedBy>
  <cp:revision>6</cp:revision>
  <dcterms:created xsi:type="dcterms:W3CDTF">2024-12-03T19:51:00Z</dcterms:created>
  <dcterms:modified xsi:type="dcterms:W3CDTF">2024-12-04T18:46:00Z</dcterms:modified>
</cp:coreProperties>
</file>