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7588C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CCCB2B3" w14:textId="46761CFA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B739A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</w:t>
      </w:r>
      <w:r w:rsidR="00B739AF">
        <w:rPr>
          <w:rFonts w:ascii="Arial" w:hAnsi="Arial" w:cs="Arial"/>
          <w:b/>
          <w:color w:val="auto"/>
          <w:sz w:val="24"/>
          <w:szCs w:val="24"/>
        </w:rPr>
        <w:t>2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79315CB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F04D93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CE45C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3A03003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BF84CA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563A2F" w14:textId="77777777" w:rsidR="00CD7C2B" w:rsidRPr="00CA1A2A" w:rsidRDefault="00EA6C3E" w:rsidP="00CD7C2B">
            <w:pPr>
              <w:spacing w:line="276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Minister Kultury, </w:t>
            </w:r>
            <w:r w:rsidR="00CD7C2B" w:rsidRPr="00CA1A2A">
              <w:rPr>
                <w:rFonts w:cstheme="minorHAnsi"/>
              </w:rPr>
              <w:t>Dziedzictwa Narodowego</w:t>
            </w:r>
            <w:r>
              <w:rPr>
                <w:rFonts w:cstheme="minorHAnsi"/>
              </w:rPr>
              <w:t xml:space="preserve"> i Sportu</w:t>
            </w:r>
          </w:p>
        </w:tc>
      </w:tr>
      <w:tr w:rsidR="00CD7C2B" w:rsidRPr="0030196F" w14:paraId="5CF7B75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2BB0A5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4770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1C5A584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405B7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2CC0A" w14:textId="77777777" w:rsidR="00CD7C2B" w:rsidRPr="00CA1A2A" w:rsidRDefault="00CD7C2B" w:rsidP="004B3691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 xml:space="preserve">Muzeum Historii Żydów Polskich POLIN, Muzeum </w:t>
            </w:r>
            <w:r w:rsidR="004B3691">
              <w:rPr>
                <w:rFonts w:cstheme="minorHAnsi"/>
              </w:rPr>
              <w:t>Narodowe</w:t>
            </w:r>
            <w:r w:rsidRPr="00CA1A2A">
              <w:rPr>
                <w:rFonts w:cstheme="minorHAnsi"/>
              </w:rPr>
              <w:t xml:space="preserve"> w Lublinie, Muzeum Narodowe w Szczecinie, Muzeum-Zamek w Łańcucie</w:t>
            </w:r>
          </w:p>
        </w:tc>
      </w:tr>
      <w:tr w:rsidR="00CD7C2B" w:rsidRPr="002B50C0" w14:paraId="5609CB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F8671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6CC84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0830DFE3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7697A85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D3A483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625B14D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3AB752" w14:textId="63AADF36" w:rsidR="00F7044C" w:rsidRPr="00F7044C" w:rsidRDefault="00805646" w:rsidP="00F7044C">
            <w:pPr>
              <w:pStyle w:val="Bezodstpw"/>
              <w:rPr>
                <w:sz w:val="16"/>
                <w:szCs w:val="16"/>
              </w:rPr>
            </w:pPr>
            <w:r w:rsidRPr="00805646">
              <w:rPr>
                <w:rFonts w:cstheme="minorHAnsi"/>
                <w:lang w:eastAsia="pl-PL"/>
              </w:rPr>
              <w:t>12 142 591,36</w:t>
            </w:r>
            <w:r>
              <w:rPr>
                <w:rFonts w:cstheme="minorHAnsi"/>
                <w:lang w:eastAsia="pl-PL"/>
              </w:rPr>
              <w:t xml:space="preserve"> </w:t>
            </w:r>
            <w:r w:rsidR="005E7F86" w:rsidRPr="006A1FD3">
              <w:rPr>
                <w:rFonts w:cstheme="minorHAnsi"/>
                <w:lang w:eastAsia="pl-PL"/>
              </w:rPr>
              <w:t>zł (wartość początkowa: 12 168 309,23 zł)</w:t>
            </w:r>
          </w:p>
        </w:tc>
      </w:tr>
      <w:tr w:rsidR="005212C8" w:rsidRPr="002B50C0" w14:paraId="1284D7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230759" w14:textId="77777777" w:rsidR="005212C8" w:rsidRPr="006A1FD3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A1FD3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6A1FD3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6A1FD3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DBC12" w14:textId="507FC017" w:rsidR="005212C8" w:rsidRPr="006A1FD3" w:rsidRDefault="006A1F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A1FD3">
              <w:rPr>
                <w:rFonts w:cstheme="minorHAnsi"/>
                <w:lang w:eastAsia="pl-PL"/>
              </w:rPr>
              <w:t xml:space="preserve">10 686 736,21 </w:t>
            </w:r>
            <w:r w:rsidR="00915C7A" w:rsidRPr="006A1FD3">
              <w:rPr>
                <w:rFonts w:cstheme="minorHAnsi"/>
                <w:lang w:eastAsia="pl-PL"/>
              </w:rPr>
              <w:t>zł</w:t>
            </w:r>
          </w:p>
        </w:tc>
      </w:tr>
      <w:tr w:rsidR="00CA516B" w:rsidRPr="002B50C0" w14:paraId="15C9AFB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CF51D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69405E4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B2EA0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7565F143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2E5A0FB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1E5DB0F3" w14:textId="77777777" w:rsidR="003C7325" w:rsidRPr="0030691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0691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0691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0691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111BF" w:rsidRPr="008111BF" w14:paraId="7BA31A4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B5A261C" w14:textId="77777777" w:rsidR="00907F6D" w:rsidRPr="008111B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111B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C74ACC2" w14:textId="77777777" w:rsidR="00907F6D" w:rsidRPr="008111B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11B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31444E0" w14:textId="77777777" w:rsidR="00907F6D" w:rsidRPr="008111B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11BF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8111BF" w14:paraId="18573A6D" w14:textId="77777777" w:rsidTr="00795AFA">
        <w:tc>
          <w:tcPr>
            <w:tcW w:w="2972" w:type="dxa"/>
          </w:tcPr>
          <w:p w14:paraId="3B339B30" w14:textId="1D4E257D" w:rsidR="00915C7A" w:rsidRPr="008111BF" w:rsidRDefault="00B739AF" w:rsidP="002B0FB3">
            <w:pPr>
              <w:rPr>
                <w:rFonts w:cstheme="minorHAnsi"/>
                <w:sz w:val="18"/>
                <w:szCs w:val="20"/>
              </w:rPr>
            </w:pPr>
            <w:r w:rsidRPr="008111BF">
              <w:rPr>
                <w:rFonts w:cstheme="minorHAnsi"/>
              </w:rPr>
              <w:t>100</w:t>
            </w:r>
            <w:r w:rsidR="00F70175" w:rsidRPr="008111BF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45D55D46" w14:textId="4AD87896" w:rsidR="0049731B" w:rsidRPr="008111BF" w:rsidRDefault="0049731B" w:rsidP="0049731B">
            <w:pPr>
              <w:rPr>
                <w:rFonts w:cstheme="minorHAnsi"/>
                <w:szCs w:val="20"/>
              </w:rPr>
            </w:pPr>
            <w:r w:rsidRPr="008111BF">
              <w:rPr>
                <w:rFonts w:cstheme="minorHAnsi"/>
                <w:szCs w:val="20"/>
              </w:rPr>
              <w:t xml:space="preserve">1. </w:t>
            </w:r>
            <w:r w:rsidR="00093B14">
              <w:rPr>
                <w:rFonts w:cstheme="minorHAnsi"/>
                <w:szCs w:val="20"/>
              </w:rPr>
              <w:t>100</w:t>
            </w:r>
            <w:r w:rsidR="00CB42AB" w:rsidRPr="008111BF">
              <w:rPr>
                <w:rFonts w:cstheme="minorHAnsi"/>
                <w:szCs w:val="20"/>
              </w:rPr>
              <w:t>%</w:t>
            </w:r>
          </w:p>
          <w:p w14:paraId="2568224B" w14:textId="62E3434B" w:rsidR="0049731B" w:rsidRPr="008111BF" w:rsidRDefault="0049731B" w:rsidP="0049731B">
            <w:pPr>
              <w:rPr>
                <w:rFonts w:cstheme="minorHAnsi"/>
                <w:szCs w:val="20"/>
              </w:rPr>
            </w:pPr>
            <w:r w:rsidRPr="008111BF">
              <w:rPr>
                <w:rFonts w:cstheme="minorHAnsi"/>
                <w:szCs w:val="20"/>
              </w:rPr>
              <w:t xml:space="preserve">2. </w:t>
            </w:r>
            <w:r w:rsidR="00093B14">
              <w:rPr>
                <w:rFonts w:cstheme="minorHAnsi"/>
                <w:szCs w:val="20"/>
              </w:rPr>
              <w:t>96,48</w:t>
            </w:r>
            <w:r w:rsidR="006A1FD3" w:rsidRPr="008111BF">
              <w:rPr>
                <w:rFonts w:cstheme="minorHAnsi"/>
                <w:szCs w:val="20"/>
              </w:rPr>
              <w:t>%</w:t>
            </w:r>
          </w:p>
          <w:p w14:paraId="26F86540" w14:textId="01ABEA80" w:rsidR="0049731B" w:rsidRPr="008111BF" w:rsidRDefault="0049731B" w:rsidP="00093B14">
            <w:pPr>
              <w:rPr>
                <w:rFonts w:cstheme="minorHAnsi"/>
                <w:sz w:val="18"/>
                <w:szCs w:val="20"/>
              </w:rPr>
            </w:pPr>
            <w:r w:rsidRPr="008111BF">
              <w:rPr>
                <w:rFonts w:cstheme="minorHAnsi"/>
                <w:szCs w:val="20"/>
              </w:rPr>
              <w:t xml:space="preserve">3. </w:t>
            </w:r>
            <w:r w:rsidR="00093B14">
              <w:rPr>
                <w:rFonts w:cstheme="minorHAnsi"/>
                <w:szCs w:val="20"/>
              </w:rPr>
              <w:t>100</w:t>
            </w:r>
            <w:r w:rsidR="006A1FD3" w:rsidRPr="008111BF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250FF1A" w14:textId="5D663987" w:rsidR="0049731B" w:rsidRPr="008111BF" w:rsidRDefault="00093B14" w:rsidP="004C70D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100</w:t>
            </w:r>
            <w:r w:rsidR="006A1FD3" w:rsidRPr="008111BF">
              <w:rPr>
                <w:rFonts w:cstheme="minorHAnsi"/>
                <w:szCs w:val="20"/>
              </w:rPr>
              <w:t>%</w:t>
            </w:r>
          </w:p>
        </w:tc>
      </w:tr>
    </w:tbl>
    <w:p w14:paraId="656920FE" w14:textId="77777777" w:rsidR="002B50C0" w:rsidRPr="008111BF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D238F5C" w14:textId="77777777" w:rsidR="00E42938" w:rsidRPr="008111BF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8111BF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8111BF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8111BF">
        <w:rPr>
          <w:rFonts w:ascii="Arial" w:hAnsi="Arial" w:cs="Arial"/>
          <w:color w:val="auto"/>
        </w:rPr>
        <w:t xml:space="preserve"> </w:t>
      </w:r>
      <w:r w:rsidR="00B41415" w:rsidRPr="008111BF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8111BF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8111BF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8111BF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283F8328" w14:textId="77777777" w:rsidR="00CF2E64" w:rsidRPr="008111BF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111BF">
        <w:rPr>
          <w:rFonts w:ascii="Arial" w:hAnsi="Arial" w:cs="Arial"/>
          <w:b/>
          <w:sz w:val="20"/>
          <w:szCs w:val="20"/>
        </w:rPr>
        <w:t>Kamienie milowe</w:t>
      </w:r>
    </w:p>
    <w:p w14:paraId="27975AFE" w14:textId="77777777" w:rsidR="00FE2266" w:rsidRPr="006B493D" w:rsidRDefault="00FE2266" w:rsidP="00141A92">
      <w:pPr>
        <w:spacing w:after="120" w:line="240" w:lineRule="auto"/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636E7AE6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748A845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049F35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95C6961" w14:textId="77777777" w:rsidR="00721EB8" w:rsidRPr="008111BF" w:rsidRDefault="00721EB8" w:rsidP="00721EB8">
            <w:pPr>
              <w:rPr>
                <w:rFonts w:ascii="Arial" w:hAnsi="Arial" w:cs="Arial"/>
                <w:b/>
              </w:rPr>
            </w:pPr>
            <w:r w:rsidRPr="008111BF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9437FC3" w14:textId="77777777" w:rsidR="00721EB8" w:rsidRPr="008111BF" w:rsidRDefault="00721EB8" w:rsidP="00721EB8">
            <w:pPr>
              <w:rPr>
                <w:rFonts w:ascii="Arial" w:hAnsi="Arial" w:cs="Arial"/>
                <w:b/>
              </w:rPr>
            </w:pPr>
            <w:r w:rsidRPr="008111BF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0D8932CC" w14:textId="77777777" w:rsidR="00721EB8" w:rsidRPr="008111BF" w:rsidRDefault="00721EB8" w:rsidP="00721EB8">
            <w:pPr>
              <w:rPr>
                <w:rFonts w:ascii="Arial" w:hAnsi="Arial" w:cs="Arial"/>
                <w:b/>
              </w:rPr>
            </w:pPr>
            <w:r w:rsidRPr="008111BF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67130D5" w14:textId="77777777" w:rsidTr="00FC52B9">
        <w:tc>
          <w:tcPr>
            <w:tcW w:w="3119" w:type="dxa"/>
            <w:vAlign w:val="bottom"/>
          </w:tcPr>
          <w:p w14:paraId="206DABA3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5D24" w14:textId="7777777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A3BB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127E827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7301CAE0" w14:textId="4AD3A891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A26C2B">
              <w:rPr>
                <w:rFonts w:ascii="Calibri" w:hAnsi="Calibri" w:cs="Calibri"/>
                <w:color w:val="000000"/>
              </w:rPr>
              <w:t>03-2022</w:t>
            </w:r>
          </w:p>
        </w:tc>
        <w:tc>
          <w:tcPr>
            <w:tcW w:w="1842" w:type="dxa"/>
          </w:tcPr>
          <w:p w14:paraId="025B572F" w14:textId="77777777" w:rsidR="00A26C2B" w:rsidRDefault="00A26C2B" w:rsidP="00A26C2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26D0E1BF" w14:textId="16A63C1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07BB" w:rsidRPr="005F244D" w14:paraId="3F3C68CA" w14:textId="77777777" w:rsidTr="00FC52B9">
        <w:tc>
          <w:tcPr>
            <w:tcW w:w="3119" w:type="dxa"/>
            <w:vAlign w:val="bottom"/>
          </w:tcPr>
          <w:p w14:paraId="2F6B2A0E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K2 - Opracowanie metadanych, opisów popularyzatorskich oraz tłumaczeń dla </w:t>
            </w:r>
            <w:proofErr w:type="spellStart"/>
            <w:r>
              <w:rPr>
                <w:rFonts w:ascii="Calibri" w:hAnsi="Calibri" w:cs="Calibri"/>
                <w:color w:val="000000"/>
              </w:rPr>
              <w:t>zdigitalizowanych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2A49" w14:textId="77777777" w:rsidR="00AD07BB" w:rsidRPr="007A2E2A" w:rsidRDefault="006A3BB5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5180C22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696577C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5376BC">
              <w:rPr>
                <w:rFonts w:ascii="Calibri" w:hAnsi="Calibri" w:cs="Calibri"/>
                <w:color w:val="000000"/>
              </w:rPr>
              <w:t>12-2021</w:t>
            </w:r>
          </w:p>
        </w:tc>
        <w:tc>
          <w:tcPr>
            <w:tcW w:w="1842" w:type="dxa"/>
          </w:tcPr>
          <w:p w14:paraId="7E704155" w14:textId="7B378E74" w:rsidR="00AD07BB" w:rsidRDefault="00632AB6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5376BC">
              <w:rPr>
                <w:rFonts w:ascii="Calibri" w:hAnsi="Calibri" w:cs="Calibri"/>
                <w:color w:val="000000"/>
              </w:rPr>
              <w:t>siągnięty</w:t>
            </w:r>
          </w:p>
          <w:p w14:paraId="1D60EBE8" w14:textId="77777777" w:rsidR="00632AB6" w:rsidRDefault="00632AB6" w:rsidP="00AD07BB">
            <w:pPr>
              <w:rPr>
                <w:rFonts w:ascii="Calibri" w:hAnsi="Calibri" w:cs="Calibri"/>
                <w:color w:val="000000"/>
              </w:rPr>
            </w:pPr>
          </w:p>
          <w:p w14:paraId="20A6EF70" w14:textId="75323E39" w:rsidR="00632AB6" w:rsidRPr="00632AB6" w:rsidRDefault="00632AB6" w:rsidP="00AD07BB">
            <w:pPr>
              <w:rPr>
                <w:rFonts w:ascii="Arial" w:hAnsi="Arial" w:cs="Arial"/>
                <w:sz w:val="16"/>
                <w:szCs w:val="16"/>
              </w:rPr>
            </w:pPr>
            <w:r w:rsidRPr="00632AB6">
              <w:rPr>
                <w:rFonts w:ascii="Arial" w:hAnsi="Arial" w:cs="Arial"/>
                <w:sz w:val="16"/>
                <w:szCs w:val="16"/>
              </w:rPr>
              <w:t>Kamień milowy został osiągnięty po terminie ze względu na opóźnienie realizacji prac spowodowane epidemią COVID-19</w:t>
            </w:r>
          </w:p>
        </w:tc>
      </w:tr>
      <w:tr w:rsidR="00AD07BB" w:rsidRPr="005F244D" w14:paraId="5F93982B" w14:textId="77777777" w:rsidTr="00FC52B9">
        <w:tc>
          <w:tcPr>
            <w:tcW w:w="3119" w:type="dxa"/>
            <w:vAlign w:val="bottom"/>
          </w:tcPr>
          <w:p w14:paraId="0B8CE3B4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K3 - Zakończenie prac nad ujednoliceniem haseł słownikowych w zakresie udostępnianym we wspólnej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82D75" w14:textId="7777777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4FC4BCC4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498A8E2F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637D78E3" w14:textId="75F57BDA" w:rsidR="00AD07BB" w:rsidRPr="007A2E2A" w:rsidRDefault="00A26C2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7657B7">
              <w:rPr>
                <w:rFonts w:ascii="Calibri" w:hAnsi="Calibri" w:cs="Calibri"/>
                <w:color w:val="000000"/>
              </w:rPr>
              <w:t>siągnięty</w:t>
            </w:r>
          </w:p>
        </w:tc>
      </w:tr>
      <w:tr w:rsidR="00AD07BB" w:rsidRPr="005F244D" w14:paraId="40823BD4" w14:textId="77777777" w:rsidTr="00FC52B9">
        <w:tc>
          <w:tcPr>
            <w:tcW w:w="3119" w:type="dxa"/>
            <w:vAlign w:val="bottom"/>
          </w:tcPr>
          <w:p w14:paraId="3C41A58E" w14:textId="77777777" w:rsidR="00AD07BB" w:rsidRPr="007A2E2A" w:rsidRDefault="00AD07BB" w:rsidP="005376BC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K4 - Dostosowanie stron internetowych lub API stron instytucji: Muzeum Narodowego w Szczecinie, Muzeum </w:t>
            </w:r>
            <w:r w:rsidR="004B3691">
              <w:rPr>
                <w:rFonts w:ascii="Calibri" w:hAnsi="Calibri" w:cs="Calibri"/>
                <w:color w:val="000000"/>
              </w:rPr>
              <w:t>Narodowego</w:t>
            </w:r>
            <w:r>
              <w:rPr>
                <w:rFonts w:ascii="Calibri" w:hAnsi="Calibri" w:cs="Calibri"/>
                <w:color w:val="000000"/>
              </w:rPr>
              <w:t xml:space="preserve">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8FCB2" w14:textId="77777777" w:rsidR="00AD07BB" w:rsidRPr="00793505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658316C6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10D8929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5376BC">
              <w:rPr>
                <w:rFonts w:ascii="Calibri" w:hAnsi="Calibri" w:cs="Calibri"/>
                <w:color w:val="000000"/>
              </w:rPr>
              <w:t>12-2021</w:t>
            </w:r>
          </w:p>
        </w:tc>
        <w:tc>
          <w:tcPr>
            <w:tcW w:w="1842" w:type="dxa"/>
          </w:tcPr>
          <w:p w14:paraId="5B5BA5B1" w14:textId="1C17AE4A" w:rsidR="00DB79B6" w:rsidRDefault="00632AB6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5376BC">
              <w:rPr>
                <w:rFonts w:ascii="Calibri" w:hAnsi="Calibri" w:cs="Calibri"/>
                <w:color w:val="000000"/>
              </w:rPr>
              <w:t>siągnięty</w:t>
            </w:r>
          </w:p>
          <w:p w14:paraId="23173705" w14:textId="77777777" w:rsidR="00632AB6" w:rsidRDefault="00632AB6" w:rsidP="00AD07BB">
            <w:pPr>
              <w:rPr>
                <w:rFonts w:ascii="Calibri" w:hAnsi="Calibri" w:cs="Calibri"/>
                <w:color w:val="000000"/>
              </w:rPr>
            </w:pPr>
          </w:p>
          <w:p w14:paraId="2F53E4EE" w14:textId="5AB3F4A1" w:rsidR="00632AB6" w:rsidRPr="00632AB6" w:rsidRDefault="00632AB6" w:rsidP="00AD07BB">
            <w:pPr>
              <w:rPr>
                <w:rFonts w:ascii="Arial" w:hAnsi="Arial" w:cs="Arial"/>
                <w:sz w:val="16"/>
                <w:szCs w:val="16"/>
              </w:rPr>
            </w:pPr>
            <w:r w:rsidRPr="006D2B85">
              <w:rPr>
                <w:rFonts w:ascii="Calibri" w:hAnsi="Calibri" w:cs="Calibri"/>
                <w:color w:val="000000"/>
                <w:sz w:val="16"/>
                <w:szCs w:val="16"/>
              </w:rPr>
              <w:t>Kamień milowy został osiągnięty z opóźnieniem ze względu na konieczność powtórzenia przetargu w Muzeum-Zamku w Łańcucie</w:t>
            </w:r>
          </w:p>
        </w:tc>
      </w:tr>
      <w:tr w:rsidR="00AD07BB" w:rsidRPr="005F244D" w14:paraId="6982DCF1" w14:textId="77777777" w:rsidTr="00FC52B9">
        <w:tc>
          <w:tcPr>
            <w:tcW w:w="3119" w:type="dxa"/>
            <w:vAlign w:val="bottom"/>
          </w:tcPr>
          <w:p w14:paraId="5F3E04C9" w14:textId="77777777" w:rsidR="00AD07BB" w:rsidRPr="007A2E2A" w:rsidRDefault="00AD07BB" w:rsidP="006D2B8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8BE0" w14:textId="77777777" w:rsidR="00AD07BB" w:rsidRPr="006D2B85" w:rsidRDefault="00AD07BB" w:rsidP="00F56A72">
            <w:pPr>
              <w:rPr>
                <w:rFonts w:ascii="Arial" w:hAnsi="Arial" w:cs="Arial"/>
                <w:sz w:val="20"/>
                <w:szCs w:val="20"/>
              </w:rPr>
            </w:pPr>
            <w:r w:rsidRPr="006D2B85">
              <w:rPr>
                <w:rFonts w:ascii="Calibri" w:hAnsi="Calibri" w:cs="Calibri"/>
                <w:color w:val="000000"/>
              </w:rPr>
              <w:t xml:space="preserve">KPI 2 </w:t>
            </w:r>
            <w:r w:rsidR="00F56A72" w:rsidRPr="006D2B85">
              <w:rPr>
                <w:rFonts w:ascii="Calibri" w:hAnsi="Calibri" w:cs="Calibri"/>
                <w:color w:val="000000"/>
              </w:rPr>
              <w:t>- 7173 szt.</w:t>
            </w:r>
            <w:r w:rsidR="00F56A72" w:rsidRPr="006D2B85"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 w:rsidRPr="006D2B85">
              <w:rPr>
                <w:rFonts w:ascii="Calibri" w:hAnsi="Calibri" w:cs="Calibri"/>
                <w:color w:val="000000"/>
              </w:rPr>
              <w:t>1,0</w:t>
            </w:r>
            <w:r w:rsidR="00F56A72" w:rsidRPr="006D2B8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6BE5100D" w14:textId="77777777" w:rsidR="00AD07BB" w:rsidRPr="006D2B85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D2B85">
              <w:rPr>
                <w:rFonts w:ascii="Calibri" w:hAnsi="Calibri" w:cs="Calibri"/>
                <w:color w:val="000000"/>
              </w:rPr>
              <w:t>12</w:t>
            </w:r>
            <w:r w:rsidR="00EA6C3E" w:rsidRPr="006D2B85">
              <w:rPr>
                <w:rFonts w:ascii="Calibri" w:hAnsi="Calibri" w:cs="Calibri"/>
                <w:color w:val="000000"/>
              </w:rPr>
              <w:t>-</w:t>
            </w:r>
            <w:r w:rsidRPr="006D2B85"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4DA5B058" w14:textId="34FAD096" w:rsidR="00AD07BB" w:rsidRPr="006D2B85" w:rsidRDefault="00AD07BB" w:rsidP="00AB7614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D2B85">
              <w:rPr>
                <w:rFonts w:ascii="Calibri" w:hAnsi="Calibri" w:cs="Calibri"/>
                <w:color w:val="000000"/>
              </w:rPr>
              <w:t> </w:t>
            </w:r>
            <w:r w:rsidR="006D2B85" w:rsidRPr="006D2B85">
              <w:rPr>
                <w:rFonts w:ascii="Calibri" w:hAnsi="Calibri" w:cs="Calibri"/>
                <w:color w:val="000000"/>
              </w:rPr>
              <w:t>01-2022</w:t>
            </w:r>
          </w:p>
        </w:tc>
        <w:tc>
          <w:tcPr>
            <w:tcW w:w="1842" w:type="dxa"/>
          </w:tcPr>
          <w:p w14:paraId="50481D3C" w14:textId="77777777" w:rsidR="00A26C2B" w:rsidRPr="006D2B85" w:rsidRDefault="00A26C2B" w:rsidP="00A26C2B">
            <w:pPr>
              <w:rPr>
                <w:rFonts w:ascii="Calibri" w:hAnsi="Calibri" w:cs="Calibri"/>
                <w:color w:val="000000"/>
              </w:rPr>
            </w:pPr>
            <w:r w:rsidRPr="006D2B85">
              <w:rPr>
                <w:rFonts w:ascii="Calibri" w:hAnsi="Calibri" w:cs="Calibri"/>
                <w:color w:val="000000"/>
              </w:rPr>
              <w:t>Osiągnięty</w:t>
            </w:r>
          </w:p>
          <w:p w14:paraId="799673D0" w14:textId="77777777" w:rsidR="00A26C2B" w:rsidRPr="006D2B85" w:rsidRDefault="00A26C2B" w:rsidP="00A26C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686AEFEA" w14:textId="1AD19007" w:rsidR="00BD24E2" w:rsidRPr="006D2B85" w:rsidRDefault="006D2B85" w:rsidP="00AD07BB">
            <w:pPr>
              <w:rPr>
                <w:rFonts w:ascii="Arial" w:hAnsi="Arial" w:cs="Arial"/>
                <w:sz w:val="16"/>
                <w:szCs w:val="16"/>
              </w:rPr>
            </w:pPr>
            <w:r w:rsidRPr="006D2B8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Kamień milowy został osiągnięty z opóźnieniem ze względu na skutki epidemii COVID-19 i jej wpływ na ograniczona możliwość wykonywania części prac w czasie </w:t>
            </w:r>
            <w:proofErr w:type="spellStart"/>
            <w:r w:rsidRPr="006D2B85">
              <w:rPr>
                <w:rFonts w:ascii="Calibri" w:hAnsi="Calibri" w:cs="Calibri"/>
                <w:color w:val="000000"/>
                <w:sz w:val="16"/>
                <w:szCs w:val="16"/>
              </w:rPr>
              <w:t>lockdownu</w:t>
            </w:r>
            <w:proofErr w:type="spellEnd"/>
          </w:p>
        </w:tc>
      </w:tr>
      <w:tr w:rsidR="00AD07BB" w:rsidRPr="005F244D" w14:paraId="48386289" w14:textId="77777777" w:rsidTr="00FC52B9">
        <w:tc>
          <w:tcPr>
            <w:tcW w:w="3119" w:type="dxa"/>
            <w:vAlign w:val="bottom"/>
          </w:tcPr>
          <w:p w14:paraId="5C62E9D5" w14:textId="77777777" w:rsidR="00AD07BB" w:rsidRPr="007A2E2A" w:rsidRDefault="00AD07BB" w:rsidP="006D2B8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79E0" w14:textId="77777777" w:rsidR="00AD07BB" w:rsidRPr="00793505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89D7CFD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CD0BDFE" w14:textId="1018008A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D2B85">
              <w:rPr>
                <w:rFonts w:ascii="Calibri" w:hAnsi="Calibri" w:cs="Calibri"/>
                <w:color w:val="000000"/>
              </w:rPr>
              <w:t>03-2022</w:t>
            </w:r>
          </w:p>
        </w:tc>
        <w:tc>
          <w:tcPr>
            <w:tcW w:w="1842" w:type="dxa"/>
          </w:tcPr>
          <w:p w14:paraId="18CB1691" w14:textId="77777777" w:rsidR="006D2B85" w:rsidRPr="006D2B85" w:rsidRDefault="006D2B85" w:rsidP="006D2B85">
            <w:pPr>
              <w:rPr>
                <w:rFonts w:ascii="Calibri" w:hAnsi="Calibri" w:cs="Calibri"/>
                <w:color w:val="000000"/>
              </w:rPr>
            </w:pPr>
            <w:r w:rsidRPr="006D2B85">
              <w:rPr>
                <w:rFonts w:ascii="Calibri" w:hAnsi="Calibri" w:cs="Calibri"/>
                <w:color w:val="000000"/>
              </w:rPr>
              <w:t>Osiągnięty</w:t>
            </w:r>
          </w:p>
          <w:p w14:paraId="5E726D98" w14:textId="77777777" w:rsidR="00632AB6" w:rsidRDefault="00632AB6" w:rsidP="00AD07BB">
            <w:pPr>
              <w:rPr>
                <w:rFonts w:ascii="Calibri" w:hAnsi="Calibri" w:cs="Calibri"/>
                <w:color w:val="000000"/>
              </w:rPr>
            </w:pPr>
          </w:p>
          <w:p w14:paraId="0F158913" w14:textId="03A4E488" w:rsidR="00632AB6" w:rsidRPr="00632AB6" w:rsidRDefault="006D2B85" w:rsidP="006D2B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Kamień milowy </w:t>
            </w:r>
            <w:r w:rsidRPr="006D2B85">
              <w:rPr>
                <w:rFonts w:ascii="Calibri" w:hAnsi="Calibri" w:cs="Calibri"/>
                <w:color w:val="000000"/>
                <w:sz w:val="16"/>
                <w:szCs w:val="16"/>
              </w:rPr>
              <w:t>został osiągnięty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 opóźnieniem</w:t>
            </w:r>
            <w:r w:rsidRPr="006D2B8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ze względu na skutki epidemii COVID-19 i jej wpływ na ograniczon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ą</w:t>
            </w:r>
            <w:r w:rsidRPr="006D2B8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możliwość wykonywania części prac w czasie </w:t>
            </w:r>
            <w:proofErr w:type="spellStart"/>
            <w:r w:rsidRPr="006D2B85">
              <w:rPr>
                <w:rFonts w:ascii="Calibri" w:hAnsi="Calibri" w:cs="Calibri"/>
                <w:color w:val="000000"/>
                <w:sz w:val="16"/>
                <w:szCs w:val="16"/>
              </w:rPr>
              <w:t>lockdownu</w:t>
            </w:r>
            <w:proofErr w:type="spellEnd"/>
          </w:p>
        </w:tc>
      </w:tr>
      <w:tr w:rsidR="00AD07BB" w:rsidRPr="005F244D" w14:paraId="32F25A22" w14:textId="77777777" w:rsidTr="00FC52B9">
        <w:tc>
          <w:tcPr>
            <w:tcW w:w="3119" w:type="dxa"/>
            <w:vAlign w:val="bottom"/>
          </w:tcPr>
          <w:p w14:paraId="36290A4C" w14:textId="77777777" w:rsidR="00AD07BB" w:rsidRPr="007A2E2A" w:rsidRDefault="00AD07BB" w:rsidP="006D2B8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K7 – Zakończenie opracowywania 50% dokumentacji RTI i 50%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C7FF" w14:textId="55264E34" w:rsidR="00AD07BB" w:rsidRPr="00793505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 xml:space="preserve">KPI 7 - </w:t>
            </w:r>
            <w:r w:rsidR="006A3BB5" w:rsidRPr="00793505">
              <w:rPr>
                <w:rFonts w:ascii="Calibri" w:hAnsi="Calibri" w:cs="Calibri"/>
                <w:color w:val="000000"/>
              </w:rPr>
              <w:t>0,15</w:t>
            </w:r>
            <w:r w:rsidRPr="0079350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11158ED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218D6D64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49AA6161" w14:textId="21F91EE7" w:rsidR="00FA2AD5" w:rsidRDefault="006D2B85" w:rsidP="00FA2A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7657B7">
              <w:rPr>
                <w:rFonts w:ascii="Calibri" w:hAnsi="Calibri" w:cs="Calibri"/>
                <w:color w:val="000000"/>
              </w:rPr>
              <w:t>siągnięty</w:t>
            </w:r>
          </w:p>
          <w:p w14:paraId="2866AE17" w14:textId="77777777" w:rsidR="00550137" w:rsidRDefault="00550137" w:rsidP="00FA2AD5">
            <w:pPr>
              <w:rPr>
                <w:rFonts w:ascii="Calibri" w:hAnsi="Calibri" w:cs="Calibri"/>
                <w:color w:val="000000"/>
              </w:rPr>
            </w:pPr>
          </w:p>
          <w:p w14:paraId="063178C2" w14:textId="43AD2EFB" w:rsidR="00550137" w:rsidRPr="007A2E2A" w:rsidRDefault="00550137" w:rsidP="006D2B85">
            <w:pPr>
              <w:rPr>
                <w:rFonts w:ascii="Arial" w:hAnsi="Arial" w:cs="Arial"/>
                <w:sz w:val="20"/>
                <w:szCs w:val="20"/>
              </w:rPr>
            </w:pPr>
            <w:r w:rsidRPr="002B271C">
              <w:rPr>
                <w:rFonts w:ascii="Arial" w:hAnsi="Arial" w:cs="Arial"/>
                <w:sz w:val="16"/>
                <w:szCs w:val="16"/>
              </w:rPr>
              <w:t xml:space="preserve">Kamień milowy został osiągnięty z opóźnieniem ze względu na </w:t>
            </w:r>
            <w:r w:rsidR="006D2B85">
              <w:rPr>
                <w:rFonts w:ascii="Arial" w:hAnsi="Arial" w:cs="Arial"/>
                <w:sz w:val="16"/>
                <w:szCs w:val="16"/>
              </w:rPr>
              <w:t>przedłużoną procedurę zamówień publicznych w postępowaniu</w:t>
            </w:r>
            <w:r w:rsidRPr="002B271C">
              <w:rPr>
                <w:rFonts w:ascii="Arial" w:hAnsi="Arial" w:cs="Arial"/>
                <w:sz w:val="16"/>
                <w:szCs w:val="16"/>
              </w:rPr>
              <w:t xml:space="preserve"> na wykonanie </w:t>
            </w:r>
            <w:r w:rsidR="006D2B85">
              <w:rPr>
                <w:rFonts w:ascii="Arial" w:hAnsi="Arial" w:cs="Arial"/>
                <w:sz w:val="16"/>
                <w:szCs w:val="16"/>
              </w:rPr>
              <w:t xml:space="preserve">dokumentacji RTI i </w:t>
            </w:r>
            <w:proofErr w:type="spellStart"/>
            <w:r w:rsidR="006D2B85">
              <w:rPr>
                <w:rFonts w:ascii="Arial" w:hAnsi="Arial" w:cs="Arial"/>
                <w:sz w:val="16"/>
                <w:szCs w:val="16"/>
              </w:rPr>
              <w:t>Gigapixel</w:t>
            </w:r>
            <w:proofErr w:type="spellEnd"/>
            <w:r w:rsidRPr="002B271C">
              <w:rPr>
                <w:rFonts w:ascii="Arial" w:hAnsi="Arial" w:cs="Arial"/>
                <w:sz w:val="16"/>
                <w:szCs w:val="16"/>
              </w:rPr>
              <w:t xml:space="preserve"> u Partnerów </w:t>
            </w:r>
            <w:r w:rsidRPr="002B271C">
              <w:rPr>
                <w:rFonts w:ascii="Arial" w:hAnsi="Arial" w:cs="Arial"/>
                <w:sz w:val="16"/>
                <w:szCs w:val="16"/>
              </w:rPr>
              <w:lastRenderedPageBreak/>
              <w:t>oraz zmianę harmonogramu realizacji zadania u lidera. Na wymienione opóźnienia miała wpływ sytuacja nadzwyczajna związana z epidemią covid-19.</w:t>
            </w:r>
          </w:p>
        </w:tc>
      </w:tr>
      <w:tr w:rsidR="00AD07BB" w:rsidRPr="005F244D" w14:paraId="4C762D33" w14:textId="77777777" w:rsidTr="00FC52B9">
        <w:tc>
          <w:tcPr>
            <w:tcW w:w="3119" w:type="dxa"/>
            <w:vAlign w:val="bottom"/>
          </w:tcPr>
          <w:p w14:paraId="167891E9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Kamień milowy K8 – Zakończenie opracowywania i publikacja 100% dokumentacji RTI i 100% dokumentacji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Gigapixel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5D08" w14:textId="50494188" w:rsidR="00AD07BB" w:rsidRPr="00793505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 xml:space="preserve">KPI 7 - </w:t>
            </w:r>
            <w:r w:rsidR="006A3BB5" w:rsidRPr="00793505">
              <w:rPr>
                <w:rFonts w:ascii="Calibri" w:hAnsi="Calibri" w:cs="Calibri"/>
                <w:color w:val="000000"/>
              </w:rPr>
              <w:t>0,15</w:t>
            </w:r>
            <w:r w:rsidRPr="0079350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6637B706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02754716" w14:textId="12DFD8B4" w:rsidR="00AD07BB" w:rsidRPr="007A2E2A" w:rsidRDefault="00632AB6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5376BC">
              <w:rPr>
                <w:rFonts w:ascii="Calibri" w:hAnsi="Calibri" w:cs="Calibri"/>
                <w:color w:val="000000"/>
              </w:rPr>
              <w:t>-2021</w:t>
            </w:r>
          </w:p>
        </w:tc>
        <w:tc>
          <w:tcPr>
            <w:tcW w:w="1842" w:type="dxa"/>
          </w:tcPr>
          <w:p w14:paraId="6834CBAA" w14:textId="03E06244" w:rsidR="00AD07BB" w:rsidRPr="005376BC" w:rsidRDefault="00E713C0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5376BC">
              <w:rPr>
                <w:rFonts w:ascii="Calibri" w:hAnsi="Calibri" w:cs="Calibri"/>
                <w:color w:val="000000"/>
              </w:rPr>
              <w:t>siągnięty</w:t>
            </w:r>
          </w:p>
        </w:tc>
      </w:tr>
      <w:tr w:rsidR="00AD07BB" w:rsidRPr="005F244D" w14:paraId="3733DB2D" w14:textId="77777777" w:rsidTr="00FC52B9">
        <w:tc>
          <w:tcPr>
            <w:tcW w:w="3119" w:type="dxa"/>
            <w:vAlign w:val="bottom"/>
          </w:tcPr>
          <w:p w14:paraId="6CB0D258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6B7C" w14:textId="6D0351BD" w:rsidR="00AD07BB" w:rsidRPr="00793505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 xml:space="preserve">KPI 7 - </w:t>
            </w:r>
            <w:r w:rsidR="006A3BB5" w:rsidRPr="00793505">
              <w:rPr>
                <w:rFonts w:ascii="Calibri" w:hAnsi="Calibri" w:cs="Calibri"/>
                <w:color w:val="000000"/>
              </w:rPr>
              <w:t>0,75</w:t>
            </w:r>
            <w:r w:rsidRPr="0079350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64625514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2B66C2B9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DB79B6">
              <w:rPr>
                <w:rFonts w:ascii="Calibri" w:hAnsi="Calibri" w:cs="Calibri"/>
                <w:color w:val="000000"/>
              </w:rPr>
              <w:t>08-2021</w:t>
            </w:r>
          </w:p>
        </w:tc>
        <w:tc>
          <w:tcPr>
            <w:tcW w:w="1842" w:type="dxa"/>
          </w:tcPr>
          <w:p w14:paraId="2049009C" w14:textId="218C7401" w:rsidR="00AD07BB" w:rsidRDefault="00E713C0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DB79B6">
              <w:rPr>
                <w:rFonts w:ascii="Calibri" w:hAnsi="Calibri" w:cs="Calibri"/>
                <w:color w:val="000000"/>
              </w:rPr>
              <w:t>siągnięty</w:t>
            </w:r>
          </w:p>
          <w:p w14:paraId="2BA92C80" w14:textId="77777777" w:rsidR="006F0C2B" w:rsidRDefault="006F0C2B" w:rsidP="00AD07BB">
            <w:pPr>
              <w:rPr>
                <w:rFonts w:ascii="Calibri" w:hAnsi="Calibri" w:cs="Calibri"/>
                <w:color w:val="000000"/>
              </w:rPr>
            </w:pPr>
          </w:p>
          <w:p w14:paraId="141CFD73" w14:textId="77777777" w:rsidR="006F0C2B" w:rsidRPr="00C167C2" w:rsidRDefault="00DB79B6" w:rsidP="00AD07BB">
            <w:pPr>
              <w:rPr>
                <w:rFonts w:ascii="Arial" w:hAnsi="Arial" w:cs="Arial"/>
                <w:sz w:val="16"/>
                <w:szCs w:val="16"/>
              </w:rPr>
            </w:pPr>
            <w:r w:rsidRPr="00C167C2">
              <w:rPr>
                <w:rFonts w:ascii="Arial" w:hAnsi="Arial" w:cs="Arial"/>
                <w:sz w:val="16"/>
                <w:szCs w:val="16"/>
              </w:rPr>
              <w:t>Kamień milowy został osiągnięty po terminie ze względu na opóźnienie w procedurze przetargowej w MNS oraz konieczność poprawienia przedmiotu zamówienia przez wykonawcę w MHZP.</w:t>
            </w:r>
          </w:p>
        </w:tc>
      </w:tr>
      <w:tr w:rsidR="00AD07BB" w:rsidRPr="005F244D" w14:paraId="59D051BD" w14:textId="77777777" w:rsidTr="00FC52B9">
        <w:tc>
          <w:tcPr>
            <w:tcW w:w="3119" w:type="dxa"/>
            <w:vAlign w:val="bottom"/>
          </w:tcPr>
          <w:p w14:paraId="5B6C223D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A76A5" w14:textId="0BA54A51" w:rsidR="00AD07BB" w:rsidRPr="00793505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 xml:space="preserve">KPI 7 - </w:t>
            </w:r>
            <w:r w:rsidR="006A3BB5" w:rsidRPr="00793505">
              <w:rPr>
                <w:rFonts w:ascii="Calibri" w:hAnsi="Calibri" w:cs="Calibri"/>
                <w:color w:val="000000"/>
              </w:rPr>
              <w:t>0,75</w:t>
            </w:r>
            <w:r w:rsidRPr="0079350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355674C7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0CAD228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5376BC">
              <w:rPr>
                <w:rFonts w:ascii="Calibri" w:hAnsi="Calibri" w:cs="Calibri"/>
                <w:color w:val="000000"/>
              </w:rPr>
              <w:t>12-2021</w:t>
            </w:r>
          </w:p>
        </w:tc>
        <w:tc>
          <w:tcPr>
            <w:tcW w:w="1842" w:type="dxa"/>
          </w:tcPr>
          <w:p w14:paraId="0FED1689" w14:textId="6F47149F" w:rsidR="005376BC" w:rsidRDefault="00C167C2" w:rsidP="005376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5376BC">
              <w:rPr>
                <w:rFonts w:ascii="Calibri" w:hAnsi="Calibri" w:cs="Calibri"/>
                <w:color w:val="000000"/>
              </w:rPr>
              <w:t>siągnięty</w:t>
            </w:r>
          </w:p>
          <w:p w14:paraId="14EF12B9" w14:textId="77777777" w:rsidR="00C167C2" w:rsidRDefault="00C167C2" w:rsidP="005376BC">
            <w:pPr>
              <w:rPr>
                <w:rFonts w:ascii="Calibri" w:hAnsi="Calibri" w:cs="Calibri"/>
                <w:color w:val="000000"/>
              </w:rPr>
            </w:pPr>
          </w:p>
          <w:p w14:paraId="15863C9F" w14:textId="1E32D078" w:rsidR="00AD07BB" w:rsidRPr="00C167C2" w:rsidRDefault="00C167C2" w:rsidP="00C167C2">
            <w:pPr>
              <w:rPr>
                <w:rFonts w:ascii="Arial" w:hAnsi="Arial" w:cs="Arial"/>
                <w:sz w:val="16"/>
                <w:szCs w:val="16"/>
              </w:rPr>
            </w:pPr>
            <w:r w:rsidRPr="00C167C2">
              <w:rPr>
                <w:rFonts w:ascii="Calibri" w:hAnsi="Calibri" w:cs="Calibri"/>
                <w:color w:val="000000"/>
                <w:sz w:val="16"/>
                <w:szCs w:val="16"/>
              </w:rPr>
              <w:t>Kamień milowy został osiągnięty po terminie ze względu na opóźnienie w procedurze przetargowej w MNS.</w:t>
            </w:r>
          </w:p>
        </w:tc>
      </w:tr>
      <w:tr w:rsidR="00AD07BB" w:rsidRPr="005F244D" w14:paraId="78CA75C2" w14:textId="77777777" w:rsidTr="00FC52B9">
        <w:tc>
          <w:tcPr>
            <w:tcW w:w="3119" w:type="dxa"/>
            <w:vAlign w:val="bottom"/>
          </w:tcPr>
          <w:p w14:paraId="27DC9F6C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AAF4" w14:textId="77777777" w:rsidR="00AD07BB" w:rsidRPr="00793505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 xml:space="preserve">KPI 7 - </w:t>
            </w:r>
            <w:r w:rsidR="006A3BB5" w:rsidRPr="00793505">
              <w:rPr>
                <w:rFonts w:ascii="Calibri" w:hAnsi="Calibri" w:cs="Calibri"/>
                <w:color w:val="000000"/>
              </w:rPr>
              <w:t>0,5</w:t>
            </w:r>
            <w:r w:rsidRPr="0079350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0D973FBD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E74FB1D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F5431C">
              <w:rPr>
                <w:rFonts w:ascii="Calibri" w:hAnsi="Calibri" w:cs="Calibri"/>
                <w:color w:val="000000"/>
              </w:rPr>
              <w:t>03-2021</w:t>
            </w:r>
          </w:p>
        </w:tc>
        <w:tc>
          <w:tcPr>
            <w:tcW w:w="1842" w:type="dxa"/>
          </w:tcPr>
          <w:p w14:paraId="68D29659" w14:textId="57A22356" w:rsidR="00AD07BB" w:rsidRDefault="00E713C0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F5431C">
              <w:rPr>
                <w:rFonts w:ascii="Calibri" w:hAnsi="Calibri" w:cs="Calibri"/>
                <w:color w:val="000000"/>
              </w:rPr>
              <w:t>siągnięty</w:t>
            </w:r>
          </w:p>
          <w:p w14:paraId="71DEB643" w14:textId="77777777" w:rsidR="00F5431C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311B1" w14:textId="77777777" w:rsidR="00F5431C" w:rsidRPr="007A2E2A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2B271C">
              <w:rPr>
                <w:rFonts w:ascii="Arial" w:hAnsi="Arial" w:cs="Arial"/>
                <w:sz w:val="16"/>
                <w:szCs w:val="16"/>
              </w:rPr>
              <w:t>Kamień milowy został osiągnięty z opóźnieniem ze względu na opóźnienia wywołane stanem epidemii covid-19.</w:t>
            </w:r>
          </w:p>
        </w:tc>
      </w:tr>
      <w:tr w:rsidR="00AD07BB" w:rsidRPr="005F244D" w14:paraId="0245A7A8" w14:textId="77777777" w:rsidTr="00FC52B9">
        <w:tc>
          <w:tcPr>
            <w:tcW w:w="3119" w:type="dxa"/>
            <w:vAlign w:val="bottom"/>
          </w:tcPr>
          <w:p w14:paraId="0A14981A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K12 – Publikacja map internetowych w </w:t>
            </w:r>
            <w:proofErr w:type="spellStart"/>
            <w:r>
              <w:rPr>
                <w:rFonts w:ascii="Calibri" w:hAnsi="Calibri" w:cs="Calibri"/>
                <w:color w:val="000000"/>
              </w:rPr>
              <w:t>Geoportalach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E467" w14:textId="420F75AB" w:rsidR="00AD07BB" w:rsidRPr="00793505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 xml:space="preserve">KPI 8 - </w:t>
            </w:r>
            <w:r w:rsidR="006A3BB5" w:rsidRPr="00793505">
              <w:rPr>
                <w:rFonts w:ascii="Calibri" w:hAnsi="Calibri" w:cs="Calibri"/>
                <w:color w:val="000000"/>
              </w:rPr>
              <w:t>0,06</w:t>
            </w:r>
            <w:r w:rsidRPr="0079350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0161DC7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B815DBF" w14:textId="36CFBF1A" w:rsidR="00AD07BB" w:rsidRPr="007A2E2A" w:rsidRDefault="00AD07BB" w:rsidP="00F63293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E713C0">
              <w:rPr>
                <w:rFonts w:ascii="Calibri" w:hAnsi="Calibri" w:cs="Calibri"/>
                <w:color w:val="000000"/>
              </w:rPr>
              <w:t>03-2022</w:t>
            </w:r>
          </w:p>
        </w:tc>
        <w:tc>
          <w:tcPr>
            <w:tcW w:w="1842" w:type="dxa"/>
          </w:tcPr>
          <w:p w14:paraId="04F04918" w14:textId="0B6A2130" w:rsidR="00F63293" w:rsidRDefault="00E713C0" w:rsidP="00F632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19F66F2F" w14:textId="77777777" w:rsidR="005376BC" w:rsidRDefault="005376BC" w:rsidP="005376BC">
            <w:pPr>
              <w:rPr>
                <w:rFonts w:ascii="Calibri" w:hAnsi="Calibri" w:cs="Calibri"/>
                <w:color w:val="000000"/>
              </w:rPr>
            </w:pPr>
          </w:p>
          <w:p w14:paraId="1E140D0F" w14:textId="67DE8A1A" w:rsidR="00AD07BB" w:rsidRPr="00E713C0" w:rsidRDefault="00E713C0" w:rsidP="00AD07B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Kamień milowy został osiągnięty z opóźnieniem ze względu na skutki epidemii COVID-19 i jej wpływ na ograniczoną możliwość wykonywania części prac w czasie </w:t>
            </w:r>
            <w:proofErr w:type="spellStart"/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>lockdownu</w:t>
            </w:r>
            <w:proofErr w:type="spellEnd"/>
            <w:r w:rsidRPr="00E713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oraz </w:t>
            </w:r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ze względu na konieczność powtórzenia przetargu na budowę </w:t>
            </w:r>
            <w:proofErr w:type="spellStart"/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>geoportalu</w:t>
            </w:r>
            <w:proofErr w:type="spellEnd"/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w Muzeum-Zamku w Łańcucie</w:t>
            </w:r>
            <w:r w:rsidRPr="00E713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>W skutek zmiany organizacji pracy część danych planowanych do publikacji w projekcie została wytworzona</w:t>
            </w:r>
            <w:r w:rsidRPr="00AF48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później niż planowano, </w:t>
            </w:r>
            <w:r w:rsidRPr="00E713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co spowodowało opóźnienia w przygotowaniu do publikacji i publikacji danych przesunęło w czasie weryfikację wdrożonych </w:t>
            </w:r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systemów informacji przestrzennej</w:t>
            </w:r>
            <w:r w:rsidRPr="00E713C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oraz integrację </w:t>
            </w:r>
            <w:proofErr w:type="spellStart"/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>geoportali</w:t>
            </w:r>
            <w:proofErr w:type="spellEnd"/>
            <w:r w:rsidRPr="00AF48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 </w:t>
            </w:r>
            <w:proofErr w:type="spellStart"/>
            <w:r w:rsidRPr="00E713C0">
              <w:rPr>
                <w:rFonts w:ascii="Calibri" w:hAnsi="Calibri" w:cs="Calibri"/>
                <w:color w:val="000000"/>
                <w:sz w:val="16"/>
                <w:szCs w:val="16"/>
              </w:rPr>
              <w:t>multiwyszukiwarką</w:t>
            </w:r>
            <w:proofErr w:type="spellEnd"/>
            <w:r w:rsidRPr="00E713C0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AD07BB" w:rsidRPr="005F244D" w14:paraId="0343EE48" w14:textId="77777777" w:rsidTr="00FC52B9">
        <w:tc>
          <w:tcPr>
            <w:tcW w:w="3119" w:type="dxa"/>
            <w:vAlign w:val="bottom"/>
          </w:tcPr>
          <w:p w14:paraId="453D9C24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Kamień milowy K13 – Odebranie i uruchomienie testowej wersji </w:t>
            </w:r>
            <w:proofErr w:type="spellStart"/>
            <w:r>
              <w:rPr>
                <w:rFonts w:ascii="Calibri" w:hAnsi="Calibri" w:cs="Calibri"/>
                <w:color w:val="000000"/>
              </w:rPr>
              <w:t>multiwyszukiwarki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EF30" w14:textId="77777777" w:rsidR="00AD07BB" w:rsidRPr="00793505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6433FAAC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9248A73" w14:textId="6F3CD329" w:rsidR="00AD07BB" w:rsidRPr="002B271C" w:rsidRDefault="00AD07BB" w:rsidP="002B27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B95663">
              <w:rPr>
                <w:rFonts w:ascii="Calibri" w:hAnsi="Calibri" w:cs="Calibri"/>
                <w:color w:val="000000"/>
              </w:rPr>
              <w:t>07-2021</w:t>
            </w:r>
          </w:p>
        </w:tc>
        <w:tc>
          <w:tcPr>
            <w:tcW w:w="1842" w:type="dxa"/>
          </w:tcPr>
          <w:p w14:paraId="49E0422E" w14:textId="2F0531B3" w:rsidR="00F5431C" w:rsidRPr="002B271C" w:rsidRDefault="00E713C0" w:rsidP="002B27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6F0C2B" w:rsidRPr="002B271C">
              <w:rPr>
                <w:rFonts w:ascii="Calibri" w:hAnsi="Calibri" w:cs="Calibri"/>
                <w:color w:val="000000"/>
              </w:rPr>
              <w:t>siągnięty</w:t>
            </w:r>
          </w:p>
          <w:p w14:paraId="3B57C7D6" w14:textId="77777777" w:rsidR="00AD07BB" w:rsidRPr="002B271C" w:rsidRDefault="00AD07BB" w:rsidP="002B271C">
            <w:pPr>
              <w:rPr>
                <w:rFonts w:ascii="Calibri" w:hAnsi="Calibri" w:cs="Calibri"/>
                <w:color w:val="000000"/>
              </w:rPr>
            </w:pPr>
          </w:p>
          <w:p w14:paraId="319A3083" w14:textId="77777777" w:rsidR="00F5431C" w:rsidRPr="002B271C" w:rsidRDefault="006F0C2B" w:rsidP="002B271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B271C">
              <w:rPr>
                <w:rFonts w:ascii="Calibri" w:hAnsi="Calibri" w:cs="Calibri"/>
                <w:color w:val="000000"/>
                <w:sz w:val="16"/>
                <w:szCs w:val="16"/>
              </w:rPr>
              <w:t>Kamień milowy został osiągnięty z opóźnieniem ze względu na skierowanie sprawy do KIO na etapie wyboru wykonawcy oraz trudności w komunikacji budowanego systemu z systemami inwentaryzacji zbiorów u wszystkich Partnerów.</w:t>
            </w:r>
          </w:p>
        </w:tc>
      </w:tr>
      <w:tr w:rsidR="00AD07BB" w:rsidRPr="005F244D" w14:paraId="6610FD32" w14:textId="77777777" w:rsidTr="00FC52B9">
        <w:tc>
          <w:tcPr>
            <w:tcW w:w="3119" w:type="dxa"/>
            <w:vAlign w:val="bottom"/>
          </w:tcPr>
          <w:p w14:paraId="6018E7B7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5417" w14:textId="77777777" w:rsidR="00AD07BB" w:rsidRPr="00793505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>KPI 1 - 5 szt.</w:t>
            </w:r>
            <w:r w:rsidRPr="00793505">
              <w:rPr>
                <w:rFonts w:ascii="Calibri" w:hAnsi="Calibri" w:cs="Calibri"/>
                <w:color w:val="000000"/>
              </w:rPr>
              <w:br/>
              <w:t>KPI 3 - 9510 szt.</w:t>
            </w:r>
            <w:r w:rsidRPr="00793505">
              <w:rPr>
                <w:rFonts w:ascii="Calibri" w:hAnsi="Calibri" w:cs="Calibri"/>
                <w:color w:val="000000"/>
              </w:rPr>
              <w:br/>
              <w:t>KPI 4 - 1 szt.</w:t>
            </w:r>
            <w:r w:rsidRPr="00793505">
              <w:rPr>
                <w:rFonts w:ascii="Calibri" w:hAnsi="Calibri" w:cs="Calibri"/>
                <w:color w:val="000000"/>
              </w:rPr>
              <w:br/>
              <w:t>KPI 5 - 1 szt.</w:t>
            </w:r>
            <w:r w:rsidRPr="00793505"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 w:rsidRPr="00793505">
              <w:rPr>
                <w:rFonts w:ascii="Calibri" w:hAnsi="Calibri" w:cs="Calibri"/>
                <w:color w:val="000000"/>
              </w:rPr>
              <w:t>0,24</w:t>
            </w:r>
            <w:r w:rsidRPr="00793505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276CC375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29335D3" w14:textId="726CC43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2B271C">
              <w:rPr>
                <w:rFonts w:ascii="Calibri" w:hAnsi="Calibri" w:cs="Calibri"/>
                <w:color w:val="000000"/>
              </w:rPr>
              <w:t>12-2021</w:t>
            </w:r>
          </w:p>
        </w:tc>
        <w:tc>
          <w:tcPr>
            <w:tcW w:w="1842" w:type="dxa"/>
          </w:tcPr>
          <w:p w14:paraId="4C721BA0" w14:textId="7DBBD154" w:rsidR="002B271C" w:rsidRPr="002B271C" w:rsidRDefault="00FB42EB" w:rsidP="002B27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2B271C" w:rsidRPr="002B271C">
              <w:rPr>
                <w:rFonts w:ascii="Calibri" w:hAnsi="Calibri" w:cs="Calibri"/>
                <w:color w:val="000000"/>
              </w:rPr>
              <w:t>siągnięty</w:t>
            </w:r>
          </w:p>
          <w:p w14:paraId="5E7D1A1B" w14:textId="77777777" w:rsidR="005B3224" w:rsidRDefault="005B3224" w:rsidP="00AD07BB">
            <w:pPr>
              <w:rPr>
                <w:rFonts w:ascii="Calibri" w:hAnsi="Calibri" w:cs="Calibri"/>
                <w:color w:val="000000"/>
              </w:rPr>
            </w:pPr>
          </w:p>
          <w:p w14:paraId="005F60CB" w14:textId="0E224102" w:rsidR="005B3224" w:rsidRPr="002B271C" w:rsidRDefault="002B271C" w:rsidP="00AD07BB">
            <w:pPr>
              <w:rPr>
                <w:rFonts w:ascii="Arial" w:hAnsi="Arial" w:cs="Arial"/>
                <w:sz w:val="16"/>
                <w:szCs w:val="16"/>
              </w:rPr>
            </w:pPr>
            <w:r w:rsidRPr="002B271C">
              <w:rPr>
                <w:rFonts w:ascii="Arial" w:hAnsi="Arial" w:cs="Arial"/>
                <w:sz w:val="16"/>
                <w:szCs w:val="16"/>
              </w:rPr>
              <w:t>Kamień milowy został osiągnięty z opóźnieniem ze względu na skierowanie sprawy do KIO na etapie wyboru wykonawcy oraz trudności w komunikacji budowanego systemu z systemami inwentaryzacji zbiorów u wszystkich Partnerów.</w:t>
            </w:r>
          </w:p>
        </w:tc>
      </w:tr>
      <w:tr w:rsidR="00AD07BB" w:rsidRPr="005F244D" w14:paraId="632EF161" w14:textId="77777777" w:rsidTr="00FC52B9">
        <w:tc>
          <w:tcPr>
            <w:tcW w:w="3119" w:type="dxa"/>
            <w:vAlign w:val="bottom"/>
          </w:tcPr>
          <w:p w14:paraId="34CE62E0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E8F7" w14:textId="7777777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4CFD3168" w14:textId="77777777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285D4F5B" w14:textId="61D8F3A0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FB42EB">
              <w:rPr>
                <w:rFonts w:ascii="Calibri" w:hAnsi="Calibri" w:cs="Calibri"/>
                <w:color w:val="000000"/>
              </w:rPr>
              <w:t>03-2022</w:t>
            </w:r>
          </w:p>
        </w:tc>
        <w:tc>
          <w:tcPr>
            <w:tcW w:w="1842" w:type="dxa"/>
          </w:tcPr>
          <w:p w14:paraId="1EBA111B" w14:textId="7847BDA0" w:rsidR="00AD07BB" w:rsidRPr="007A2E2A" w:rsidRDefault="00FB42E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</w:tc>
      </w:tr>
      <w:tr w:rsidR="00AD07BB" w:rsidRPr="005F244D" w14:paraId="5E4567CB" w14:textId="77777777" w:rsidTr="00FC52B9">
        <w:tc>
          <w:tcPr>
            <w:tcW w:w="3119" w:type="dxa"/>
            <w:vAlign w:val="bottom"/>
          </w:tcPr>
          <w:p w14:paraId="1AEEF566" w14:textId="77777777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Zakończenie dostaw i odbiorów infrastruktury IT do digitalizacji i udostępniania zasobów kultury przez muzea uczestniczące w projekcie (dostawa zakupionych w ramach przetargi elementów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17C1" w14:textId="7777777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212ED0" w14:textId="77777777" w:rsidR="00AD07BB" w:rsidRPr="007A2E2A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04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 w:rsidR="00AD07BB">
              <w:rPr>
                <w:rFonts w:ascii="Calibri" w:hAnsi="Calibri" w:cs="Calibri"/>
                <w:color w:val="000000"/>
              </w:rPr>
              <w:t>202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</w:tcPr>
          <w:p w14:paraId="430DCA63" w14:textId="7777777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5376BC">
              <w:rPr>
                <w:rFonts w:ascii="Calibri" w:hAnsi="Calibri" w:cs="Calibri"/>
                <w:color w:val="000000"/>
              </w:rPr>
              <w:t>12-2021</w:t>
            </w:r>
          </w:p>
        </w:tc>
        <w:tc>
          <w:tcPr>
            <w:tcW w:w="1842" w:type="dxa"/>
          </w:tcPr>
          <w:p w14:paraId="031A164E" w14:textId="77777777" w:rsidR="005376BC" w:rsidRDefault="005376BC" w:rsidP="005376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1AD655C0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2BA46F0F" w14:textId="7687A70F" w:rsidR="00FA2AD5" w:rsidRPr="007A2E2A" w:rsidRDefault="006542A5" w:rsidP="00B04B1A">
            <w:pPr>
              <w:rPr>
                <w:rFonts w:ascii="Arial" w:hAnsi="Arial" w:cs="Arial"/>
                <w:sz w:val="20"/>
                <w:szCs w:val="20"/>
              </w:rPr>
            </w:pPr>
            <w:r w:rsidRPr="006542A5">
              <w:rPr>
                <w:rFonts w:ascii="Arial" w:hAnsi="Arial" w:cs="Arial"/>
                <w:sz w:val="16"/>
                <w:szCs w:val="16"/>
              </w:rPr>
              <w:t>Kamień został osiągnięty z opóźnieniem ze względu na skutki epidemii COVID-19, znacznego przekroczenia terminu wydania decyzji o zgodzie na budowę z urzędu dzielnicy Wilanów m. st. Warszawy, oraz opóźnienia w publikacji postępowania na przebudowę serwerowni polegającą na instalację podłogi technicznej oraz systemu automatycznego gaszenia u lidera, oraz niedotrzymania terminu przez wykonawcę</w:t>
            </w:r>
          </w:p>
        </w:tc>
      </w:tr>
      <w:tr w:rsidR="00AD07BB" w:rsidRPr="005F244D" w14:paraId="69605E16" w14:textId="77777777" w:rsidTr="00FC52B9">
        <w:tc>
          <w:tcPr>
            <w:tcW w:w="3119" w:type="dxa"/>
            <w:vAlign w:val="bottom"/>
          </w:tcPr>
          <w:p w14:paraId="27ABAC51" w14:textId="77777777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 xml:space="preserve">Kamień milowy K17 - Zakończenie szkoleń pracowników instytucji partnerskich z zakresu zarządzania projektami, systemów </w:t>
            </w:r>
            <w:r w:rsidRPr="00B63C28">
              <w:rPr>
                <w:rFonts w:ascii="Calibri" w:hAnsi="Calibri" w:cs="Calibri"/>
              </w:rPr>
              <w:lastRenderedPageBreak/>
              <w:t>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6388" w14:textId="77777777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lastRenderedPageBreak/>
              <w:t>--</w:t>
            </w:r>
          </w:p>
        </w:tc>
        <w:tc>
          <w:tcPr>
            <w:tcW w:w="1559" w:type="dxa"/>
          </w:tcPr>
          <w:p w14:paraId="5D3D5CE1" w14:textId="77777777" w:rsidR="00AD07BB" w:rsidRPr="00B63C28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</w:rPr>
              <w:t>09-2021</w:t>
            </w:r>
          </w:p>
        </w:tc>
        <w:tc>
          <w:tcPr>
            <w:tcW w:w="1418" w:type="dxa"/>
          </w:tcPr>
          <w:p w14:paraId="162102FA" w14:textId="77777777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  <w:r w:rsidR="005B3224">
              <w:rPr>
                <w:rFonts w:ascii="Calibri" w:hAnsi="Calibri" w:cs="Calibri"/>
              </w:rPr>
              <w:t>09-2021</w:t>
            </w:r>
          </w:p>
        </w:tc>
        <w:tc>
          <w:tcPr>
            <w:tcW w:w="1842" w:type="dxa"/>
          </w:tcPr>
          <w:p w14:paraId="0B7BDF21" w14:textId="0C2AA10D" w:rsidR="00F5431C" w:rsidRDefault="009A04D7" w:rsidP="00F543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5B3224">
              <w:rPr>
                <w:rFonts w:ascii="Calibri" w:hAnsi="Calibri" w:cs="Calibri"/>
                <w:color w:val="000000"/>
              </w:rPr>
              <w:t>siągnięty</w:t>
            </w:r>
          </w:p>
          <w:p w14:paraId="2A2BB235" w14:textId="77777777" w:rsidR="00484BFF" w:rsidRPr="00B63C28" w:rsidRDefault="00484BFF" w:rsidP="00F543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07BB" w:rsidRPr="005F244D" w14:paraId="6AB77E79" w14:textId="77777777" w:rsidTr="00FC52B9">
        <w:tc>
          <w:tcPr>
            <w:tcW w:w="3119" w:type="dxa"/>
            <w:vAlign w:val="bottom"/>
          </w:tcPr>
          <w:p w14:paraId="31067318" w14:textId="77777777" w:rsidR="00AD07BB" w:rsidRPr="00793505" w:rsidRDefault="00AD07BB" w:rsidP="0079350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 xml:space="preserve">Kamień milowy K18 – Publikacja treści edukacyjnych w </w:t>
            </w:r>
            <w:proofErr w:type="spellStart"/>
            <w:r w:rsidRPr="00793505">
              <w:rPr>
                <w:rFonts w:ascii="Calibri" w:hAnsi="Calibri" w:cs="Calibri"/>
                <w:color w:val="000000"/>
              </w:rPr>
              <w:t>multiwyszukiwarce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3848" w14:textId="77777777" w:rsidR="00AD07BB" w:rsidRPr="00793505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79350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6ECE16D1" w14:textId="77777777" w:rsidR="00AD07BB" w:rsidRPr="00793505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93505">
              <w:rPr>
                <w:rFonts w:ascii="Calibri" w:hAnsi="Calibri" w:cs="Calibri"/>
                <w:color w:val="000000"/>
              </w:rPr>
              <w:t>11</w:t>
            </w:r>
            <w:r w:rsidR="00EA6C3E" w:rsidRPr="00793505">
              <w:rPr>
                <w:rFonts w:ascii="Calibri" w:hAnsi="Calibri" w:cs="Calibri"/>
                <w:color w:val="000000"/>
              </w:rPr>
              <w:t>-</w:t>
            </w:r>
            <w:r w:rsidRPr="00793505"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34E4902" w14:textId="0D89E24C" w:rsidR="00AD07BB" w:rsidRPr="00793505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93505">
              <w:rPr>
                <w:rFonts w:ascii="Calibri" w:hAnsi="Calibri" w:cs="Calibri"/>
                <w:color w:val="000000"/>
              </w:rPr>
              <w:t> </w:t>
            </w:r>
            <w:r w:rsidR="00B11BD4" w:rsidRPr="00793505">
              <w:rPr>
                <w:rFonts w:ascii="Calibri" w:hAnsi="Calibri" w:cs="Calibri"/>
                <w:color w:val="000000"/>
              </w:rPr>
              <w:t>12-2021</w:t>
            </w:r>
          </w:p>
        </w:tc>
        <w:tc>
          <w:tcPr>
            <w:tcW w:w="1842" w:type="dxa"/>
          </w:tcPr>
          <w:p w14:paraId="3724EB45" w14:textId="6A8CA36A" w:rsidR="00B11BD4" w:rsidRPr="00793505" w:rsidRDefault="009A04D7" w:rsidP="00B11BD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</w:t>
            </w:r>
            <w:r w:rsidR="00B11BD4" w:rsidRPr="00793505">
              <w:rPr>
                <w:rFonts w:ascii="Calibri" w:hAnsi="Calibri" w:cs="Calibri"/>
                <w:color w:val="000000"/>
              </w:rPr>
              <w:t>siągnięty</w:t>
            </w:r>
          </w:p>
          <w:p w14:paraId="30F7883F" w14:textId="77777777" w:rsidR="00B04B1A" w:rsidRPr="00793505" w:rsidRDefault="00B04B1A" w:rsidP="00AD07BB">
            <w:pPr>
              <w:rPr>
                <w:rFonts w:ascii="Calibri" w:hAnsi="Calibri" w:cs="Calibri"/>
                <w:color w:val="000000"/>
              </w:rPr>
            </w:pPr>
          </w:p>
          <w:p w14:paraId="2332B0DB" w14:textId="6166E0D2" w:rsidR="00B04B1A" w:rsidRPr="00793505" w:rsidRDefault="00B11BD4" w:rsidP="00AD07BB">
            <w:pPr>
              <w:rPr>
                <w:rFonts w:ascii="Arial" w:hAnsi="Arial" w:cs="Arial"/>
                <w:sz w:val="16"/>
                <w:szCs w:val="16"/>
              </w:rPr>
            </w:pPr>
            <w:r w:rsidRPr="007935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Kamień milowy został osiągnięty z opóźnieniem ze względu na problemy z migracją danych o obiektach między systemami inwentaryzacyjnymi partnerów a systemem </w:t>
            </w:r>
            <w:proofErr w:type="spellStart"/>
            <w:r w:rsidRPr="00793505">
              <w:rPr>
                <w:rFonts w:ascii="Calibri" w:hAnsi="Calibri" w:cs="Calibri"/>
                <w:color w:val="000000"/>
                <w:sz w:val="16"/>
                <w:szCs w:val="16"/>
              </w:rPr>
              <w:t>multiwyszukiwarki</w:t>
            </w:r>
            <w:proofErr w:type="spellEnd"/>
            <w:r w:rsidRPr="00793505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</w:tr>
    </w:tbl>
    <w:p w14:paraId="19B5099C" w14:textId="77777777" w:rsidR="00D35BD4" w:rsidRDefault="00D35B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7BDBA6" w14:textId="00460832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1B05119D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6A6342A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12C065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0FB7A8A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5A98D88C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85996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F51AA75" w14:textId="77777777" w:rsidR="007A2E2A" w:rsidRPr="008111BF" w:rsidRDefault="007A2E2A" w:rsidP="007A2E2A">
            <w:pPr>
              <w:rPr>
                <w:rFonts w:ascii="Arial" w:hAnsi="Arial" w:cs="Arial"/>
                <w:b/>
              </w:rPr>
            </w:pPr>
            <w:r w:rsidRPr="008111BF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28DC4202" w14:textId="77777777" w:rsidTr="00856047">
        <w:trPr>
          <w:trHeight w:val="933"/>
        </w:trPr>
        <w:tc>
          <w:tcPr>
            <w:tcW w:w="2545" w:type="dxa"/>
          </w:tcPr>
          <w:p w14:paraId="2C8175F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7D97A54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DAD5EA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F14107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7FC7A39A" w14:textId="7395B17A" w:rsidR="007A2E2A" w:rsidRPr="00793505" w:rsidRDefault="00C919D6" w:rsidP="007A2E2A">
            <w:pPr>
              <w:rPr>
                <w:rFonts w:cstheme="minorHAnsi"/>
              </w:rPr>
            </w:pPr>
            <w:r w:rsidRPr="00793505">
              <w:rPr>
                <w:rFonts w:cstheme="minorHAnsi"/>
              </w:rPr>
              <w:t>5</w:t>
            </w:r>
          </w:p>
        </w:tc>
      </w:tr>
      <w:tr w:rsidR="007A2E2A" w:rsidRPr="005F244D" w14:paraId="19A5EF06" w14:textId="77777777" w:rsidTr="007A2E2A">
        <w:tc>
          <w:tcPr>
            <w:tcW w:w="2545" w:type="dxa"/>
          </w:tcPr>
          <w:p w14:paraId="24DD1255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Liczba 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zdigitalizowanych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501504E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16A947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00CF9FE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383663F8" w14:textId="3462D8B5" w:rsidR="007A2E2A" w:rsidRPr="00793505" w:rsidRDefault="00A26C2B" w:rsidP="007A2E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7294</w:t>
            </w:r>
          </w:p>
        </w:tc>
      </w:tr>
      <w:tr w:rsidR="007A2E2A" w:rsidRPr="005F244D" w14:paraId="2E505DB7" w14:textId="77777777" w:rsidTr="007A2E2A">
        <w:tc>
          <w:tcPr>
            <w:tcW w:w="2545" w:type="dxa"/>
          </w:tcPr>
          <w:p w14:paraId="0DCF7487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AB60D1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522534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70E2802B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3C5BF199" w14:textId="685E184C" w:rsidR="007A2E2A" w:rsidRPr="00793505" w:rsidRDefault="00A26C2B" w:rsidP="007A2E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9607</w:t>
            </w:r>
          </w:p>
        </w:tc>
      </w:tr>
      <w:tr w:rsidR="007A2E2A" w:rsidRPr="005F244D" w14:paraId="006C19F3" w14:textId="77777777" w:rsidTr="007A2E2A">
        <w:tc>
          <w:tcPr>
            <w:tcW w:w="2545" w:type="dxa"/>
          </w:tcPr>
          <w:p w14:paraId="5C27F4DE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03E9DC1E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DAE1AD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4900A0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AA9D564" w14:textId="3B00BFD5" w:rsidR="007A2E2A" w:rsidRPr="00C919D6" w:rsidRDefault="00793505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7A2E2A" w:rsidRPr="005F244D" w14:paraId="078D8E4F" w14:textId="77777777" w:rsidTr="007A2E2A">
        <w:tc>
          <w:tcPr>
            <w:tcW w:w="2545" w:type="dxa"/>
          </w:tcPr>
          <w:p w14:paraId="4E2C30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0564B48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992C3D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6E6F581B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093F793" w14:textId="7AE46F4A" w:rsidR="007A2E2A" w:rsidRPr="00C919D6" w:rsidRDefault="00793505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7A2E2A" w:rsidRPr="005F244D" w14:paraId="7B48E159" w14:textId="77777777" w:rsidTr="007A2E2A">
        <w:tc>
          <w:tcPr>
            <w:tcW w:w="2545" w:type="dxa"/>
          </w:tcPr>
          <w:p w14:paraId="5C99204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odtworzeń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79770FE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7A97318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6AB154D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3010458C" w14:textId="77777777" w:rsidR="007A2E2A" w:rsidRPr="00C919D6" w:rsidRDefault="007A2E2A" w:rsidP="007A2E2A">
            <w:pPr>
              <w:rPr>
                <w:rFonts w:cstheme="minorHAnsi"/>
              </w:rPr>
            </w:pPr>
            <w:r w:rsidRPr="00C919D6">
              <w:rPr>
                <w:rFonts w:cstheme="minorHAnsi"/>
              </w:rPr>
              <w:t>0</w:t>
            </w:r>
          </w:p>
        </w:tc>
      </w:tr>
      <w:tr w:rsidR="007A2E2A" w:rsidRPr="005F244D" w14:paraId="07DE5DC5" w14:textId="77777777" w:rsidTr="007A2E2A">
        <w:tc>
          <w:tcPr>
            <w:tcW w:w="2545" w:type="dxa"/>
          </w:tcPr>
          <w:p w14:paraId="35FA1D3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 xml:space="preserve">Rozmiar </w:t>
            </w:r>
            <w:proofErr w:type="spellStart"/>
            <w:r w:rsidRPr="00CA1A2A">
              <w:rPr>
                <w:rFonts w:eastAsia="Times New Roman" w:cstheme="minorHAnsi"/>
                <w:lang w:eastAsia="pl-PL"/>
              </w:rPr>
              <w:t>zdigitalizowanej</w:t>
            </w:r>
            <w:proofErr w:type="spellEnd"/>
            <w:r w:rsidRPr="00CA1A2A">
              <w:rPr>
                <w:rFonts w:eastAsia="Times New Roman" w:cstheme="minorHAnsi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73F0FC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294C645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72B20F6E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3406E726" w14:textId="7585893A" w:rsidR="007A2E2A" w:rsidRPr="00793505" w:rsidRDefault="00A26C2B" w:rsidP="009D0B5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17,167</w:t>
            </w:r>
          </w:p>
        </w:tc>
      </w:tr>
      <w:tr w:rsidR="007A2E2A" w:rsidRPr="005F244D" w14:paraId="2355352D" w14:textId="77777777" w:rsidTr="007A2E2A">
        <w:tc>
          <w:tcPr>
            <w:tcW w:w="2545" w:type="dxa"/>
          </w:tcPr>
          <w:p w14:paraId="78C0148C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BE131B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93D719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153B1FD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8417C96" w14:textId="48617EFC" w:rsidR="007A2E2A" w:rsidRPr="00793505" w:rsidRDefault="00A26C2B" w:rsidP="007A2E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0,35</w:t>
            </w:r>
          </w:p>
        </w:tc>
      </w:tr>
      <w:tr w:rsidR="007A2E2A" w:rsidRPr="005F244D" w14:paraId="56E72794" w14:textId="77777777" w:rsidTr="007A2E2A">
        <w:tc>
          <w:tcPr>
            <w:tcW w:w="2545" w:type="dxa"/>
          </w:tcPr>
          <w:p w14:paraId="16E5B90C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05F8AF98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30751078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1605928E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6ED40595" w14:textId="77777777" w:rsidR="007A2E2A" w:rsidRPr="00C919D6" w:rsidRDefault="007A2E2A" w:rsidP="007A2E2A">
            <w:pPr>
              <w:rPr>
                <w:rFonts w:cstheme="minorHAnsi"/>
              </w:rPr>
            </w:pPr>
            <w:r w:rsidRPr="00C919D6">
              <w:rPr>
                <w:rFonts w:cstheme="minorHAnsi"/>
              </w:rPr>
              <w:t>0</w:t>
            </w:r>
          </w:p>
        </w:tc>
      </w:tr>
    </w:tbl>
    <w:p w14:paraId="7CE63BBE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4CB88516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78EE63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0222E3C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A54895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8269F43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2097982A" w14:textId="77777777" w:rsidTr="00517F12">
        <w:tc>
          <w:tcPr>
            <w:tcW w:w="2937" w:type="dxa"/>
          </w:tcPr>
          <w:p w14:paraId="5DD67C39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086891BE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EABE33E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339845D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B53575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479B8FD8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2CD0BE2B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5F1C4A6A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5B5FB9B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0263BECE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42091CA1" w14:textId="77777777" w:rsidTr="007A2E2A">
        <w:tc>
          <w:tcPr>
            <w:tcW w:w="2786" w:type="dxa"/>
          </w:tcPr>
          <w:p w14:paraId="35EA355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750D8D0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3E8C68D" w14:textId="01BB74CD" w:rsidR="007A2E2A" w:rsidRPr="00CA1A2A" w:rsidRDefault="00A26C2B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969" w:type="dxa"/>
          </w:tcPr>
          <w:p w14:paraId="3415C3E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C725E11" w14:textId="77777777" w:rsidTr="007A2E2A">
        <w:tc>
          <w:tcPr>
            <w:tcW w:w="2786" w:type="dxa"/>
          </w:tcPr>
          <w:p w14:paraId="729C30A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6D03E45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495BBDBD" w14:textId="6F88A8C2" w:rsidR="007A2E2A" w:rsidRPr="00CA1A2A" w:rsidRDefault="00A26C2B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969" w:type="dxa"/>
          </w:tcPr>
          <w:p w14:paraId="5F8AD74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4E17F6B" w14:textId="77777777" w:rsidTr="007A2E2A">
        <w:tc>
          <w:tcPr>
            <w:tcW w:w="2786" w:type="dxa"/>
          </w:tcPr>
          <w:p w14:paraId="7A8F9BBF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Historii Żydów Polskich POLIN w Warszawie z zespołów: sztuka, komiks, etnografia, pamiątki rodzinne Żydów Polskich, Kolekcji “Sprawiedliwi”, Kolekcji “Gina i Marek Szwarcowie”, Kolekcji “Świat Teodora </w:t>
            </w:r>
            <w:proofErr w:type="spellStart"/>
            <w:r w:rsidRPr="00CA1A2A">
              <w:rPr>
                <w:rFonts w:cstheme="minorHAnsi"/>
                <w:sz w:val="20"/>
                <w:lang w:eastAsia="pl-PL"/>
              </w:rPr>
              <w:t>Boka</w:t>
            </w:r>
            <w:proofErr w:type="spellEnd"/>
            <w:r w:rsidRPr="00CA1A2A">
              <w:rPr>
                <w:rFonts w:cstheme="minorHAnsi"/>
                <w:sz w:val="20"/>
                <w:lang w:eastAsia="pl-PL"/>
              </w:rPr>
              <w:t>” oraz Kuczki.</w:t>
            </w:r>
          </w:p>
        </w:tc>
        <w:tc>
          <w:tcPr>
            <w:tcW w:w="1366" w:type="dxa"/>
          </w:tcPr>
          <w:p w14:paraId="7256EC0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BAA2D01" w14:textId="79D24D7F" w:rsidR="007A2E2A" w:rsidRPr="00CA1A2A" w:rsidRDefault="00A26C2B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969" w:type="dxa"/>
          </w:tcPr>
          <w:p w14:paraId="1A8D2C1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5560135" w14:textId="77777777" w:rsidTr="007A2E2A">
        <w:tc>
          <w:tcPr>
            <w:tcW w:w="2786" w:type="dxa"/>
          </w:tcPr>
          <w:p w14:paraId="49E1F886" w14:textId="77777777" w:rsidR="007A2E2A" w:rsidRPr="00CA1A2A" w:rsidRDefault="007A2E2A" w:rsidP="004B3691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</w:t>
            </w:r>
            <w:r w:rsidR="004B3691">
              <w:rPr>
                <w:rFonts w:cstheme="minorHAnsi"/>
                <w:sz w:val="20"/>
                <w:lang w:eastAsia="pl-PL"/>
              </w:rPr>
              <w:t>Narodowego</w:t>
            </w:r>
            <w:r w:rsidRPr="00CA1A2A">
              <w:rPr>
                <w:rFonts w:cstheme="minorHAnsi"/>
                <w:sz w:val="20"/>
                <w:lang w:eastAsia="pl-PL"/>
              </w:rPr>
              <w:t xml:space="preserve">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7D07FF8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36E39A04" w14:textId="233FFD05" w:rsidR="007A2E2A" w:rsidRPr="00CA1A2A" w:rsidRDefault="00A26C2B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969" w:type="dxa"/>
          </w:tcPr>
          <w:p w14:paraId="5498648B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7BEF4FD" w14:textId="77777777" w:rsidTr="007A2E2A">
        <w:tc>
          <w:tcPr>
            <w:tcW w:w="2786" w:type="dxa"/>
          </w:tcPr>
          <w:p w14:paraId="7F7950D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6C1FAC1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161AA430" w14:textId="367613F6" w:rsidR="007A2E2A" w:rsidRPr="00CA1A2A" w:rsidRDefault="00A26C2B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969" w:type="dxa"/>
          </w:tcPr>
          <w:p w14:paraId="17197C3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03C971CB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2569C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569C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569C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569C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569C7">
        <w:rPr>
          <w:rFonts w:ascii="Arial" w:hAnsi="Arial" w:cs="Arial"/>
          <w:color w:val="auto"/>
        </w:rPr>
        <w:t xml:space="preserve"> </w:t>
      </w:r>
      <w:r w:rsidR="00B41415" w:rsidRPr="002569C7">
        <w:rPr>
          <w:rFonts w:ascii="Arial" w:hAnsi="Arial" w:cs="Arial"/>
          <w:color w:val="auto"/>
          <w:sz w:val="20"/>
          <w:szCs w:val="18"/>
        </w:rPr>
        <w:t>&lt;maksymalnie 20</w:t>
      </w:r>
      <w:r w:rsidRPr="002569C7">
        <w:rPr>
          <w:rFonts w:ascii="Arial" w:hAnsi="Arial" w:cs="Arial"/>
          <w:color w:val="auto"/>
          <w:sz w:val="20"/>
          <w:szCs w:val="18"/>
        </w:rPr>
        <w:t xml:space="preserve">00 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02699E91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621F311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61AB2FF9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7F5C3D8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10B0FDE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7109074A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6B05FAFB" w14:textId="77777777" w:rsidTr="007A2E2A">
        <w:tc>
          <w:tcPr>
            <w:tcW w:w="2466" w:type="dxa"/>
          </w:tcPr>
          <w:p w14:paraId="28F4DDB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Strona internetowa z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multiwyszukiwarką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pozwalającą na przeszukiwanie baz danych wszystkich instytucji partnerskich i zintegrowanie publikowanych zasobów (2D, 3D, RTI,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Gigapixel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>, GIS)</w:t>
            </w:r>
          </w:p>
        </w:tc>
        <w:tc>
          <w:tcPr>
            <w:tcW w:w="1661" w:type="dxa"/>
          </w:tcPr>
          <w:p w14:paraId="54EB9D4A" w14:textId="77777777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6DFDF380" w14:textId="40A4A533" w:rsidR="007A2E2A" w:rsidRPr="00CA1A2A" w:rsidRDefault="00A26C2B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431" w:type="dxa"/>
          </w:tcPr>
          <w:p w14:paraId="42736A9D" w14:textId="77777777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</w:t>
            </w:r>
            <w:r w:rsidR="000A68F7">
              <w:rPr>
                <w:rFonts w:cstheme="minorHAnsi"/>
                <w:sz w:val="20"/>
              </w:rPr>
              <w:t>API MPKJ3W</w:t>
            </w:r>
          </w:p>
          <w:p w14:paraId="60CDDF47" w14:textId="77777777" w:rsidR="007A2E2A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="000A68F7">
              <w:rPr>
                <w:rFonts w:cstheme="minorHAnsi"/>
                <w:sz w:val="20"/>
              </w:rPr>
              <w:t xml:space="preserve">strona </w:t>
            </w:r>
            <w:r w:rsidR="00F10CA5">
              <w:rPr>
                <w:rFonts w:cstheme="minorHAnsi"/>
                <w:sz w:val="20"/>
              </w:rPr>
              <w:t>www projektu</w:t>
            </w:r>
            <w:r w:rsidR="000A68F7">
              <w:rPr>
                <w:rFonts w:cstheme="minorHAnsi"/>
                <w:sz w:val="20"/>
              </w:rPr>
              <w:t xml:space="preserve"> z </w:t>
            </w:r>
            <w:proofErr w:type="spellStart"/>
            <w:r w:rsidR="000A68F7">
              <w:rPr>
                <w:rFonts w:cstheme="minorHAnsi"/>
                <w:sz w:val="20"/>
              </w:rPr>
              <w:t>multiwyszukiwarką</w:t>
            </w:r>
            <w:proofErr w:type="spellEnd"/>
            <w:r w:rsidR="000A68F7">
              <w:rPr>
                <w:rFonts w:cstheme="minorHAnsi"/>
                <w:sz w:val="20"/>
              </w:rPr>
              <w:t xml:space="preserve"> odbiera dane z systemu zarzadzania zbiorami MPKJ3W (</w:t>
            </w:r>
            <w:proofErr w:type="spellStart"/>
            <w:r w:rsidR="000A68F7">
              <w:rPr>
                <w:rFonts w:cstheme="minorHAnsi"/>
                <w:sz w:val="20"/>
              </w:rPr>
              <w:t>iArt</w:t>
            </w:r>
            <w:proofErr w:type="spellEnd"/>
            <w:r w:rsidR="000A68F7">
              <w:rPr>
                <w:rFonts w:cstheme="minorHAnsi"/>
                <w:sz w:val="20"/>
              </w:rPr>
              <w:t>) przez z API MPKJ3W</w:t>
            </w:r>
          </w:p>
          <w:p w14:paraId="54FB8341" w14:textId="3B838D0C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</w:t>
            </w:r>
            <w:r w:rsidR="008111BF">
              <w:rPr>
                <w:rFonts w:cstheme="minorHAnsi"/>
                <w:sz w:val="20"/>
              </w:rPr>
              <w:t xml:space="preserve"> wdrożony</w:t>
            </w:r>
          </w:p>
          <w:p w14:paraId="4FE733FF" w14:textId="77777777" w:rsidR="000A68F7" w:rsidRDefault="000A68F7" w:rsidP="00985A5B">
            <w:pPr>
              <w:rPr>
                <w:rFonts w:cstheme="minorHAnsi"/>
                <w:sz w:val="20"/>
              </w:rPr>
            </w:pPr>
          </w:p>
          <w:p w14:paraId="73C2A03D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POLIN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0C8A45DD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systemu zarzadzania zbiorami POLIN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POLIN</w:t>
            </w:r>
          </w:p>
          <w:p w14:paraId="2FA6F2F2" w14:textId="1102BE3B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8111BF">
              <w:rPr>
                <w:rFonts w:cstheme="minorHAnsi"/>
                <w:sz w:val="20"/>
              </w:rPr>
              <w:t>wdrożony</w:t>
            </w:r>
          </w:p>
          <w:p w14:paraId="32C30894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7F2CE75C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78B4AD34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systemu zarzadzania zbiorami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ML</w:t>
            </w:r>
          </w:p>
          <w:p w14:paraId="46659C9A" w14:textId="6344A30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8111BF">
              <w:rPr>
                <w:rFonts w:cstheme="minorHAnsi"/>
                <w:sz w:val="20"/>
              </w:rPr>
              <w:t>wdrożony</w:t>
            </w:r>
          </w:p>
          <w:p w14:paraId="43358B66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78319E85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229B45AF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systemu zarzadzania zbiorami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MNS</w:t>
            </w:r>
          </w:p>
          <w:p w14:paraId="39CD1DAC" w14:textId="2200B51B" w:rsidR="000A68F7" w:rsidRDefault="00C62BF0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8111BF">
              <w:rPr>
                <w:rFonts w:cstheme="minorHAnsi"/>
                <w:sz w:val="20"/>
              </w:rPr>
              <w:t>wdrożony</w:t>
            </w:r>
          </w:p>
          <w:p w14:paraId="0CF813D3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241D2BF1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0E2B8F6D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systemu zarzadzania zbiorami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MZŁ</w:t>
            </w:r>
          </w:p>
          <w:p w14:paraId="3829F807" w14:textId="72551E08" w:rsidR="000A68F7" w:rsidRDefault="00C62BF0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8111BF">
              <w:rPr>
                <w:rFonts w:cstheme="minorHAnsi"/>
                <w:sz w:val="20"/>
              </w:rPr>
              <w:t>wdrożony</w:t>
            </w:r>
          </w:p>
          <w:p w14:paraId="3D1CFD8F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1C3828B3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serwisy mapowe MPKJ3W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317E1506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</w:t>
            </w:r>
            <w:proofErr w:type="spellStart"/>
            <w:r>
              <w:rPr>
                <w:rFonts w:cstheme="minorHAnsi"/>
                <w:sz w:val="20"/>
              </w:rPr>
              <w:t>geoportalu</w:t>
            </w:r>
            <w:proofErr w:type="spellEnd"/>
            <w:r w:rsidR="00F10CA5">
              <w:rPr>
                <w:rFonts w:cstheme="minorHAnsi"/>
                <w:sz w:val="20"/>
              </w:rPr>
              <w:t xml:space="preserve"> MPKJ3W udost</w:t>
            </w:r>
            <w:r w:rsidR="003E5F16">
              <w:rPr>
                <w:rFonts w:cstheme="minorHAnsi"/>
                <w:sz w:val="20"/>
              </w:rPr>
              <w:t>ę</w:t>
            </w:r>
            <w:r w:rsidR="00F10CA5">
              <w:rPr>
                <w:rFonts w:cstheme="minorHAnsi"/>
                <w:sz w:val="20"/>
              </w:rPr>
              <w:t>pniającego serwisy mapowe</w:t>
            </w:r>
          </w:p>
          <w:p w14:paraId="4CF95149" w14:textId="71810C8D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8111BF">
              <w:rPr>
                <w:rFonts w:cstheme="minorHAnsi"/>
                <w:sz w:val="20"/>
              </w:rPr>
              <w:t>wdrożony</w:t>
            </w:r>
          </w:p>
          <w:p w14:paraId="13B029A6" w14:textId="77777777" w:rsidR="00F10CA5" w:rsidRDefault="00F10CA5" w:rsidP="000A68F7">
            <w:pPr>
              <w:rPr>
                <w:rFonts w:cstheme="minorHAnsi"/>
                <w:sz w:val="20"/>
              </w:rPr>
            </w:pPr>
          </w:p>
          <w:p w14:paraId="683A8DC2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serwisy mapowe MNS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295D3E1E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</w:t>
            </w:r>
            <w:proofErr w:type="spellStart"/>
            <w:r>
              <w:rPr>
                <w:rFonts w:cstheme="minorHAnsi"/>
                <w:sz w:val="20"/>
              </w:rPr>
              <w:t>geoportalu</w:t>
            </w:r>
            <w:proofErr w:type="spellEnd"/>
            <w:r>
              <w:rPr>
                <w:rFonts w:cstheme="minorHAnsi"/>
                <w:sz w:val="20"/>
              </w:rPr>
              <w:t xml:space="preserve"> MNS udost</w:t>
            </w:r>
            <w:r w:rsidR="003E5F16">
              <w:rPr>
                <w:rFonts w:cstheme="minorHAnsi"/>
                <w:sz w:val="20"/>
              </w:rPr>
              <w:t>ę</w:t>
            </w:r>
            <w:r>
              <w:rPr>
                <w:rFonts w:cstheme="minorHAnsi"/>
                <w:sz w:val="20"/>
              </w:rPr>
              <w:t>pniającego serwisy mapowe</w:t>
            </w:r>
          </w:p>
          <w:p w14:paraId="7924DB4A" w14:textId="7D85F749" w:rsidR="00F10CA5" w:rsidRDefault="00C62BF0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8111BF">
              <w:rPr>
                <w:rFonts w:cstheme="minorHAnsi"/>
                <w:sz w:val="20"/>
              </w:rPr>
              <w:t>wdrożony</w:t>
            </w:r>
          </w:p>
          <w:p w14:paraId="15FD9049" w14:textId="77777777" w:rsidR="00F10CA5" w:rsidRDefault="00F10CA5" w:rsidP="00F10CA5">
            <w:pPr>
              <w:rPr>
                <w:rFonts w:cstheme="minorHAnsi"/>
                <w:sz w:val="20"/>
              </w:rPr>
            </w:pPr>
          </w:p>
          <w:p w14:paraId="3B94F14C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serwisy mapowe MZŁ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5BF9D3F7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Opis zależności: 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</w:t>
            </w:r>
            <w:proofErr w:type="spellStart"/>
            <w:r>
              <w:rPr>
                <w:rFonts w:cstheme="minorHAnsi"/>
                <w:sz w:val="20"/>
              </w:rPr>
              <w:t>geoportalu</w:t>
            </w:r>
            <w:proofErr w:type="spellEnd"/>
            <w:r>
              <w:rPr>
                <w:rFonts w:cstheme="minorHAnsi"/>
                <w:sz w:val="20"/>
              </w:rPr>
              <w:t xml:space="preserve"> MZŁ udost</w:t>
            </w:r>
            <w:r w:rsidR="003E5F16">
              <w:rPr>
                <w:rFonts w:cstheme="minorHAnsi"/>
                <w:sz w:val="20"/>
              </w:rPr>
              <w:t>ę</w:t>
            </w:r>
            <w:r>
              <w:rPr>
                <w:rFonts w:cstheme="minorHAnsi"/>
                <w:sz w:val="20"/>
              </w:rPr>
              <w:t>pniającego serwisy mapowe</w:t>
            </w:r>
          </w:p>
          <w:p w14:paraId="1A457F07" w14:textId="58B4CDDE" w:rsidR="00F10CA5" w:rsidRDefault="00C62BF0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8111BF">
              <w:rPr>
                <w:rFonts w:cstheme="minorHAnsi"/>
                <w:sz w:val="20"/>
              </w:rPr>
              <w:t>wdrożony</w:t>
            </w:r>
          </w:p>
          <w:p w14:paraId="7726F047" w14:textId="77777777" w:rsidR="00F10CA5" w:rsidRDefault="00F10CA5" w:rsidP="00F10CA5">
            <w:pPr>
              <w:rPr>
                <w:rFonts w:cstheme="minorHAnsi"/>
                <w:sz w:val="20"/>
              </w:rPr>
            </w:pPr>
          </w:p>
          <w:p w14:paraId="2BDCD199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</w:t>
            </w:r>
            <w:r w:rsidRPr="00CA1A2A">
              <w:rPr>
                <w:rFonts w:cstheme="minorHAnsi"/>
                <w:sz w:val="20"/>
              </w:rPr>
              <w:t>Sketchfab.com</w:t>
            </w:r>
            <w:r>
              <w:rPr>
                <w:rFonts w:cstheme="minorHAnsi"/>
                <w:sz w:val="20"/>
              </w:rPr>
              <w:t xml:space="preserve"> (Systemy zewnętrzne)</w:t>
            </w:r>
          </w:p>
          <w:p w14:paraId="5161B385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3E5F16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odbiera dane z systemu zewnętrznego Sketchfab.com</w:t>
            </w:r>
          </w:p>
          <w:p w14:paraId="2C30E676" w14:textId="2D837090" w:rsidR="00F10CA5" w:rsidRPr="00CA1A2A" w:rsidRDefault="00C62BF0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44318D">
              <w:rPr>
                <w:rFonts w:cstheme="minorHAnsi"/>
                <w:sz w:val="20"/>
              </w:rPr>
              <w:t>wdrożony</w:t>
            </w:r>
          </w:p>
        </w:tc>
      </w:tr>
      <w:tr w:rsidR="007A2E2A" w:rsidRPr="005F244D" w14:paraId="2AEAF2EE" w14:textId="77777777" w:rsidTr="007A2E2A">
        <w:tc>
          <w:tcPr>
            <w:tcW w:w="2466" w:type="dxa"/>
          </w:tcPr>
          <w:p w14:paraId="5F7A5F46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 xml:space="preserve">API wspólnego systemu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multiwyszukiwarki</w:t>
            </w:r>
            <w:proofErr w:type="spellEnd"/>
          </w:p>
        </w:tc>
        <w:tc>
          <w:tcPr>
            <w:tcW w:w="1661" w:type="dxa"/>
          </w:tcPr>
          <w:p w14:paraId="74A5F670" w14:textId="77777777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1DEC2A1D" w14:textId="1419F3F4" w:rsidR="007A2E2A" w:rsidRPr="00CA1A2A" w:rsidRDefault="00A26C2B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431" w:type="dxa"/>
          </w:tcPr>
          <w:p w14:paraId="515F1BB0" w14:textId="201C0974" w:rsidR="00C62BF0" w:rsidRDefault="00C62BF0" w:rsidP="00C62BF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 xml:space="preserve">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</w:p>
          <w:p w14:paraId="2521BB6C" w14:textId="77777777" w:rsidR="007A2E2A" w:rsidRDefault="00C62BF0" w:rsidP="00C62BF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udostępnia dane</w:t>
            </w:r>
          </w:p>
          <w:p w14:paraId="08186518" w14:textId="50A3CAF8" w:rsidR="00C62BF0" w:rsidRPr="00CA1A2A" w:rsidRDefault="00C62BF0" w:rsidP="00C62BF0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44318D">
              <w:rPr>
                <w:rFonts w:cstheme="minorHAnsi"/>
                <w:sz w:val="20"/>
              </w:rPr>
              <w:t>wdrożony</w:t>
            </w:r>
          </w:p>
        </w:tc>
      </w:tr>
      <w:tr w:rsidR="007A2E2A" w:rsidRPr="005F244D" w14:paraId="52F5D60B" w14:textId="77777777" w:rsidTr="007A2E2A">
        <w:tc>
          <w:tcPr>
            <w:tcW w:w="2466" w:type="dxa"/>
          </w:tcPr>
          <w:p w14:paraId="12766A8F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Istniejący </w:t>
            </w: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63E2981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06F251CD" w14:textId="14E02480" w:rsidR="007A2E2A" w:rsidRPr="00CA1A2A" w:rsidRDefault="00C27F96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431" w:type="dxa"/>
          </w:tcPr>
          <w:p w14:paraId="1938E0F8" w14:textId="77777777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</w:t>
            </w:r>
            <w:r w:rsidR="003E5F16">
              <w:rPr>
                <w:rFonts w:cstheme="minorHAnsi"/>
                <w:sz w:val="20"/>
              </w:rPr>
              <w:t xml:space="preserve">: strona www projektu z </w:t>
            </w:r>
            <w:proofErr w:type="spellStart"/>
            <w:r w:rsidR="003E5F16">
              <w:rPr>
                <w:rFonts w:cstheme="minorHAnsi"/>
                <w:sz w:val="20"/>
              </w:rPr>
              <w:t>multiwyszukiwarką</w:t>
            </w:r>
            <w:proofErr w:type="spellEnd"/>
          </w:p>
          <w:p w14:paraId="361B461D" w14:textId="77777777" w:rsidR="003E5F16" w:rsidRDefault="00985A5B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</w:t>
            </w:r>
            <w:r w:rsidR="003E5F16">
              <w:rPr>
                <w:rFonts w:cstheme="minorHAnsi"/>
                <w:sz w:val="20"/>
              </w:rPr>
              <w:t xml:space="preserve"> </w:t>
            </w:r>
            <w:proofErr w:type="spellStart"/>
            <w:r w:rsidR="003E5F16">
              <w:rPr>
                <w:rFonts w:cstheme="minorHAnsi"/>
                <w:sz w:val="20"/>
              </w:rPr>
              <w:t>geoportal</w:t>
            </w:r>
            <w:proofErr w:type="spellEnd"/>
            <w:r w:rsidR="003E5F16">
              <w:rPr>
                <w:rFonts w:cstheme="minorHAnsi"/>
                <w:sz w:val="20"/>
              </w:rPr>
              <w:t xml:space="preserve"> MPKJ3W udostępnia serwisy mapowe, z których korzysta strona www projektu z </w:t>
            </w:r>
            <w:proofErr w:type="spellStart"/>
            <w:r w:rsidR="003E5F16">
              <w:rPr>
                <w:rFonts w:cstheme="minorHAnsi"/>
                <w:sz w:val="20"/>
              </w:rPr>
              <w:t>multiwyszukiwarką</w:t>
            </w:r>
            <w:proofErr w:type="spellEnd"/>
            <w:r w:rsidR="003E5F16">
              <w:rPr>
                <w:rFonts w:cstheme="minorHAnsi"/>
                <w:sz w:val="20"/>
              </w:rPr>
              <w:t xml:space="preserve"> </w:t>
            </w:r>
          </w:p>
          <w:p w14:paraId="4F5D8CF8" w14:textId="0636B185" w:rsidR="00985A5B" w:rsidRPr="00CA1A2A" w:rsidRDefault="00C62BF0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AE75CA">
              <w:rPr>
                <w:rFonts w:cstheme="minorHAnsi"/>
                <w:sz w:val="20"/>
              </w:rPr>
              <w:t>wdrożony</w:t>
            </w:r>
          </w:p>
        </w:tc>
      </w:tr>
      <w:tr w:rsidR="007A2E2A" w:rsidRPr="005F244D" w14:paraId="12A1232A" w14:textId="77777777" w:rsidTr="007A2E2A">
        <w:tc>
          <w:tcPr>
            <w:tcW w:w="2466" w:type="dxa"/>
          </w:tcPr>
          <w:p w14:paraId="3C21369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 Narodowego w Szczecinie prezentujący zasoby archeologiczne i toponomastyczne</w:t>
            </w:r>
          </w:p>
        </w:tc>
        <w:tc>
          <w:tcPr>
            <w:tcW w:w="1661" w:type="dxa"/>
          </w:tcPr>
          <w:p w14:paraId="613738F5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E90F881" w14:textId="082749C3" w:rsidR="007A2E2A" w:rsidRPr="00CA1A2A" w:rsidRDefault="00C27F96" w:rsidP="007A2E2A">
            <w:pPr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  <w:lang w:eastAsia="pl-PL"/>
              </w:rPr>
              <w:t>12-2021</w:t>
            </w:r>
          </w:p>
        </w:tc>
        <w:tc>
          <w:tcPr>
            <w:tcW w:w="3431" w:type="dxa"/>
          </w:tcPr>
          <w:p w14:paraId="3A9A3D1D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</w:p>
          <w:p w14:paraId="4A27499E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proofErr w:type="spellStart"/>
            <w:r>
              <w:rPr>
                <w:rFonts w:cstheme="minorHAnsi"/>
                <w:sz w:val="20"/>
              </w:rPr>
              <w:t>geoportal</w:t>
            </w:r>
            <w:proofErr w:type="spellEnd"/>
            <w:r>
              <w:rPr>
                <w:rFonts w:cstheme="minorHAnsi"/>
                <w:sz w:val="20"/>
              </w:rPr>
              <w:t xml:space="preserve"> MNS udostępnia serwisy mapowe, z których korzysta 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</w:t>
            </w:r>
          </w:p>
          <w:p w14:paraId="60400232" w14:textId="20AF0990" w:rsidR="007A2E2A" w:rsidRPr="00CA1A2A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AE75CA">
              <w:rPr>
                <w:rFonts w:cstheme="minorHAnsi"/>
                <w:sz w:val="20"/>
              </w:rPr>
              <w:t>wdrożony</w:t>
            </w:r>
          </w:p>
        </w:tc>
      </w:tr>
      <w:tr w:rsidR="007A2E2A" w:rsidRPr="005F244D" w14:paraId="6786F614" w14:textId="77777777" w:rsidTr="007A2E2A">
        <w:tc>
          <w:tcPr>
            <w:tcW w:w="2466" w:type="dxa"/>
          </w:tcPr>
          <w:p w14:paraId="4ACEC46B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proofErr w:type="spellStart"/>
            <w:r w:rsidRPr="00CA1A2A">
              <w:rPr>
                <w:rFonts w:cstheme="minorHAnsi"/>
                <w:sz w:val="20"/>
                <w:szCs w:val="18"/>
              </w:rPr>
              <w:t>Geoportal</w:t>
            </w:r>
            <w:proofErr w:type="spellEnd"/>
            <w:r w:rsidRPr="00CA1A2A">
              <w:rPr>
                <w:rFonts w:cstheme="minorHAnsi"/>
                <w:sz w:val="20"/>
                <w:szCs w:val="18"/>
              </w:rPr>
              <w:t xml:space="preserve"> Muzeum-Zamku w Łańcucie prezentujący dane dotyczące zamku i pomieszczeń w zamku</w:t>
            </w:r>
          </w:p>
        </w:tc>
        <w:tc>
          <w:tcPr>
            <w:tcW w:w="1661" w:type="dxa"/>
          </w:tcPr>
          <w:p w14:paraId="7952259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5F7A1C0D" w14:textId="1B8037AD" w:rsidR="007A2E2A" w:rsidRPr="00CA1A2A" w:rsidRDefault="00C27F96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3431" w:type="dxa"/>
          </w:tcPr>
          <w:p w14:paraId="6A931016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</w:p>
          <w:p w14:paraId="26DD1561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proofErr w:type="spellStart"/>
            <w:r>
              <w:rPr>
                <w:rFonts w:cstheme="minorHAnsi"/>
                <w:sz w:val="20"/>
              </w:rPr>
              <w:t>geoportal</w:t>
            </w:r>
            <w:proofErr w:type="spellEnd"/>
            <w:r>
              <w:rPr>
                <w:rFonts w:cstheme="minorHAnsi"/>
                <w:sz w:val="20"/>
              </w:rPr>
              <w:t xml:space="preserve"> MZŁ udostępnia serwisy mapowe, z których korzysta strona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  <w:r>
              <w:rPr>
                <w:rFonts w:cstheme="minorHAnsi"/>
                <w:sz w:val="20"/>
              </w:rPr>
              <w:t xml:space="preserve"> </w:t>
            </w:r>
          </w:p>
          <w:p w14:paraId="0A89E79C" w14:textId="5C4D2E12" w:rsidR="007A2E2A" w:rsidRPr="00CA1A2A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AE75CA">
              <w:rPr>
                <w:rFonts w:cstheme="minorHAnsi"/>
                <w:sz w:val="20"/>
              </w:rPr>
              <w:t>wdrożony</w:t>
            </w:r>
          </w:p>
        </w:tc>
      </w:tr>
      <w:tr w:rsidR="00C27F96" w:rsidRPr="005F244D" w14:paraId="2F5719D4" w14:textId="77777777" w:rsidTr="007A2E2A">
        <w:tc>
          <w:tcPr>
            <w:tcW w:w="2466" w:type="dxa"/>
          </w:tcPr>
          <w:p w14:paraId="3F9B5620" w14:textId="77777777" w:rsidR="00C27F96" w:rsidRPr="00CA1A2A" w:rsidRDefault="00C27F96" w:rsidP="00C27F96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4543E2F1" w14:textId="77777777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5865FECE" w14:textId="60CA5546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3431" w:type="dxa"/>
          </w:tcPr>
          <w:p w14:paraId="5BED1B12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32347382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 moduł publikacji danych na stornie www MNS (Zbiory Cyfrowe) odbiera dane z systemu zarzadzania zbiorami MNS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MNS</w:t>
            </w:r>
          </w:p>
          <w:p w14:paraId="21400045" w14:textId="7D48AE17" w:rsidR="00C27F96" w:rsidRPr="00CA1A2A" w:rsidRDefault="00AE75CA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wdrożony</w:t>
            </w:r>
          </w:p>
        </w:tc>
      </w:tr>
      <w:tr w:rsidR="00C27F96" w:rsidRPr="005F244D" w14:paraId="7152BC1E" w14:textId="77777777" w:rsidTr="007A2E2A">
        <w:tc>
          <w:tcPr>
            <w:tcW w:w="2466" w:type="dxa"/>
          </w:tcPr>
          <w:p w14:paraId="3B86ADC9" w14:textId="77777777" w:rsidR="00C27F96" w:rsidRPr="00CA1A2A" w:rsidRDefault="00C27F96" w:rsidP="00C27F96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Zbiory cyfrowe Muzeum </w:t>
            </w:r>
            <w:r>
              <w:rPr>
                <w:rFonts w:cstheme="minorHAnsi"/>
                <w:sz w:val="20"/>
                <w:szCs w:val="18"/>
              </w:rPr>
              <w:t>Narodowego</w:t>
            </w:r>
            <w:r w:rsidRPr="00CA1A2A">
              <w:rPr>
                <w:rFonts w:cstheme="minorHAnsi"/>
                <w:sz w:val="20"/>
                <w:szCs w:val="18"/>
              </w:rPr>
              <w:t xml:space="preserve"> w Lublinie – publikacja obiektów na stronie internetowej instytucji</w:t>
            </w:r>
          </w:p>
        </w:tc>
        <w:tc>
          <w:tcPr>
            <w:tcW w:w="1661" w:type="dxa"/>
          </w:tcPr>
          <w:p w14:paraId="38C5D4B5" w14:textId="77777777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187DF1AF" w14:textId="35C72CEA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3431" w:type="dxa"/>
          </w:tcPr>
          <w:p w14:paraId="32AD7674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43A61C9A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 moduł publikacji danych na stornie www ML (Zbiory Cyfrowe) odbiera dane z systemu zarzadzania zbiorami ML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ML</w:t>
            </w:r>
          </w:p>
          <w:p w14:paraId="56A41F54" w14:textId="368F4DC3" w:rsidR="00C27F96" w:rsidRPr="00CA1A2A" w:rsidRDefault="00C62BF0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AE75CA" w:rsidRPr="00AE75CA">
              <w:rPr>
                <w:rFonts w:cstheme="minorHAnsi"/>
                <w:sz w:val="20"/>
              </w:rPr>
              <w:t>wdrożony</w:t>
            </w:r>
          </w:p>
        </w:tc>
      </w:tr>
      <w:tr w:rsidR="00C27F96" w:rsidRPr="005F244D" w14:paraId="02225ACA" w14:textId="77777777" w:rsidTr="007A2E2A">
        <w:tc>
          <w:tcPr>
            <w:tcW w:w="2466" w:type="dxa"/>
          </w:tcPr>
          <w:p w14:paraId="0E07CC9A" w14:textId="77777777" w:rsidR="00C27F96" w:rsidRPr="00CA1A2A" w:rsidRDefault="00C27F96" w:rsidP="00C27F96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5C40F39B" w14:textId="77777777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2CE5BF9" w14:textId="0FC70B6D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3431" w:type="dxa"/>
          </w:tcPr>
          <w:p w14:paraId="01AB310F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1F85B882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 moduł publikacji danych na stornie www MZŁ (Zbiory Cyfrowe) odbiera dane z systemu zarzadzania zbiorami MZŁ (</w:t>
            </w:r>
            <w:proofErr w:type="spellStart"/>
            <w:r>
              <w:rPr>
                <w:rFonts w:cstheme="minorHAnsi"/>
                <w:sz w:val="20"/>
              </w:rPr>
              <w:t>iArt</w:t>
            </w:r>
            <w:proofErr w:type="spellEnd"/>
            <w:r>
              <w:rPr>
                <w:rFonts w:cstheme="minorHAnsi"/>
                <w:sz w:val="20"/>
              </w:rPr>
              <w:t>) przez z API MZŁ</w:t>
            </w:r>
          </w:p>
          <w:p w14:paraId="68042593" w14:textId="7FC77BF3" w:rsidR="00C27F96" w:rsidRPr="00CA1A2A" w:rsidRDefault="00AE75CA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wdrożony</w:t>
            </w:r>
          </w:p>
        </w:tc>
      </w:tr>
      <w:tr w:rsidR="00C27F96" w:rsidRPr="005F244D" w14:paraId="0AFF5603" w14:textId="77777777" w:rsidTr="007A2E2A">
        <w:tc>
          <w:tcPr>
            <w:tcW w:w="2466" w:type="dxa"/>
          </w:tcPr>
          <w:p w14:paraId="7B019773" w14:textId="77777777" w:rsidR="00C27F96" w:rsidRPr="00CA1A2A" w:rsidRDefault="00C27F96" w:rsidP="00C27F96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071C0D18" w14:textId="77777777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5A2F14EE" w14:textId="704EBFA8" w:rsidR="00C27F96" w:rsidRPr="00CA1A2A" w:rsidRDefault="00C27F96" w:rsidP="00C27F96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3431" w:type="dxa"/>
          </w:tcPr>
          <w:p w14:paraId="5B42C5AD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Sketchfab.com</w:t>
            </w:r>
          </w:p>
          <w:p w14:paraId="2BA6682C" w14:textId="77777777" w:rsidR="00C27F96" w:rsidRDefault="00C27F96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Sketchfab.com (System zewnętrzny) udostępnia dane dla strony www projektu z </w:t>
            </w:r>
            <w:proofErr w:type="spellStart"/>
            <w:r>
              <w:rPr>
                <w:rFonts w:cstheme="minorHAnsi"/>
                <w:sz w:val="20"/>
              </w:rPr>
              <w:t>multiwyszukiwarką</w:t>
            </w:r>
            <w:proofErr w:type="spellEnd"/>
          </w:p>
          <w:p w14:paraId="29F73029" w14:textId="54244CB2" w:rsidR="00C27F96" w:rsidRPr="00CA1A2A" w:rsidRDefault="00AE75CA" w:rsidP="00C27F9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wdrożony</w:t>
            </w:r>
          </w:p>
        </w:tc>
      </w:tr>
    </w:tbl>
    <w:p w14:paraId="00935EA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0A2CA91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2B87142A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7041E25C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A95C5EB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D68630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16E6B3A9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6791B69B" w14:textId="77777777" w:rsidTr="007A2E2A">
        <w:tc>
          <w:tcPr>
            <w:tcW w:w="2665" w:type="dxa"/>
          </w:tcPr>
          <w:p w14:paraId="781D6AD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1B97D2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A7E0A1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054E59F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gospodarowanie oszczędnościami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rzetelne przygotowywanie specyfikacji istotnych warunków zamówienia, konstruowanie budżetów rezerwowych, odpowiednia strategia współpracy z dostawcami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3F9EE7D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szczegółowa specyfikacja ograniczy niepewność po stronie dostawców/ wykonawców i pozwoli na dokładniejsze przygotowanie ofert, a tym samym minimalizację nakładów; </w:t>
            </w:r>
          </w:p>
          <w:p w14:paraId="763EF032" w14:textId="20615D4B" w:rsidR="007A2E2A" w:rsidRPr="00CA1A2A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AE75CA" w:rsidRPr="00AE75C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46866AAF" w14:textId="77777777" w:rsidTr="007A2E2A">
        <w:tc>
          <w:tcPr>
            <w:tcW w:w="2665" w:type="dxa"/>
          </w:tcPr>
          <w:p w14:paraId="5C174FAB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05583A8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4C9F3A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294563B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</w:t>
            </w:r>
          </w:p>
          <w:p w14:paraId="3FBD011B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odpowiednio wczesne wykrycie ewentualnych nieprawidłowości, gwarantujące czas 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na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reakcję; </w:t>
            </w:r>
          </w:p>
          <w:p w14:paraId="50E04365" w14:textId="7DF7ED3F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AE75CA" w:rsidRPr="00AE75C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3FF40914" w14:textId="77777777" w:rsidTr="007A2E2A">
        <w:tc>
          <w:tcPr>
            <w:tcW w:w="2665" w:type="dxa"/>
          </w:tcPr>
          <w:p w14:paraId="2DB7921E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66D5AD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5C43EB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34BE2DD3" w14:textId="77777777" w:rsidR="007A2E2A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7EF0CBDE" w14:textId="77777777" w:rsidR="00256386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sz w:val="20"/>
                <w:lang w:eastAsia="pl-PL"/>
              </w:rPr>
              <w:t>Spodziewane lub faktyczne efekty działań:</w:t>
            </w:r>
            <w:r>
              <w:rPr>
                <w:sz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</w:t>
            </w:r>
            <w:r>
              <w:rPr>
                <w:rFonts w:cstheme="minorHAnsi"/>
                <w:sz w:val="20"/>
                <w:szCs w:val="20"/>
                <w:lang w:eastAsia="pl-PL"/>
              </w:rPr>
              <w:t>nowe przygotowywanie rozliczeń;</w:t>
            </w:r>
          </w:p>
          <w:p w14:paraId="76CA0A24" w14:textId="1609AE3B" w:rsidR="00570C77" w:rsidRPr="00CA1A2A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rFonts w:cstheme="minorHAnsi"/>
                <w:sz w:val="20"/>
                <w:szCs w:val="20"/>
                <w:lang w:eastAsia="pl-PL"/>
              </w:rPr>
              <w:t>Zmiana: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17C3D47F" w14:textId="77777777" w:rsidTr="007A2E2A">
        <w:tc>
          <w:tcPr>
            <w:tcW w:w="2665" w:type="dxa"/>
          </w:tcPr>
          <w:p w14:paraId="100D23CD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632339A6" w14:textId="77777777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9678EC3" w14:textId="77777777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74DCB989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d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52C6AFC9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Spodziewane lub faktyczne efekty działań: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cykliczna weryfikacja postępu prac i wspólne dla partnerstwa zgłaszanie ewentualnych wniosków o zmiany; </w:t>
            </w:r>
          </w:p>
          <w:p w14:paraId="2B5284F7" w14:textId="37B4EB18" w:rsidR="007A2E2A" w:rsidRPr="00CA1A2A" w:rsidRDefault="00AE75CA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Pr="00AE75C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5512A441" w14:textId="77777777" w:rsidTr="007A2E2A">
        <w:tc>
          <w:tcPr>
            <w:tcW w:w="2665" w:type="dxa"/>
          </w:tcPr>
          <w:p w14:paraId="4EBBBAAB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12F504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5CB09B5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E44F44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365C6285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wystarczającej infrastruktury;</w:t>
            </w:r>
          </w:p>
          <w:p w14:paraId="113C659B" w14:textId="3A0A4584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AE75CA" w:rsidRPr="00AE75C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106F8A49" w14:textId="77777777" w:rsidTr="007A2E2A">
        <w:tc>
          <w:tcPr>
            <w:tcW w:w="2665" w:type="dxa"/>
          </w:tcPr>
          <w:p w14:paraId="47342D40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37B8CFB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8053C5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BE839BC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o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dpowiednia organizacja zespołu projektowego, którego członkowie będą w stanie przejąć dodatkowe obowiązki, redundancja kluczowych stanowisk, pozyskanie i wyszkolenie dodatkowej kadry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66FBA541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efektywne zastępstwa nieobecnych pracowników; </w:t>
            </w:r>
          </w:p>
          <w:p w14:paraId="5EFFA526" w14:textId="4AEBD58A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AE75CA" w:rsidRPr="00AE75C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373141F2" w14:textId="77777777" w:rsidTr="007A2E2A">
        <w:tc>
          <w:tcPr>
            <w:tcW w:w="2665" w:type="dxa"/>
          </w:tcPr>
          <w:p w14:paraId="2218C01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A8D838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1FB97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BF8918F" w14:textId="77777777" w:rsidR="00256386" w:rsidRDefault="005A45F7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09F516BC" w14:textId="77777777" w:rsidR="00256386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sprawny przepływ informacji; </w:t>
            </w:r>
          </w:p>
          <w:p w14:paraId="1A75E079" w14:textId="1068770A" w:rsidR="007A2E2A" w:rsidRPr="00CA1A2A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AE75CA" w:rsidRPr="00AE75C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097CEEE0" w14:textId="77777777" w:rsidTr="007A2E2A">
        <w:tc>
          <w:tcPr>
            <w:tcW w:w="2665" w:type="dxa"/>
          </w:tcPr>
          <w:p w14:paraId="77BBBF6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8AA87C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12750A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C4D1605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bieżący monitoring zgodności API, ewentualne dostosowywanie </w:t>
            </w:r>
            <w:proofErr w:type="spellStart"/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do API systemów ewidencyjnych w ramach prac związanych z utrzymaniem </w:t>
            </w:r>
            <w:proofErr w:type="spellStart"/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multiwyszukiwarki</w:t>
            </w:r>
            <w:proofErr w:type="spellEnd"/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54527603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wczesne wykrycie ewentualnych niezgodności pozwalające na ich eliminację na etapie produkcji; </w:t>
            </w:r>
          </w:p>
          <w:p w14:paraId="7A8633C4" w14:textId="49A94F9F" w:rsidR="007A2E2A" w:rsidRPr="00CA1A2A" w:rsidRDefault="00AE75C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Pr="00AE75C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ryzyko zamknięte</w:t>
            </w:r>
          </w:p>
        </w:tc>
      </w:tr>
      <w:tr w:rsidR="007A2E2A" w:rsidRPr="005F244D" w14:paraId="2A348040" w14:textId="77777777" w:rsidTr="007A2E2A">
        <w:tc>
          <w:tcPr>
            <w:tcW w:w="2665" w:type="dxa"/>
          </w:tcPr>
          <w:p w14:paraId="18E4C6D8" w14:textId="77777777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1BACFA2D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606628B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DFF524D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eastAsia="Times New Roman" w:cstheme="minorHAnsi"/>
                <w:sz w:val="20"/>
                <w:szCs w:val="20"/>
                <w:lang w:eastAsia="pl-PL"/>
              </w:rPr>
              <w:t>Podejmowane działania: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="007A2E2A"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57052BB6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lastRenderedPageBreak/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bieżący monitoring postępu prac pozwalający na wczesne wykrycie trudności i reakcję; </w:t>
            </w:r>
          </w:p>
          <w:p w14:paraId="7C6AD9DA" w14:textId="1EC19F01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7A2E2A" w:rsidRPr="005F244D" w14:paraId="71D675F3" w14:textId="77777777" w:rsidTr="007A2E2A">
        <w:tc>
          <w:tcPr>
            <w:tcW w:w="2665" w:type="dxa"/>
          </w:tcPr>
          <w:p w14:paraId="3B28DB10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lastRenderedPageBreak/>
              <w:t>zmiany w technologii, problemy sprzętowe</w:t>
            </w:r>
          </w:p>
        </w:tc>
        <w:tc>
          <w:tcPr>
            <w:tcW w:w="1417" w:type="dxa"/>
          </w:tcPr>
          <w:p w14:paraId="2968B70D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31433714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AA4CD6F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F6A0CFE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wspólnie określone wymagania technologiczne dla partnerów; </w:t>
            </w:r>
          </w:p>
          <w:p w14:paraId="428134E1" w14:textId="0F9CA784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7A2E2A" w:rsidRPr="005F244D" w14:paraId="1C852212" w14:textId="77777777" w:rsidTr="007A2E2A">
        <w:tc>
          <w:tcPr>
            <w:tcW w:w="2665" w:type="dxa"/>
            <w:vAlign w:val="center"/>
          </w:tcPr>
          <w:p w14:paraId="4B77DFC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50D1339B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04B5986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5A37743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</w:t>
            </w:r>
          </w:p>
          <w:p w14:paraId="2B231DC2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 uporządkowana korespondencja z partnerami i IP; </w:t>
            </w:r>
          </w:p>
          <w:p w14:paraId="7D395BD6" w14:textId="07C579E8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7A2E2A" w:rsidRPr="005F244D" w14:paraId="5D1B3169" w14:textId="77777777" w:rsidTr="007A2E2A">
        <w:tc>
          <w:tcPr>
            <w:tcW w:w="2665" w:type="dxa"/>
          </w:tcPr>
          <w:p w14:paraId="3A78D3CC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86208FC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3FF7726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2A8AD136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2A88C761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wystarczające zasoby do prawidłowej realizacji projektu; </w:t>
            </w:r>
          </w:p>
          <w:p w14:paraId="5C55A802" w14:textId="680017C4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FC52B9" w:rsidRPr="005F244D" w14:paraId="104A90F4" w14:textId="77777777" w:rsidTr="00852DB4">
        <w:tc>
          <w:tcPr>
            <w:tcW w:w="2665" w:type="dxa"/>
          </w:tcPr>
          <w:p w14:paraId="77437D6E" w14:textId="77777777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732FE190" w14:textId="77777777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ED5437" w14:textId="77777777" w:rsidR="00FC52B9" w:rsidRPr="00CA1A2A" w:rsidRDefault="00CC751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1C4820B" w14:textId="77777777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2ABDC573" w14:textId="77777777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realizacja zebrań i spotkań z użyciem </w:t>
            </w:r>
            <w:r w:rsidR="00CC7510">
              <w:rPr>
                <w:rFonts w:cstheme="minorHAnsi"/>
                <w:sz w:val="20"/>
                <w:szCs w:val="20"/>
              </w:rPr>
              <w:t>narzędzi</w:t>
            </w:r>
            <w:r w:rsidR="00852DB4">
              <w:rPr>
                <w:rFonts w:cstheme="minorHAnsi"/>
                <w:sz w:val="20"/>
                <w:szCs w:val="20"/>
              </w:rPr>
              <w:t xml:space="preserve"> do komunikacji na odległość, zapewnienie narzędzi i rozwiązań do zdalnej realizacji części procesu digitalizacji (</w:t>
            </w:r>
            <w:proofErr w:type="spellStart"/>
            <w:r w:rsidR="00852DB4">
              <w:rPr>
                <w:rFonts w:cstheme="minorHAnsi"/>
                <w:sz w:val="20"/>
                <w:szCs w:val="20"/>
              </w:rPr>
              <w:t>postprodukcja</w:t>
            </w:r>
            <w:proofErr w:type="spellEnd"/>
            <w:r w:rsidR="00852DB4">
              <w:rPr>
                <w:rFonts w:cstheme="minorHAnsi"/>
                <w:sz w:val="20"/>
                <w:szCs w:val="20"/>
              </w:rPr>
              <w:t>)</w:t>
            </w:r>
          </w:p>
          <w:p w14:paraId="4D4CA45E" w14:textId="7CEEDF17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FC52B9" w:rsidRPr="005F244D" w14:paraId="6BDFEFDB" w14:textId="77777777" w:rsidTr="00FC52B9">
        <w:tc>
          <w:tcPr>
            <w:tcW w:w="2665" w:type="dxa"/>
            <w:vAlign w:val="bottom"/>
          </w:tcPr>
          <w:p w14:paraId="17A79C36" w14:textId="77777777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1420869B" w14:textId="77777777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3ED8AA9F" w14:textId="77777777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9166616" w14:textId="77777777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0B57290C" w14:textId="77777777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brak;</w:t>
            </w:r>
          </w:p>
          <w:p w14:paraId="29CE56AD" w14:textId="7E4F7C26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FC52B9" w:rsidRPr="005F244D" w14:paraId="4803811C" w14:textId="77777777" w:rsidTr="00852DB4">
        <w:tc>
          <w:tcPr>
            <w:tcW w:w="2665" w:type="dxa"/>
          </w:tcPr>
          <w:p w14:paraId="09018991" w14:textId="77777777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1B072D76" w14:textId="77777777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D67BAAA" w14:textId="77777777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0F7111CF" w14:textId="77777777" w:rsidR="00256386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posiadanego aktualnie sprzętu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7FC4E406" w14:textId="77777777" w:rsidR="00FC52B9" w:rsidRDefault="00256386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zachowanie ciągłości procesu digitalizacji;</w:t>
            </w:r>
          </w:p>
          <w:p w14:paraId="3F6CB25D" w14:textId="71E412A7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DF2665" w:rsidRPr="005F244D" w14:paraId="09EC9FB1" w14:textId="77777777" w:rsidTr="007A0FF0">
        <w:tc>
          <w:tcPr>
            <w:tcW w:w="2665" w:type="dxa"/>
            <w:shd w:val="clear" w:color="auto" w:fill="auto"/>
          </w:tcPr>
          <w:p w14:paraId="497CFB85" w14:textId="77777777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AC9E9D1" w14:textId="77777777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F1BE23A" w14:textId="77777777" w:rsidR="00DF2665" w:rsidRDefault="00852DB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3BC282BE" w14:textId="77777777" w:rsidR="00DF2665" w:rsidRDefault="005A45F7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A0FF0" w:rsidRPr="007A0FF0">
              <w:rPr>
                <w:rFonts w:cstheme="minorHAnsi"/>
                <w:color w:val="000000"/>
                <w:sz w:val="20"/>
                <w:szCs w:val="20"/>
              </w:rPr>
              <w:t xml:space="preserve">usprawnienie komunikacji z IP, rozszerzenie kontaktu z IP poza opiekuna projektu, w razie potrzeb kontakt z 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 xml:space="preserve">IZ; </w:t>
            </w:r>
          </w:p>
          <w:p w14:paraId="301E8B4A" w14:textId="77777777" w:rsidR="00256386" w:rsidRDefault="00256386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poprawa komunikacji, podpisany aneks do umowy o dofinansowanie;</w:t>
            </w:r>
          </w:p>
          <w:p w14:paraId="1ED26EAD" w14:textId="4813F4A1" w:rsidR="00852DB4" w:rsidRPr="00FC52B9" w:rsidRDefault="00852DB4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E75CA" w:rsidRPr="00AE75CA">
              <w:rPr>
                <w:rFonts w:cstheme="minorHAnsi"/>
                <w:sz w:val="20"/>
                <w:szCs w:val="20"/>
              </w:rPr>
              <w:t>ryzyko zamknięte</w:t>
            </w:r>
          </w:p>
        </w:tc>
      </w:tr>
      <w:tr w:rsidR="00E367A4" w:rsidRPr="005F244D" w14:paraId="2298638D" w14:textId="77777777" w:rsidTr="007A0FF0">
        <w:tc>
          <w:tcPr>
            <w:tcW w:w="2665" w:type="dxa"/>
            <w:shd w:val="clear" w:color="auto" w:fill="auto"/>
          </w:tcPr>
          <w:p w14:paraId="55B70FA8" w14:textId="77777777" w:rsidR="00E367A4" w:rsidRPr="007A0FF0" w:rsidRDefault="00E367A4" w:rsidP="00E367A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wydłużenie postępowań </w:t>
            </w:r>
            <w:proofErr w:type="spellStart"/>
            <w:r w:rsidRPr="00E367A4">
              <w:rPr>
                <w:rFonts w:cstheme="minorHAnsi"/>
                <w:color w:val="000000"/>
                <w:sz w:val="20"/>
                <w:szCs w:val="20"/>
              </w:rPr>
              <w:t>pzp</w:t>
            </w:r>
            <w:proofErr w:type="spellEnd"/>
            <w:r w:rsidRPr="00E367A4">
              <w:rPr>
                <w:rFonts w:cstheme="minorHAnsi"/>
                <w:color w:val="000000"/>
                <w:sz w:val="20"/>
                <w:szCs w:val="20"/>
              </w:rPr>
              <w:t xml:space="preserve"> wskutek zmiany ustawy prawo zamówień publicznych od stycznia 2021</w:t>
            </w:r>
          </w:p>
        </w:tc>
        <w:tc>
          <w:tcPr>
            <w:tcW w:w="1417" w:type="dxa"/>
            <w:shd w:val="clear" w:color="auto" w:fill="auto"/>
          </w:tcPr>
          <w:p w14:paraId="6AE08F5F" w14:textId="77777777" w:rsidR="00E367A4" w:rsidRDefault="00E367A4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niska</w:t>
            </w:r>
          </w:p>
        </w:tc>
        <w:tc>
          <w:tcPr>
            <w:tcW w:w="1701" w:type="dxa"/>
            <w:shd w:val="clear" w:color="auto" w:fill="auto"/>
          </w:tcPr>
          <w:p w14:paraId="43E92C91" w14:textId="77777777" w:rsidR="00E367A4" w:rsidRDefault="00E367A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635F96A8" w14:textId="77777777" w:rsidR="00E367A4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</w:t>
            </w:r>
            <w:r w:rsidRPr="00E367A4">
              <w:rPr>
                <w:rFonts w:cstheme="minorHAnsi"/>
                <w:color w:val="000000"/>
                <w:sz w:val="20"/>
                <w:szCs w:val="20"/>
              </w:rPr>
              <w:t>rzygotowanie specyfikacji zamówień z wyprzedzeniem, przeszkolenie pracowników</w:t>
            </w:r>
          </w:p>
          <w:p w14:paraId="65239F05" w14:textId="6FAB71E4" w:rsidR="00E367A4" w:rsidRPr="005A45F7" w:rsidRDefault="00E367A4" w:rsidP="00CF6ED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Zmiana: </w:t>
            </w:r>
            <w:r w:rsidR="00AE75CA" w:rsidRPr="00AE75CA">
              <w:rPr>
                <w:rFonts w:cstheme="minorHAnsi"/>
                <w:color w:val="000000"/>
                <w:sz w:val="20"/>
                <w:szCs w:val="20"/>
              </w:rPr>
              <w:t>ryzyko zamknięte</w:t>
            </w:r>
          </w:p>
        </w:tc>
      </w:tr>
    </w:tbl>
    <w:p w14:paraId="4B2FDEC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16BC82BC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068362BA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6F1D8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6CCF1C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6F652800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3DCC4FDD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58F02E27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11276F6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30EA799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E47A39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034825DB" w14:textId="77777777" w:rsidR="007A2E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Udostępnienie zasobów na zewnętrznych portalach internetowych, promocja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multiwyszukiwarki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 oraz włączanie do projektu kolejnych instytucji kultury</w:t>
            </w:r>
          </w:p>
          <w:p w14:paraId="0D5CD7B7" w14:textId="42DB0688" w:rsidR="00AE75CA" w:rsidRPr="00AE75CA" w:rsidRDefault="00AE75CA" w:rsidP="00AE75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Zmiana: bez zmian </w:t>
            </w:r>
          </w:p>
        </w:tc>
      </w:tr>
      <w:tr w:rsidR="007A2E2A" w:rsidRPr="005F244D" w14:paraId="3DB360B8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220969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173E1FB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55432F5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1DAADB21" w14:textId="77777777" w:rsidR="007A2E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</w:t>
            </w:r>
            <w:proofErr w:type="spellStart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MKiDN</w:t>
            </w:r>
            <w:proofErr w:type="spellEnd"/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/od sponsorów na dalszą digitalizację i udostępnianie zasobów w formie cyfrowej. Odpowiednie planowanie budżetów muzeów w kolejnych latach.</w:t>
            </w:r>
          </w:p>
          <w:p w14:paraId="4A33BBAB" w14:textId="3D884880" w:rsidR="00AE75CA" w:rsidRPr="00AE75CA" w:rsidRDefault="00AE75CA" w:rsidP="00AE75CA">
            <w:pPr>
              <w:rPr>
                <w:lang w:eastAsia="pl-PL"/>
              </w:rPr>
            </w:pPr>
            <w:r>
              <w:rPr>
                <w:sz w:val="20"/>
                <w:szCs w:val="20"/>
              </w:rPr>
              <w:t>Zmiana: bez zmian</w:t>
            </w:r>
          </w:p>
        </w:tc>
      </w:tr>
      <w:tr w:rsidR="007A2E2A" w:rsidRPr="005F244D" w14:paraId="6ED1C8C7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5924544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7778140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54A60219" w14:textId="1A8C83CF" w:rsidR="007A2E2A" w:rsidRPr="00CA1A2A" w:rsidRDefault="00D66EE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F8C5B75" w14:textId="77777777" w:rsidR="007A2E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  <w:p w14:paraId="7FAB6F17" w14:textId="7C7830AC" w:rsidR="00AE75CA" w:rsidRPr="00AE75CA" w:rsidRDefault="00AE75CA" w:rsidP="00AE75CA">
            <w:pPr>
              <w:rPr>
                <w:lang w:eastAsia="pl-PL"/>
              </w:rPr>
            </w:pPr>
            <w:r>
              <w:rPr>
                <w:sz w:val="20"/>
                <w:szCs w:val="20"/>
              </w:rPr>
              <w:t>Zmiana: bez zmian</w:t>
            </w:r>
          </w:p>
        </w:tc>
      </w:tr>
      <w:tr w:rsidR="007A2E2A" w:rsidRPr="005F244D" w14:paraId="544CC664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01106B37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6DEDC64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55DBFBC4" w14:textId="165DC332" w:rsidR="007A2E2A" w:rsidRPr="00CA1A2A" w:rsidRDefault="00D66EE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A5192B4" w14:textId="77777777" w:rsidR="007A2E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</w:t>
            </w:r>
            <w:r w:rsidR="00D66EE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ch obowiązków przez pracowników, powołanie zespołów zadaniowych</w:t>
            </w:r>
          </w:p>
          <w:p w14:paraId="73566425" w14:textId="0114F57A" w:rsidR="00AE75CA" w:rsidRPr="00AE75CA" w:rsidRDefault="00AE75CA" w:rsidP="00AE75CA">
            <w:pPr>
              <w:rPr>
                <w:lang w:eastAsia="pl-PL"/>
              </w:rPr>
            </w:pPr>
            <w:r>
              <w:rPr>
                <w:sz w:val="20"/>
                <w:szCs w:val="20"/>
              </w:rPr>
              <w:t>Zmiana: bez zmian</w:t>
            </w:r>
          </w:p>
        </w:tc>
      </w:tr>
    </w:tbl>
    <w:p w14:paraId="2063DA59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1BC5104" w14:textId="77777777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lastRenderedPageBreak/>
        <w:t>Nie dotyczy</w:t>
      </w:r>
    </w:p>
    <w:p w14:paraId="207CC146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499028A" w14:textId="09E0870D" w:rsidR="00D308EF" w:rsidRDefault="006B493D" w:rsidP="00A92887">
      <w:pPr>
        <w:spacing w:after="0"/>
        <w:jc w:val="both"/>
        <w:rPr>
          <w:rStyle w:val="Nagwek2Znak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Ewa Jakubowska-Smagieł</w:t>
      </w:r>
      <w:r w:rsidR="007A2E2A"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 xml:space="preserve">, Dział Dokumentacji i Cyfryzacji, </w:t>
      </w:r>
      <w:hyperlink r:id="rId8" w:history="1">
        <w:r w:rsidR="00D308EF" w:rsidRPr="00340C1A">
          <w:rPr>
            <w:rStyle w:val="Hipercze"/>
            <w:rFonts w:eastAsiaTheme="majorEastAsia" w:cstheme="minorHAnsi"/>
          </w:rPr>
          <w:t>ejakubowska@muzeum-wilanow.pl</w:t>
        </w:r>
      </w:hyperlink>
      <w:r w:rsidR="007A2E2A"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6D0F6475" w14:textId="6DC9DFBB" w:rsidR="00A92887" w:rsidRPr="00CA1A2A" w:rsidRDefault="00D308EF" w:rsidP="00A92887">
      <w:pPr>
        <w:spacing w:after="0"/>
        <w:jc w:val="both"/>
        <w:rPr>
          <w:rFonts w:cstheme="minorHAnsi"/>
        </w:rPr>
      </w:pPr>
      <w:r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 xml:space="preserve">tel. </w:t>
      </w:r>
      <w:r w:rsidR="006B493D" w:rsidRPr="006B493D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500 060 872</w:t>
      </w:r>
    </w:p>
    <w:p w14:paraId="028DC808" w14:textId="77777777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143F8133" w14:textId="77777777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634C2E09" w14:textId="77777777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7C8EFC10" w14:textId="77777777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C464C" w14:textId="77777777" w:rsidR="006421BA" w:rsidRDefault="006421BA" w:rsidP="00BB2420">
      <w:pPr>
        <w:spacing w:after="0" w:line="240" w:lineRule="auto"/>
      </w:pPr>
      <w:r>
        <w:separator/>
      </w:r>
    </w:p>
  </w:endnote>
  <w:endnote w:type="continuationSeparator" w:id="0">
    <w:p w14:paraId="6C966FDE" w14:textId="77777777" w:rsidR="006421BA" w:rsidRDefault="006421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5217A3" w14:textId="075F9F6B" w:rsidR="0044318D" w:rsidRDefault="004431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54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13</w:t>
            </w:r>
          </w:p>
        </w:sdtContent>
      </w:sdt>
    </w:sdtContent>
  </w:sdt>
  <w:p w14:paraId="5D61D108" w14:textId="77777777" w:rsidR="0044318D" w:rsidRDefault="004431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66EAB" w14:textId="77777777" w:rsidR="006421BA" w:rsidRDefault="006421BA" w:rsidP="00BB2420">
      <w:pPr>
        <w:spacing w:after="0" w:line="240" w:lineRule="auto"/>
      </w:pPr>
      <w:r>
        <w:separator/>
      </w:r>
    </w:p>
  </w:footnote>
  <w:footnote w:type="continuationSeparator" w:id="0">
    <w:p w14:paraId="5045F9B4" w14:textId="77777777" w:rsidR="006421BA" w:rsidRDefault="006421BA" w:rsidP="00BB2420">
      <w:pPr>
        <w:spacing w:after="0" w:line="240" w:lineRule="auto"/>
      </w:pPr>
      <w:r>
        <w:continuationSeparator/>
      </w:r>
    </w:p>
  </w:footnote>
  <w:footnote w:id="1">
    <w:p w14:paraId="19AF98CB" w14:textId="77777777" w:rsidR="0044318D" w:rsidRDefault="0044318D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14C"/>
    <w:rsid w:val="0002020B"/>
    <w:rsid w:val="00034CD2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1D8A"/>
    <w:rsid w:val="00084E5B"/>
    <w:rsid w:val="00087231"/>
    <w:rsid w:val="00093B14"/>
    <w:rsid w:val="00095944"/>
    <w:rsid w:val="0009735C"/>
    <w:rsid w:val="000A1DFB"/>
    <w:rsid w:val="000A2F32"/>
    <w:rsid w:val="000A3938"/>
    <w:rsid w:val="000A68F7"/>
    <w:rsid w:val="000B3E49"/>
    <w:rsid w:val="000B5147"/>
    <w:rsid w:val="000E0060"/>
    <w:rsid w:val="000E1828"/>
    <w:rsid w:val="000E4BF8"/>
    <w:rsid w:val="000F20A9"/>
    <w:rsid w:val="000F307B"/>
    <w:rsid w:val="000F30B9"/>
    <w:rsid w:val="0010036E"/>
    <w:rsid w:val="00104139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77A61"/>
    <w:rsid w:val="00181E97"/>
    <w:rsid w:val="00182A08"/>
    <w:rsid w:val="00186608"/>
    <w:rsid w:val="001A0FB9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063EC"/>
    <w:rsid w:val="00222CE4"/>
    <w:rsid w:val="002368B9"/>
    <w:rsid w:val="00237279"/>
    <w:rsid w:val="00240D69"/>
    <w:rsid w:val="00241B5E"/>
    <w:rsid w:val="00252087"/>
    <w:rsid w:val="00256386"/>
    <w:rsid w:val="002569C7"/>
    <w:rsid w:val="00263392"/>
    <w:rsid w:val="00265194"/>
    <w:rsid w:val="00276C00"/>
    <w:rsid w:val="00293351"/>
    <w:rsid w:val="00294349"/>
    <w:rsid w:val="002A3C02"/>
    <w:rsid w:val="002A5452"/>
    <w:rsid w:val="002B0FB3"/>
    <w:rsid w:val="002B271C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6917"/>
    <w:rsid w:val="00310D8E"/>
    <w:rsid w:val="003221F2"/>
    <w:rsid w:val="00322614"/>
    <w:rsid w:val="00334A24"/>
    <w:rsid w:val="003410FE"/>
    <w:rsid w:val="0034612A"/>
    <w:rsid w:val="003508E7"/>
    <w:rsid w:val="003542F1"/>
    <w:rsid w:val="00356A3E"/>
    <w:rsid w:val="003642B8"/>
    <w:rsid w:val="0037780C"/>
    <w:rsid w:val="003811CC"/>
    <w:rsid w:val="003864C2"/>
    <w:rsid w:val="003A19B7"/>
    <w:rsid w:val="003A4115"/>
    <w:rsid w:val="003B5B7A"/>
    <w:rsid w:val="003C6ED5"/>
    <w:rsid w:val="003C7325"/>
    <w:rsid w:val="003D5490"/>
    <w:rsid w:val="003D7DD0"/>
    <w:rsid w:val="003E3144"/>
    <w:rsid w:val="003E5F16"/>
    <w:rsid w:val="0040169B"/>
    <w:rsid w:val="00405EA4"/>
    <w:rsid w:val="0041034F"/>
    <w:rsid w:val="004118A3"/>
    <w:rsid w:val="00423A26"/>
    <w:rsid w:val="00425046"/>
    <w:rsid w:val="00426CDA"/>
    <w:rsid w:val="004350B8"/>
    <w:rsid w:val="0044318D"/>
    <w:rsid w:val="00444AAB"/>
    <w:rsid w:val="00450089"/>
    <w:rsid w:val="00463404"/>
    <w:rsid w:val="00463B28"/>
    <w:rsid w:val="004729D1"/>
    <w:rsid w:val="00484BFF"/>
    <w:rsid w:val="00485FD0"/>
    <w:rsid w:val="0049731B"/>
    <w:rsid w:val="00497A2E"/>
    <w:rsid w:val="004B214D"/>
    <w:rsid w:val="004B3691"/>
    <w:rsid w:val="004B46E4"/>
    <w:rsid w:val="004B55FF"/>
    <w:rsid w:val="004C1D48"/>
    <w:rsid w:val="004C70D3"/>
    <w:rsid w:val="004D65CA"/>
    <w:rsid w:val="004F6E89"/>
    <w:rsid w:val="005076A1"/>
    <w:rsid w:val="00513213"/>
    <w:rsid w:val="00517F12"/>
    <w:rsid w:val="0052102C"/>
    <w:rsid w:val="005212C8"/>
    <w:rsid w:val="00524E6C"/>
    <w:rsid w:val="00530B02"/>
    <w:rsid w:val="005332D6"/>
    <w:rsid w:val="005376BC"/>
    <w:rsid w:val="00544DFE"/>
    <w:rsid w:val="00550137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A45F7"/>
    <w:rsid w:val="005B1A32"/>
    <w:rsid w:val="005B3224"/>
    <w:rsid w:val="005C0469"/>
    <w:rsid w:val="005C2D3B"/>
    <w:rsid w:val="005C6116"/>
    <w:rsid w:val="005C77BB"/>
    <w:rsid w:val="005D17CF"/>
    <w:rsid w:val="005D24AF"/>
    <w:rsid w:val="005D5AAB"/>
    <w:rsid w:val="005D6E12"/>
    <w:rsid w:val="005E0ED8"/>
    <w:rsid w:val="005E6ABD"/>
    <w:rsid w:val="005E7F86"/>
    <w:rsid w:val="005F41FA"/>
    <w:rsid w:val="005F4A02"/>
    <w:rsid w:val="00600AE4"/>
    <w:rsid w:val="006054AA"/>
    <w:rsid w:val="0062054D"/>
    <w:rsid w:val="006225D2"/>
    <w:rsid w:val="00632AB6"/>
    <w:rsid w:val="006334BF"/>
    <w:rsid w:val="006344BD"/>
    <w:rsid w:val="00635A54"/>
    <w:rsid w:val="006421BA"/>
    <w:rsid w:val="00651104"/>
    <w:rsid w:val="006542A5"/>
    <w:rsid w:val="00661A62"/>
    <w:rsid w:val="0066258A"/>
    <w:rsid w:val="00664EE0"/>
    <w:rsid w:val="00667C39"/>
    <w:rsid w:val="006731D9"/>
    <w:rsid w:val="006822BC"/>
    <w:rsid w:val="00687A24"/>
    <w:rsid w:val="00691477"/>
    <w:rsid w:val="00692540"/>
    <w:rsid w:val="006948D3"/>
    <w:rsid w:val="006A1FD3"/>
    <w:rsid w:val="006A3BB5"/>
    <w:rsid w:val="006A60AA"/>
    <w:rsid w:val="006B034F"/>
    <w:rsid w:val="006B493D"/>
    <w:rsid w:val="006B5117"/>
    <w:rsid w:val="006C32DB"/>
    <w:rsid w:val="006C48A8"/>
    <w:rsid w:val="006C78AE"/>
    <w:rsid w:val="006D2B85"/>
    <w:rsid w:val="006E0CFA"/>
    <w:rsid w:val="006E6205"/>
    <w:rsid w:val="006F0C2B"/>
    <w:rsid w:val="006F42B7"/>
    <w:rsid w:val="00701800"/>
    <w:rsid w:val="00721EB8"/>
    <w:rsid w:val="00725708"/>
    <w:rsid w:val="00740A47"/>
    <w:rsid w:val="00746ABD"/>
    <w:rsid w:val="007657B7"/>
    <w:rsid w:val="0077418F"/>
    <w:rsid w:val="0077474D"/>
    <w:rsid w:val="00775C44"/>
    <w:rsid w:val="00776802"/>
    <w:rsid w:val="007924CE"/>
    <w:rsid w:val="00793505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6522"/>
    <w:rsid w:val="007D7F6F"/>
    <w:rsid w:val="007E341A"/>
    <w:rsid w:val="007F126F"/>
    <w:rsid w:val="00803FBE"/>
    <w:rsid w:val="00805178"/>
    <w:rsid w:val="00805646"/>
    <w:rsid w:val="00806134"/>
    <w:rsid w:val="008111BF"/>
    <w:rsid w:val="00825E50"/>
    <w:rsid w:val="00830B70"/>
    <w:rsid w:val="008361AE"/>
    <w:rsid w:val="00840749"/>
    <w:rsid w:val="00852DB4"/>
    <w:rsid w:val="00856047"/>
    <w:rsid w:val="0087452F"/>
    <w:rsid w:val="00875528"/>
    <w:rsid w:val="00884686"/>
    <w:rsid w:val="008A332F"/>
    <w:rsid w:val="008A52F6"/>
    <w:rsid w:val="008C2C61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5A5B"/>
    <w:rsid w:val="00992EA3"/>
    <w:rsid w:val="009967CA"/>
    <w:rsid w:val="009A04D7"/>
    <w:rsid w:val="009A085A"/>
    <w:rsid w:val="009A17FF"/>
    <w:rsid w:val="009B4423"/>
    <w:rsid w:val="009B56DE"/>
    <w:rsid w:val="009C6140"/>
    <w:rsid w:val="009D0B56"/>
    <w:rsid w:val="009D2FA4"/>
    <w:rsid w:val="009D7D8A"/>
    <w:rsid w:val="009E3B8D"/>
    <w:rsid w:val="009E4C67"/>
    <w:rsid w:val="009E551C"/>
    <w:rsid w:val="009F09BF"/>
    <w:rsid w:val="009F122B"/>
    <w:rsid w:val="009F1DC8"/>
    <w:rsid w:val="009F437E"/>
    <w:rsid w:val="00A11788"/>
    <w:rsid w:val="00A26C2B"/>
    <w:rsid w:val="00A30847"/>
    <w:rsid w:val="00A36AE2"/>
    <w:rsid w:val="00A43E49"/>
    <w:rsid w:val="00A44EA2"/>
    <w:rsid w:val="00A479B5"/>
    <w:rsid w:val="00A56D63"/>
    <w:rsid w:val="00A60140"/>
    <w:rsid w:val="00A665CA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B7614"/>
    <w:rsid w:val="00AC7E26"/>
    <w:rsid w:val="00AD07BB"/>
    <w:rsid w:val="00AD45BB"/>
    <w:rsid w:val="00AE1643"/>
    <w:rsid w:val="00AE31D4"/>
    <w:rsid w:val="00AE3A6C"/>
    <w:rsid w:val="00AE75CA"/>
    <w:rsid w:val="00AF09B8"/>
    <w:rsid w:val="00AF567D"/>
    <w:rsid w:val="00B04B1A"/>
    <w:rsid w:val="00B11BD4"/>
    <w:rsid w:val="00B137F5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39AF"/>
    <w:rsid w:val="00B74859"/>
    <w:rsid w:val="00B87D3D"/>
    <w:rsid w:val="00B91243"/>
    <w:rsid w:val="00B95663"/>
    <w:rsid w:val="00BA481C"/>
    <w:rsid w:val="00BB059E"/>
    <w:rsid w:val="00BB0A5E"/>
    <w:rsid w:val="00BB2420"/>
    <w:rsid w:val="00BB49AC"/>
    <w:rsid w:val="00BB4E6F"/>
    <w:rsid w:val="00BB5ACE"/>
    <w:rsid w:val="00BB6173"/>
    <w:rsid w:val="00BB634E"/>
    <w:rsid w:val="00BC1BD2"/>
    <w:rsid w:val="00BC6BE4"/>
    <w:rsid w:val="00BC72D0"/>
    <w:rsid w:val="00BD24E2"/>
    <w:rsid w:val="00BE47CD"/>
    <w:rsid w:val="00BE5BF9"/>
    <w:rsid w:val="00C1106C"/>
    <w:rsid w:val="00C167C2"/>
    <w:rsid w:val="00C17394"/>
    <w:rsid w:val="00C24EA3"/>
    <w:rsid w:val="00C26361"/>
    <w:rsid w:val="00C27F96"/>
    <w:rsid w:val="00C302F1"/>
    <w:rsid w:val="00C33109"/>
    <w:rsid w:val="00C3575F"/>
    <w:rsid w:val="00C42080"/>
    <w:rsid w:val="00C42AEA"/>
    <w:rsid w:val="00C50541"/>
    <w:rsid w:val="00C567DC"/>
    <w:rsid w:val="00C57985"/>
    <w:rsid w:val="00C62BF0"/>
    <w:rsid w:val="00C6751B"/>
    <w:rsid w:val="00C73ED7"/>
    <w:rsid w:val="00C919D6"/>
    <w:rsid w:val="00CA1A2A"/>
    <w:rsid w:val="00CA516B"/>
    <w:rsid w:val="00CB0744"/>
    <w:rsid w:val="00CB42AB"/>
    <w:rsid w:val="00CB7CF0"/>
    <w:rsid w:val="00CC7510"/>
    <w:rsid w:val="00CC7E21"/>
    <w:rsid w:val="00CD7C2B"/>
    <w:rsid w:val="00CE53E0"/>
    <w:rsid w:val="00CE74F9"/>
    <w:rsid w:val="00CE7777"/>
    <w:rsid w:val="00CF2E64"/>
    <w:rsid w:val="00CF6ED4"/>
    <w:rsid w:val="00D02F6D"/>
    <w:rsid w:val="00D064C6"/>
    <w:rsid w:val="00D1296A"/>
    <w:rsid w:val="00D22C21"/>
    <w:rsid w:val="00D25CFE"/>
    <w:rsid w:val="00D308EF"/>
    <w:rsid w:val="00D35BD4"/>
    <w:rsid w:val="00D4607F"/>
    <w:rsid w:val="00D57025"/>
    <w:rsid w:val="00D57765"/>
    <w:rsid w:val="00D6350F"/>
    <w:rsid w:val="00D6515B"/>
    <w:rsid w:val="00D66EEA"/>
    <w:rsid w:val="00D77F50"/>
    <w:rsid w:val="00D859F4"/>
    <w:rsid w:val="00D85A52"/>
    <w:rsid w:val="00D86FEC"/>
    <w:rsid w:val="00DA34DF"/>
    <w:rsid w:val="00DB44A2"/>
    <w:rsid w:val="00DB69FD"/>
    <w:rsid w:val="00DB79B6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67A4"/>
    <w:rsid w:val="00E375DB"/>
    <w:rsid w:val="00E42938"/>
    <w:rsid w:val="00E47508"/>
    <w:rsid w:val="00E55EB0"/>
    <w:rsid w:val="00E57BB7"/>
    <w:rsid w:val="00E61CB0"/>
    <w:rsid w:val="00E64B2F"/>
    <w:rsid w:val="00E71256"/>
    <w:rsid w:val="00E713C0"/>
    <w:rsid w:val="00E71BCF"/>
    <w:rsid w:val="00E81D7C"/>
    <w:rsid w:val="00E82D95"/>
    <w:rsid w:val="00E83FA4"/>
    <w:rsid w:val="00E86020"/>
    <w:rsid w:val="00E864A0"/>
    <w:rsid w:val="00E9220B"/>
    <w:rsid w:val="00E97A1E"/>
    <w:rsid w:val="00EA0B4F"/>
    <w:rsid w:val="00EA3136"/>
    <w:rsid w:val="00EA5451"/>
    <w:rsid w:val="00EA6C3E"/>
    <w:rsid w:val="00EC2AFC"/>
    <w:rsid w:val="00ED1149"/>
    <w:rsid w:val="00ED46E6"/>
    <w:rsid w:val="00ED6006"/>
    <w:rsid w:val="00EF79B6"/>
    <w:rsid w:val="00F10CA5"/>
    <w:rsid w:val="00F138F7"/>
    <w:rsid w:val="00F2008A"/>
    <w:rsid w:val="00F20732"/>
    <w:rsid w:val="00F21D9E"/>
    <w:rsid w:val="00F25348"/>
    <w:rsid w:val="00F4068F"/>
    <w:rsid w:val="00F44172"/>
    <w:rsid w:val="00F45506"/>
    <w:rsid w:val="00F53DBC"/>
    <w:rsid w:val="00F5431C"/>
    <w:rsid w:val="00F56A72"/>
    <w:rsid w:val="00F60062"/>
    <w:rsid w:val="00F613CC"/>
    <w:rsid w:val="00F63293"/>
    <w:rsid w:val="00F70175"/>
    <w:rsid w:val="00F7044C"/>
    <w:rsid w:val="00F76777"/>
    <w:rsid w:val="00F83F2F"/>
    <w:rsid w:val="00F86555"/>
    <w:rsid w:val="00F86C58"/>
    <w:rsid w:val="00FA2AD5"/>
    <w:rsid w:val="00FB42EB"/>
    <w:rsid w:val="00FC3B03"/>
    <w:rsid w:val="00FC52B9"/>
    <w:rsid w:val="00FD47E6"/>
    <w:rsid w:val="00FE2266"/>
    <w:rsid w:val="00FF03A2"/>
    <w:rsid w:val="00FF22C4"/>
    <w:rsid w:val="00FF35C2"/>
    <w:rsid w:val="00FF6C85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64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308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F7044C"/>
    <w:pPr>
      <w:spacing w:after="0" w:line="240" w:lineRule="auto"/>
    </w:pPr>
  </w:style>
  <w:style w:type="paragraph" w:customStyle="1" w:styleId="Default">
    <w:name w:val="Default"/>
    <w:rsid w:val="00AE75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jakubowska@muzeum-w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16CF9-E1D2-4EE7-AFBC-16E28BAF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3164</Words>
  <Characters>18989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2022-04-27T07:32:00Z</dcterms:created>
  <dcterms:modified xsi:type="dcterms:W3CDTF">2022-04-27T07:32:00Z</dcterms:modified>
</cp:coreProperties>
</file>