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728" w:rsidRPr="00044728" w:rsidRDefault="00027E62" w:rsidP="00AA7B88">
      <w:pPr>
        <w:spacing w:after="0"/>
        <w:jc w:val="center"/>
        <w:rPr>
          <w:b/>
        </w:rPr>
      </w:pPr>
      <w:r w:rsidRPr="00044728">
        <w:rPr>
          <w:b/>
        </w:rPr>
        <w:t>RAPORT Z KONSULTACJI</w:t>
      </w:r>
    </w:p>
    <w:p w:rsidR="00BB32E6" w:rsidRDefault="00BB32E6" w:rsidP="00AA7B88">
      <w:pPr>
        <w:spacing w:after="0"/>
        <w:jc w:val="center"/>
        <w:rPr>
          <w:b/>
          <w:bCs/>
          <w:vertAlign w:val="superscript"/>
        </w:rPr>
      </w:pPr>
      <w:r w:rsidRPr="00BB32E6">
        <w:rPr>
          <w:b/>
          <w:i/>
        </w:rPr>
        <w:t>projekt</w:t>
      </w:r>
      <w:r>
        <w:rPr>
          <w:b/>
          <w:i/>
        </w:rPr>
        <w:t>u</w:t>
      </w:r>
      <w:r w:rsidRPr="00BB32E6">
        <w:rPr>
          <w:b/>
          <w:i/>
        </w:rPr>
        <w:t xml:space="preserve"> rozporządzenia Ministra Spraw Wewnętrznych i Administracji zmieniającego</w:t>
      </w:r>
      <w:r w:rsidRPr="00BB32E6">
        <w:rPr>
          <w:b/>
          <w:bCs/>
          <w:i/>
        </w:rPr>
        <w:t xml:space="preserve"> rozporządzenie w sprawie warstwy elektronicznej dowodu osobistego</w:t>
      </w:r>
      <w:r w:rsidRPr="00BB32E6">
        <w:rPr>
          <w:b/>
          <w:bCs/>
          <w:vertAlign w:val="superscript"/>
        </w:rPr>
        <w:t xml:space="preserve"> </w:t>
      </w:r>
    </w:p>
    <w:p w:rsidR="00027E62" w:rsidRDefault="00BB32E6" w:rsidP="00AA7B88">
      <w:pPr>
        <w:spacing w:after="0"/>
        <w:jc w:val="center"/>
        <w:rPr>
          <w:b/>
        </w:rPr>
      </w:pPr>
      <w:r w:rsidRPr="00BB32E6">
        <w:rPr>
          <w:b/>
        </w:rPr>
        <w:t xml:space="preserve">(nr 669 w wykazie prac MSWiA) </w:t>
      </w:r>
    </w:p>
    <w:p w:rsidR="00AA7B88" w:rsidRDefault="00AA7B88" w:rsidP="00AA7B88">
      <w:pPr>
        <w:spacing w:after="0"/>
        <w:jc w:val="center"/>
        <w:rPr>
          <w:b/>
        </w:rPr>
      </w:pPr>
    </w:p>
    <w:p w:rsidR="00AA7B88" w:rsidRPr="00AA7B88" w:rsidRDefault="00AA7B88" w:rsidP="00AA7B88">
      <w:pPr>
        <w:spacing w:after="0" w:line="240" w:lineRule="auto"/>
        <w:jc w:val="both"/>
        <w:rPr>
          <w:rFonts w:cstheme="minorHAnsi"/>
          <w:b/>
        </w:rPr>
      </w:pPr>
      <w:r w:rsidRPr="00AA7B88">
        <w:rPr>
          <w:rFonts w:cstheme="minorHAnsi"/>
          <w:b/>
        </w:rPr>
        <w:t>1. Informacje ogólne</w:t>
      </w:r>
    </w:p>
    <w:p w:rsidR="00AA7B88" w:rsidRPr="00AA7B88" w:rsidRDefault="00AA7B88" w:rsidP="00AA7B88">
      <w:pPr>
        <w:spacing w:after="0" w:line="240" w:lineRule="auto"/>
        <w:jc w:val="both"/>
        <w:rPr>
          <w:rFonts w:cstheme="minorHAnsi"/>
        </w:rPr>
      </w:pPr>
      <w:r w:rsidRPr="00AA7B88">
        <w:rPr>
          <w:rFonts w:cstheme="minorHAnsi"/>
        </w:rPr>
        <w:t xml:space="preserve">Zgodnie z § 36 uchwały nr 190 Rady Ministrów z dnia 29 października 2013 r. – Regulamin pracy Rady Ministrów (M. P. z 2016 r. poz. 1006, z </w:t>
      </w:r>
      <w:proofErr w:type="spellStart"/>
      <w:r w:rsidRPr="00AA7B88">
        <w:rPr>
          <w:rFonts w:cstheme="minorHAnsi"/>
        </w:rPr>
        <w:t>późn</w:t>
      </w:r>
      <w:proofErr w:type="spellEnd"/>
      <w:r w:rsidRPr="00AA7B88">
        <w:rPr>
          <w:rFonts w:cstheme="minorHAnsi"/>
        </w:rPr>
        <w:t xml:space="preserve">. zm.) projekty ustaw lub projekty rozporządzeń przedstawia się do konsultacji publicznych, w tym konsultacji z organizacjami społecznymi lub innymi zainteresowanymi podmiotami albo instytucjami w celu przedstawienia ich stanowiska. </w:t>
      </w:r>
      <w:r>
        <w:rPr>
          <w:rFonts w:cstheme="minorHAnsi"/>
        </w:rPr>
        <w:br/>
      </w:r>
      <w:r w:rsidRPr="00AA7B88">
        <w:rPr>
          <w:rFonts w:cstheme="minorHAnsi"/>
        </w:rPr>
        <w:t xml:space="preserve">Niniejszy dokument stanowi wypełnienie obowiązku, o którym mowa w § 51 ust. 1 Regulaminu, zgodnie z którym organ wnioskujący sporządza raport z konsultacji obejmujący omówienie wyników przeprowadzonych konsultacji publicznych i opiniowania. </w:t>
      </w:r>
    </w:p>
    <w:p w:rsidR="00037A4F" w:rsidRDefault="00037A4F" w:rsidP="00AA7B88">
      <w:pPr>
        <w:spacing w:after="0"/>
        <w:jc w:val="both"/>
        <w:rPr>
          <w:rFonts w:cstheme="minorHAnsi"/>
        </w:rPr>
      </w:pPr>
      <w:r w:rsidRPr="00AA7B88">
        <w:rPr>
          <w:rFonts w:cstheme="minorHAnsi"/>
        </w:rPr>
        <w:t>Projektowane rozporządzenie zostało udostępnione w Biuletynie Informacji Publicznej na stronie Rządowego Centrum Legislacji w zakładce „Rządowy Proces Legislacyjny”</w:t>
      </w:r>
      <w:r w:rsidR="00243BAD" w:rsidRPr="00AA7B88">
        <w:rPr>
          <w:rFonts w:cstheme="minorHAnsi"/>
        </w:rPr>
        <w:t>,</w:t>
      </w:r>
      <w:r w:rsidRPr="00AA7B88">
        <w:rPr>
          <w:rFonts w:cstheme="minorHAnsi"/>
        </w:rPr>
        <w:t xml:space="preserve"> zgodnie z § 52 ust. 1 </w:t>
      </w:r>
      <w:r w:rsidRPr="00AA7B88">
        <w:rPr>
          <w:rFonts w:cstheme="minorHAnsi"/>
          <w:i/>
        </w:rPr>
        <w:t>uchwały nr 190 uchwały Rady Ministrów z dnia 29 października 2013 r. – Regulamin pracy Rady Ministrów</w:t>
      </w:r>
      <w:r w:rsidR="00AA7B88">
        <w:rPr>
          <w:rFonts w:cstheme="minorHAnsi"/>
        </w:rPr>
        <w:t xml:space="preserve"> </w:t>
      </w:r>
      <w:r w:rsidRPr="00AA7B88">
        <w:rPr>
          <w:rFonts w:cstheme="minorHAnsi"/>
        </w:rPr>
        <w:t xml:space="preserve">oraz stosownie do wymogów art. 5 </w:t>
      </w:r>
      <w:r w:rsidR="00243BAD" w:rsidRPr="00AA7B88">
        <w:rPr>
          <w:rFonts w:cstheme="minorHAnsi"/>
          <w:i/>
        </w:rPr>
        <w:t>ustawy z dnia 7 lipca 2005 r. o </w:t>
      </w:r>
      <w:r w:rsidRPr="00AA7B88">
        <w:rPr>
          <w:rFonts w:cstheme="minorHAnsi"/>
          <w:i/>
        </w:rPr>
        <w:t>działalności lobbingowej w procesie stanowienia prawa</w:t>
      </w:r>
      <w:r w:rsidRPr="00AA7B88">
        <w:rPr>
          <w:rFonts w:cstheme="minorHAnsi"/>
        </w:rPr>
        <w:t xml:space="preserve"> (Dz. U. z 2017 r. poz. 248).</w:t>
      </w:r>
    </w:p>
    <w:p w:rsidR="00AA7B88" w:rsidRPr="00AA7B88" w:rsidRDefault="00AA7B88" w:rsidP="00AA7B88">
      <w:pPr>
        <w:spacing w:after="0"/>
        <w:jc w:val="both"/>
        <w:rPr>
          <w:rFonts w:cstheme="minorHAnsi"/>
        </w:rPr>
      </w:pPr>
    </w:p>
    <w:p w:rsidR="00AA7B88" w:rsidRPr="00AA7B88" w:rsidRDefault="00AA7B88" w:rsidP="00AA7B88">
      <w:pPr>
        <w:spacing w:after="0" w:line="240" w:lineRule="auto"/>
        <w:jc w:val="both"/>
        <w:rPr>
          <w:rFonts w:cstheme="minorHAnsi"/>
          <w:b/>
        </w:rPr>
      </w:pPr>
      <w:r w:rsidRPr="00AA7B88">
        <w:rPr>
          <w:rFonts w:cstheme="minorHAnsi"/>
          <w:b/>
        </w:rPr>
        <w:t>2. Przebieg konsultacji</w:t>
      </w:r>
    </w:p>
    <w:p w:rsidR="00BB32E6" w:rsidRDefault="00037A4F" w:rsidP="00AA7B88">
      <w:pPr>
        <w:spacing w:after="0"/>
        <w:jc w:val="both"/>
        <w:rPr>
          <w:rFonts w:cstheme="minorHAnsi"/>
        </w:rPr>
      </w:pPr>
      <w:r w:rsidRPr="00AA7B88">
        <w:rPr>
          <w:rFonts w:cstheme="minorHAnsi"/>
        </w:rPr>
        <w:t xml:space="preserve">Projekt został przekazany do zaopiniowania przez Komisję Wspólną Rządu i Samorządu Terytorialnego, Prezesa Urzędu Ochrony Danych Osobowych, Prezesa Polskiego Komitetu Normalizacyjnego, Rzecznika Praw Obywatelskich oraz wojewodów. </w:t>
      </w:r>
    </w:p>
    <w:p w:rsidR="00AA7B88" w:rsidRPr="00AA7B88" w:rsidRDefault="00AA7B88" w:rsidP="00AA7B88">
      <w:pPr>
        <w:spacing w:after="0"/>
        <w:jc w:val="both"/>
        <w:rPr>
          <w:rFonts w:cstheme="minorHAnsi"/>
        </w:rPr>
      </w:pPr>
    </w:p>
    <w:p w:rsidR="00494F37" w:rsidRPr="00AA7B88" w:rsidRDefault="00037A4F" w:rsidP="00AA7B88">
      <w:pPr>
        <w:spacing w:after="0"/>
        <w:jc w:val="both"/>
        <w:rPr>
          <w:rFonts w:cstheme="minorHAnsi"/>
        </w:rPr>
      </w:pPr>
      <w:r w:rsidRPr="00AA7B88">
        <w:rPr>
          <w:rFonts w:cstheme="minorHAnsi"/>
        </w:rPr>
        <w:t>Ponadto p</w:t>
      </w:r>
      <w:r w:rsidR="00494F37" w:rsidRPr="00AA7B88">
        <w:rPr>
          <w:rFonts w:cstheme="minorHAnsi"/>
        </w:rPr>
        <w:t>rojekt został skierowany do następujących podmiotów:</w:t>
      </w:r>
    </w:p>
    <w:p w:rsidR="00C657E2" w:rsidRPr="00AA7B88" w:rsidRDefault="00C657E2" w:rsidP="00AA7B88">
      <w:pPr>
        <w:spacing w:after="0"/>
        <w:jc w:val="both"/>
        <w:rPr>
          <w:rFonts w:cstheme="minorHAnsi"/>
        </w:rPr>
      </w:pPr>
      <w:r w:rsidRPr="00AA7B88">
        <w:rPr>
          <w:rFonts w:cstheme="minorHAnsi"/>
        </w:rPr>
        <w:t>1. Polskie Towarzystwo Informatyczne</w:t>
      </w:r>
    </w:p>
    <w:p w:rsidR="00C657E2" w:rsidRPr="00AA7B88" w:rsidRDefault="00C657E2" w:rsidP="00AA7B88">
      <w:pPr>
        <w:spacing w:after="0"/>
        <w:jc w:val="both"/>
        <w:rPr>
          <w:rFonts w:cstheme="minorHAnsi"/>
        </w:rPr>
      </w:pPr>
      <w:r w:rsidRPr="00AA7B88">
        <w:rPr>
          <w:rFonts w:cstheme="minorHAnsi"/>
        </w:rPr>
        <w:t xml:space="preserve">2. Polska Izba Informatyki i Telekomunikacji </w:t>
      </w:r>
    </w:p>
    <w:p w:rsidR="00C657E2" w:rsidRPr="00AA7B88" w:rsidRDefault="00C657E2" w:rsidP="00AA7B88">
      <w:pPr>
        <w:spacing w:after="0"/>
        <w:jc w:val="both"/>
        <w:rPr>
          <w:rFonts w:cstheme="minorHAnsi"/>
        </w:rPr>
      </w:pPr>
      <w:r w:rsidRPr="00AA7B88">
        <w:rPr>
          <w:rFonts w:cstheme="minorHAnsi"/>
        </w:rPr>
        <w:t xml:space="preserve">3. Krajowa Izba Gospodarcza Elektroniki i Telekomunikacji </w:t>
      </w:r>
    </w:p>
    <w:p w:rsidR="00C657E2" w:rsidRPr="00AA7B88" w:rsidRDefault="00C657E2" w:rsidP="00AA7B88">
      <w:pPr>
        <w:spacing w:after="0"/>
        <w:jc w:val="both"/>
        <w:rPr>
          <w:rFonts w:cstheme="minorHAnsi"/>
        </w:rPr>
      </w:pPr>
      <w:r w:rsidRPr="00AA7B88">
        <w:rPr>
          <w:rFonts w:cstheme="minorHAnsi"/>
        </w:rPr>
        <w:t>4. Stowarzyszenie Instytutu Informatyki Śledczej</w:t>
      </w:r>
    </w:p>
    <w:p w:rsidR="00C657E2" w:rsidRPr="00AA7B88" w:rsidRDefault="00C657E2" w:rsidP="00AA7B88">
      <w:pPr>
        <w:spacing w:after="0"/>
        <w:jc w:val="both"/>
        <w:rPr>
          <w:rFonts w:cstheme="minorHAnsi"/>
        </w:rPr>
      </w:pPr>
      <w:r w:rsidRPr="00AA7B88">
        <w:rPr>
          <w:rFonts w:cstheme="minorHAnsi"/>
        </w:rPr>
        <w:t>5. Polska Izba Komunikacji Elektronicznej</w:t>
      </w:r>
    </w:p>
    <w:p w:rsidR="00C657E2" w:rsidRPr="00AA7B88" w:rsidRDefault="00C657E2" w:rsidP="00AA7B88">
      <w:pPr>
        <w:spacing w:after="0"/>
        <w:jc w:val="both"/>
        <w:rPr>
          <w:rFonts w:cstheme="minorHAnsi"/>
        </w:rPr>
      </w:pPr>
      <w:r w:rsidRPr="00AA7B88">
        <w:rPr>
          <w:rFonts w:cstheme="minorHAnsi"/>
        </w:rPr>
        <w:t xml:space="preserve">6. Rada Główna Instytutów Badawczych </w:t>
      </w:r>
    </w:p>
    <w:p w:rsidR="00C657E2" w:rsidRPr="00AA7B88" w:rsidRDefault="00C657E2" w:rsidP="00AA7B88">
      <w:pPr>
        <w:spacing w:after="0"/>
        <w:jc w:val="both"/>
        <w:rPr>
          <w:rFonts w:cstheme="minorHAnsi"/>
        </w:rPr>
      </w:pPr>
      <w:r w:rsidRPr="00AA7B88">
        <w:rPr>
          <w:rFonts w:cstheme="minorHAnsi"/>
        </w:rPr>
        <w:t>7. Związek Banków Polskich</w:t>
      </w:r>
    </w:p>
    <w:p w:rsidR="00C657E2" w:rsidRPr="00AA7B88" w:rsidRDefault="00C657E2" w:rsidP="00AA7B88">
      <w:pPr>
        <w:spacing w:after="0"/>
        <w:jc w:val="both"/>
        <w:rPr>
          <w:rFonts w:cstheme="minorHAnsi"/>
        </w:rPr>
      </w:pPr>
      <w:r w:rsidRPr="00AA7B88">
        <w:rPr>
          <w:rFonts w:cstheme="minorHAnsi"/>
        </w:rPr>
        <w:t>8. Izba Gospodarki Elektronicznej</w:t>
      </w:r>
    </w:p>
    <w:p w:rsidR="00C657E2" w:rsidRPr="00AA7B88" w:rsidRDefault="00C657E2" w:rsidP="00AA7B88">
      <w:pPr>
        <w:spacing w:after="0"/>
        <w:jc w:val="both"/>
        <w:rPr>
          <w:rFonts w:cstheme="minorHAnsi"/>
        </w:rPr>
      </w:pPr>
      <w:r w:rsidRPr="00AA7B88">
        <w:rPr>
          <w:rFonts w:cstheme="minorHAnsi"/>
        </w:rPr>
        <w:t>9. Polska Izba Informatyki Medycznej</w:t>
      </w:r>
    </w:p>
    <w:p w:rsidR="00C657E2" w:rsidRPr="00AA7B88" w:rsidRDefault="00C657E2" w:rsidP="00AA7B88">
      <w:pPr>
        <w:spacing w:after="0"/>
        <w:jc w:val="both"/>
        <w:rPr>
          <w:rFonts w:cstheme="minorHAnsi"/>
        </w:rPr>
      </w:pPr>
      <w:r w:rsidRPr="00AA7B88">
        <w:rPr>
          <w:rFonts w:cstheme="minorHAnsi"/>
        </w:rPr>
        <w:t>10. Ogólnopolskie Porozumienie Organizacji Samorządowych</w:t>
      </w:r>
    </w:p>
    <w:p w:rsidR="00C657E2" w:rsidRPr="00AA7B88" w:rsidRDefault="00C657E2" w:rsidP="00AA7B88">
      <w:pPr>
        <w:spacing w:after="0"/>
        <w:jc w:val="both"/>
        <w:rPr>
          <w:rFonts w:cstheme="minorHAnsi"/>
        </w:rPr>
      </w:pPr>
      <w:r w:rsidRPr="00AA7B88">
        <w:rPr>
          <w:rFonts w:cstheme="minorHAnsi"/>
        </w:rPr>
        <w:t>11. Konfederacja Lewiatan</w:t>
      </w:r>
    </w:p>
    <w:p w:rsidR="00C657E2" w:rsidRPr="00AA7B88" w:rsidRDefault="00C657E2" w:rsidP="00AA7B88">
      <w:pPr>
        <w:spacing w:after="0"/>
        <w:jc w:val="both"/>
        <w:rPr>
          <w:rFonts w:cstheme="minorHAnsi"/>
        </w:rPr>
      </w:pPr>
      <w:r w:rsidRPr="00AA7B88">
        <w:rPr>
          <w:rFonts w:cstheme="minorHAnsi"/>
        </w:rPr>
        <w:t>12. Fundacja Panoptykon</w:t>
      </w:r>
    </w:p>
    <w:p w:rsidR="00C657E2" w:rsidRPr="00AA7B88" w:rsidRDefault="00C657E2" w:rsidP="00AA7B88">
      <w:pPr>
        <w:spacing w:after="0"/>
        <w:jc w:val="both"/>
        <w:rPr>
          <w:rFonts w:cstheme="minorHAnsi"/>
        </w:rPr>
      </w:pPr>
      <w:r w:rsidRPr="00AA7B88">
        <w:rPr>
          <w:rFonts w:cstheme="minorHAnsi"/>
        </w:rPr>
        <w:t>13. Fundacja e-Państwo.</w:t>
      </w:r>
    </w:p>
    <w:p w:rsidR="00AA7B88" w:rsidRPr="00AA7B88" w:rsidRDefault="00AA7B88" w:rsidP="00AA7B88">
      <w:pPr>
        <w:spacing w:after="0"/>
        <w:jc w:val="both"/>
        <w:rPr>
          <w:rFonts w:cstheme="minorHAnsi"/>
        </w:rPr>
      </w:pPr>
    </w:p>
    <w:p w:rsidR="00AA7B88" w:rsidRDefault="00AA7B88" w:rsidP="00AA7B88">
      <w:pPr>
        <w:spacing w:after="0" w:line="240" w:lineRule="auto"/>
        <w:jc w:val="both"/>
        <w:rPr>
          <w:rFonts w:cstheme="minorHAnsi"/>
          <w:b/>
        </w:rPr>
      </w:pPr>
      <w:r w:rsidRPr="00AA7B88">
        <w:rPr>
          <w:rFonts w:cstheme="minorHAnsi"/>
          <w:b/>
        </w:rPr>
        <w:t>3. Omówienie wyników przeprowadzonych konsultacji publicznych i opiniowania</w:t>
      </w:r>
    </w:p>
    <w:p w:rsidR="00AA7B88" w:rsidRDefault="00AA7B88" w:rsidP="00AA7B88">
      <w:pPr>
        <w:spacing w:after="0"/>
        <w:jc w:val="both"/>
        <w:rPr>
          <w:rFonts w:cstheme="minorHAnsi"/>
        </w:rPr>
      </w:pPr>
      <w:r w:rsidRPr="00AA7B88">
        <w:rPr>
          <w:rFonts w:cstheme="minorHAnsi"/>
        </w:rPr>
        <w:t>Komisja Wspólna Rządu i Samorządu Terytorialnego w dniu 31 marca 2021 r. pozytywnie zaopiniowała projekt.</w:t>
      </w:r>
    </w:p>
    <w:p w:rsidR="00AA7B88" w:rsidRPr="00AA7B88" w:rsidRDefault="00AA7B88" w:rsidP="00AA7B88">
      <w:pPr>
        <w:spacing w:after="0" w:line="240" w:lineRule="auto"/>
        <w:jc w:val="both"/>
        <w:rPr>
          <w:rFonts w:cstheme="minorHAnsi"/>
          <w:b/>
        </w:rPr>
      </w:pPr>
    </w:p>
    <w:p w:rsidR="00BB32E6" w:rsidRPr="00AA7B88" w:rsidRDefault="00BB32E6" w:rsidP="00AA7B88">
      <w:pPr>
        <w:spacing w:after="0"/>
        <w:jc w:val="both"/>
        <w:rPr>
          <w:rFonts w:cstheme="minorHAnsi"/>
        </w:rPr>
      </w:pPr>
      <w:r w:rsidRPr="00AA7B88">
        <w:rPr>
          <w:rFonts w:cstheme="minorHAnsi"/>
        </w:rPr>
        <w:t xml:space="preserve">Uwagi do projektu zgłosił Wojewoda Dolnośląski oraz </w:t>
      </w:r>
      <w:r w:rsidRPr="00AA7B88">
        <w:rPr>
          <w:rFonts w:cstheme="minorHAnsi"/>
          <w:bCs/>
        </w:rPr>
        <w:t>Polska Izba Komunikacji Elektronicznej (PIKE)</w:t>
      </w:r>
      <w:r w:rsidRPr="00AA7B88">
        <w:rPr>
          <w:rFonts w:cstheme="minorHAnsi"/>
        </w:rPr>
        <w:t>.</w:t>
      </w:r>
    </w:p>
    <w:p w:rsidR="00BB32E6" w:rsidRPr="00AA7B88" w:rsidRDefault="00BB32E6" w:rsidP="00AA7B88">
      <w:pPr>
        <w:spacing w:after="0"/>
        <w:jc w:val="both"/>
        <w:rPr>
          <w:rFonts w:cstheme="minorHAnsi"/>
          <w:bCs/>
        </w:rPr>
      </w:pPr>
      <w:r w:rsidRPr="00AA7B88">
        <w:rPr>
          <w:rFonts w:cstheme="minorHAnsi"/>
          <w:bCs/>
          <w:u w:val="single"/>
        </w:rPr>
        <w:t>Uwaga Wojewody Dolnośląskiego</w:t>
      </w:r>
      <w:r w:rsidRPr="00AA7B88">
        <w:rPr>
          <w:rFonts w:cstheme="minorHAnsi"/>
          <w:bCs/>
        </w:rPr>
        <w:t xml:space="preserve"> wskazująca na potrzebę doprecyzowania określenia „opiekun” przez dodanie, że chodzi o pojęcie opiekuna, którym posługują się Kodeks</w:t>
      </w:r>
      <w:r w:rsidR="00C657E2" w:rsidRPr="00AA7B88">
        <w:rPr>
          <w:rFonts w:cstheme="minorHAnsi"/>
          <w:bCs/>
        </w:rPr>
        <w:t xml:space="preserve"> cywilny oraz Kodeks rodzinny i </w:t>
      </w:r>
      <w:r w:rsidRPr="00AA7B88">
        <w:rPr>
          <w:rFonts w:cstheme="minorHAnsi"/>
          <w:bCs/>
        </w:rPr>
        <w:t xml:space="preserve">opiekuńczy nie jest zasadna. W uzasadnieniu </w:t>
      </w:r>
      <w:r w:rsidRPr="00AA7B88">
        <w:rPr>
          <w:rFonts w:cstheme="minorHAnsi"/>
          <w:bCs/>
          <w:i/>
        </w:rPr>
        <w:t>projektu ustawy o zmianie ustawy o dowodach osobistych oraz niektórych innych ustaw</w:t>
      </w:r>
      <w:r w:rsidRPr="00AA7B88">
        <w:rPr>
          <w:rFonts w:cstheme="minorHAnsi"/>
          <w:bCs/>
        </w:rPr>
        <w:t xml:space="preserve"> i projektu przedmiotowego rozporządzenia wskazano bowiem, że w projektowanych przepisach dostosowano terminologię do instytucji prawnych Kodeksu </w:t>
      </w:r>
      <w:r w:rsidRPr="00AA7B88">
        <w:rPr>
          <w:rFonts w:cstheme="minorHAnsi"/>
          <w:bCs/>
        </w:rPr>
        <w:lastRenderedPageBreak/>
        <w:t>cywilnego oraz Kodeksu rodzinnego i opiekuńczego, gdzie nie występuje pojęcie „</w:t>
      </w:r>
      <w:r w:rsidRPr="00AA7B88">
        <w:rPr>
          <w:rFonts w:cstheme="minorHAnsi"/>
          <w:bCs/>
          <w:i/>
          <w:iCs/>
        </w:rPr>
        <w:t>opiekun prawny</w:t>
      </w:r>
      <w:r w:rsidRPr="00AA7B88">
        <w:rPr>
          <w:rFonts w:cstheme="minorHAnsi"/>
          <w:bCs/>
        </w:rPr>
        <w:t>”, lecz „</w:t>
      </w:r>
      <w:r w:rsidRPr="00AA7B88">
        <w:rPr>
          <w:rFonts w:cstheme="minorHAnsi"/>
          <w:bCs/>
          <w:i/>
          <w:iCs/>
        </w:rPr>
        <w:t>opiekun</w:t>
      </w:r>
      <w:r w:rsidRPr="00AA7B88">
        <w:rPr>
          <w:rFonts w:cstheme="minorHAnsi"/>
          <w:bCs/>
        </w:rPr>
        <w:t xml:space="preserve">”. Tak więc przepisy w tym zakresie nie powinny budzić wątpliwości interpretacyjnych.      </w:t>
      </w:r>
    </w:p>
    <w:p w:rsidR="00C657E2" w:rsidRPr="00AA7B88" w:rsidRDefault="00037A4F" w:rsidP="00AA7B88">
      <w:pPr>
        <w:spacing w:after="0"/>
        <w:jc w:val="both"/>
        <w:rPr>
          <w:rFonts w:cstheme="minorHAnsi"/>
        </w:rPr>
      </w:pPr>
      <w:r w:rsidRPr="00AA7B88">
        <w:rPr>
          <w:rFonts w:cstheme="minorHAnsi"/>
          <w:u w:val="single"/>
        </w:rPr>
        <w:t>Uwaga PIKE</w:t>
      </w:r>
      <w:r w:rsidRPr="00AA7B88">
        <w:rPr>
          <w:rFonts w:cstheme="minorHAnsi"/>
        </w:rPr>
        <w:t xml:space="preserve"> dotyczyła zmiany przepisu określającego długość kodów, który w projektowanej wersji wskazuje jedynie na ich minimalną długość co w ocenie PKI może budzić wątpliwość. Brak maksymalnej liczby cyfr może potencjalnie utrudniać obsługę nadmiernie długiego kodu. </w:t>
      </w:r>
    </w:p>
    <w:p w:rsidR="00541B89" w:rsidRPr="00AA7B88" w:rsidRDefault="00541B89" w:rsidP="00AA7B88">
      <w:pPr>
        <w:spacing w:after="0"/>
        <w:jc w:val="both"/>
        <w:rPr>
          <w:rFonts w:cstheme="minorHAnsi"/>
        </w:rPr>
      </w:pPr>
      <w:r w:rsidRPr="00AA7B88">
        <w:rPr>
          <w:rFonts w:cstheme="minorHAnsi"/>
        </w:rPr>
        <w:t>Uwaga nie jest zasadna, dowód osobisty może być wyposażony w komponenty pochodzące od różnych dostawców, które łącznie spełniają nałożone wymagania funkcjona</w:t>
      </w:r>
      <w:r w:rsidR="00C657E2" w:rsidRPr="00AA7B88">
        <w:rPr>
          <w:rFonts w:cstheme="minorHAnsi"/>
        </w:rPr>
        <w:t>lne i bezpieczeństwa. Zgodnie z </w:t>
      </w:r>
      <w:r w:rsidRPr="00AA7B88">
        <w:rPr>
          <w:rFonts w:cstheme="minorHAnsi"/>
        </w:rPr>
        <w:t xml:space="preserve">uzasadnieniem załączonym do ww. projektu rozporządzenia, należy wskazać że w przypadku zastosowania różnych platform sprzętowych, na których oparty jest nowy dowód osobisty z warstwą elektroniczną, wprowadzenie takiego ograniczenia (długości kodów) na poziomie np. warstwy sprzętowej może być trudne lub niemożliwe do zrealizowania, ponieważ każdy z dostawców może posiadać (a w przypadku konkretnych rozwiązań posiada) wiążące, ale jednak różne wartości maksymalne długości kodów </w:t>
      </w:r>
      <w:r w:rsidR="00C657E2" w:rsidRPr="00AA7B88">
        <w:rPr>
          <w:rFonts w:cstheme="minorHAnsi"/>
        </w:rPr>
        <w:t>PIN</w:t>
      </w:r>
      <w:r w:rsidRPr="00AA7B88">
        <w:rPr>
          <w:rFonts w:cstheme="minorHAnsi"/>
        </w:rPr>
        <w:t xml:space="preserve">. Nie oznacza to jednak możliwości wprowadzenia przez użytkownika dowolnie długich kodów, ponieważ ich długość (możliwa do zastosowania przez użytkownika) została ograniczona od strony logicznej na poziomie interfejsu karty i aplikacji umożliwiającej wprowadzenie kodów. </w:t>
      </w:r>
    </w:p>
    <w:p w:rsidR="00C657E2" w:rsidRPr="00AA7B88" w:rsidRDefault="00037A4F" w:rsidP="00AA7B88">
      <w:pPr>
        <w:spacing w:after="0"/>
        <w:jc w:val="both"/>
        <w:rPr>
          <w:rFonts w:cstheme="minorHAnsi"/>
        </w:rPr>
      </w:pPr>
      <w:r w:rsidRPr="00AA7B88">
        <w:rPr>
          <w:rFonts w:cstheme="minorHAnsi"/>
          <w:u w:val="single"/>
        </w:rPr>
        <w:t>Druga uwaga PIKE</w:t>
      </w:r>
      <w:r w:rsidRPr="00AA7B88">
        <w:rPr>
          <w:rFonts w:cstheme="minorHAnsi"/>
        </w:rPr>
        <w:t xml:space="preserve"> dotyczyła zmiany załącznika w pkt umożliwiającym zamienne stosowanie rozwiązań dotyczących wymagań bezpieczeństwa warstwy elektronicznej dowodu osobistego</w:t>
      </w:r>
      <w:r w:rsidR="00541B89" w:rsidRPr="00AA7B88">
        <w:rPr>
          <w:rFonts w:cstheme="minorHAnsi"/>
        </w:rPr>
        <w:t xml:space="preserve">. Zdaniem PIKE może to wywoływać </w:t>
      </w:r>
      <w:r w:rsidRPr="00AA7B88">
        <w:rPr>
          <w:rFonts w:cstheme="minorHAnsi"/>
        </w:rPr>
        <w:t xml:space="preserve">uzasadnioną obawę co do spełnienia wymagań bezpieczeństwa i poziomu zaufania. </w:t>
      </w:r>
    </w:p>
    <w:p w:rsidR="00541B89" w:rsidRDefault="00541B89" w:rsidP="00AA7B88">
      <w:pPr>
        <w:spacing w:after="0"/>
        <w:jc w:val="both"/>
        <w:rPr>
          <w:rFonts w:cstheme="minorHAnsi"/>
          <w:bCs/>
          <w:i/>
          <w:iCs/>
        </w:rPr>
      </w:pPr>
      <w:r w:rsidRPr="00AA7B88">
        <w:rPr>
          <w:rFonts w:cstheme="minorHAnsi"/>
        </w:rPr>
        <w:t>Przedmiotowa uwaga również nie jest zasadna. Warstwa elektroniczna dowodu osobistego składa się z kilku komponentów (w tym sprzętowego i programowego), które łącznie pozwalają na dostarczenie oczekiwanej funkcjonalności. Dowód osobisty może być wyposażony w komponenty pochodzące od różnych dostawców, które łącznie spełniają nałożone wymagania f</w:t>
      </w:r>
      <w:r w:rsidR="00C657E2" w:rsidRPr="00AA7B88">
        <w:rPr>
          <w:rFonts w:cstheme="minorHAnsi"/>
        </w:rPr>
        <w:t>unkcjonalne i bezpieczeństwa. W </w:t>
      </w:r>
      <w:r w:rsidRPr="00AA7B88">
        <w:rPr>
          <w:rFonts w:cstheme="minorHAnsi"/>
        </w:rPr>
        <w:t>szczególności komponenty programowe mogą również zawierać różnice wynikające z zastosowania różnych technologii. Uzyskanie tych samych poziomów bezpieczeństwa i funkcjonalności jest możliwe zarówno w przypadku rozwiązań wykorzystujących system Java Card</w:t>
      </w:r>
      <w:r w:rsidR="00C657E2" w:rsidRPr="00AA7B88">
        <w:rPr>
          <w:rFonts w:cstheme="minorHAnsi"/>
        </w:rPr>
        <w:t>, jak również aplikacji (tzw. </w:t>
      </w:r>
      <w:r w:rsidRPr="00AA7B88">
        <w:rPr>
          <w:rFonts w:cstheme="minorHAnsi"/>
        </w:rPr>
        <w:t>aplikacji natywnych) nie wykorzystujących tego systemu. Aplikacje takie muszą spełnić dokładnie takie same wymagania bezpieczeństwa podczas swojej certyfikacji, c</w:t>
      </w:r>
      <w:r w:rsidR="00C657E2" w:rsidRPr="00AA7B88">
        <w:rPr>
          <w:rFonts w:cstheme="minorHAnsi"/>
        </w:rPr>
        <w:t>o eliminuje potencjalną obawę o </w:t>
      </w:r>
      <w:r w:rsidRPr="00AA7B88">
        <w:rPr>
          <w:rFonts w:cstheme="minorHAnsi"/>
        </w:rPr>
        <w:t xml:space="preserve">niższy poziom zabezpieczeń. Odmienna jest jedynie technologia, w jakiej zostały napisane. Należy ponadto podkreślić, że specyfikacja techniczna rozporządzenia winna być neutralna technologicznie umożliwiając wykorzystanie różnych produktów spełniających zdefiniowane wymagania funkcjonalne i bezpieczeństwa. </w:t>
      </w:r>
      <w:r w:rsidRPr="00AA7B88">
        <w:rPr>
          <w:rFonts w:cstheme="minorHAnsi"/>
          <w:bCs/>
          <w:i/>
          <w:iCs/>
        </w:rPr>
        <w:t xml:space="preserve">       </w:t>
      </w:r>
    </w:p>
    <w:p w:rsidR="00AA7B88" w:rsidRPr="00AA7B88" w:rsidRDefault="00AA7B88" w:rsidP="00AA7B88">
      <w:pPr>
        <w:spacing w:after="0"/>
        <w:jc w:val="both"/>
        <w:rPr>
          <w:rFonts w:cstheme="minorHAnsi"/>
          <w:bCs/>
          <w:i/>
          <w:iCs/>
        </w:rPr>
      </w:pPr>
    </w:p>
    <w:p w:rsidR="00AA7B88" w:rsidRPr="00AA7B88" w:rsidRDefault="00541B89" w:rsidP="00AA7B88">
      <w:pPr>
        <w:spacing w:after="0" w:line="240" w:lineRule="auto"/>
        <w:jc w:val="both"/>
        <w:rPr>
          <w:rFonts w:cstheme="minorHAnsi"/>
          <w:b/>
        </w:rPr>
      </w:pPr>
      <w:r w:rsidRPr="00AA7B88">
        <w:rPr>
          <w:rFonts w:cstheme="minorHAnsi"/>
          <w:b/>
          <w:bCs/>
        </w:rPr>
        <w:t> </w:t>
      </w:r>
      <w:r w:rsidR="00AA7B88" w:rsidRPr="00AA7B88">
        <w:rPr>
          <w:rFonts w:cstheme="minorHAnsi"/>
          <w:b/>
        </w:rPr>
        <w:t xml:space="preserve">4. Przedstawienie wyników zasięgnięcia opinii, dokonania konsultacji albo uzgodnienia projektu </w:t>
      </w:r>
      <w:r w:rsidR="00AA7B88">
        <w:rPr>
          <w:rFonts w:cstheme="minorHAnsi"/>
          <w:b/>
        </w:rPr>
        <w:br/>
      </w:r>
      <w:r w:rsidR="00AA7B88" w:rsidRPr="00AA7B88">
        <w:rPr>
          <w:rFonts w:cstheme="minorHAnsi"/>
          <w:b/>
        </w:rPr>
        <w:t>z właściwymi organami i instytucjami Unii Europejskiej, w tym Europejskim Bankiem Centralnym</w:t>
      </w:r>
    </w:p>
    <w:p w:rsidR="00AA7B88" w:rsidRDefault="00AA7B88" w:rsidP="00AA7B88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AA7B88">
        <w:rPr>
          <w:rFonts w:eastAsia="Times New Roman" w:cstheme="minorHAnsi"/>
          <w:lang w:eastAsia="pl-PL"/>
        </w:rPr>
        <w:t xml:space="preserve">Projekt rozporządzenia nie wymaga przedłożenia właściwym instytucjom i organom Unii Europejskiej, w tym Europejskiemu Bankowi Centralnemu, w celu uzyskania opinii, dokonania </w:t>
      </w:r>
      <w:r w:rsidRPr="00AA7B88">
        <w:rPr>
          <w:rFonts w:cstheme="minorHAnsi"/>
        </w:rPr>
        <w:t xml:space="preserve">powiadomienia, </w:t>
      </w:r>
      <w:r w:rsidRPr="00AA7B88">
        <w:rPr>
          <w:rFonts w:eastAsia="Times New Roman" w:cstheme="minorHAnsi"/>
          <w:lang w:eastAsia="pl-PL"/>
        </w:rPr>
        <w:t>konsultacji albo uzgodnienia.</w:t>
      </w:r>
    </w:p>
    <w:p w:rsidR="00AA7B88" w:rsidRDefault="00AA7B88" w:rsidP="00AA7B88">
      <w:pPr>
        <w:pStyle w:val="USTustnpkodeksu"/>
        <w:spacing w:line="240" w:lineRule="auto"/>
        <w:ind w:firstLine="0"/>
        <w:rPr>
          <w:rFonts w:asciiTheme="minorHAnsi" w:hAnsiTheme="minorHAnsi" w:cstheme="minorHAnsi"/>
          <w:sz w:val="22"/>
          <w:szCs w:val="22"/>
        </w:rPr>
      </w:pPr>
      <w:r w:rsidRPr="00AA7B88">
        <w:rPr>
          <w:rFonts w:asciiTheme="minorHAnsi" w:hAnsiTheme="minorHAnsi" w:cstheme="minorHAnsi"/>
          <w:sz w:val="22"/>
          <w:szCs w:val="22"/>
        </w:rPr>
        <w:t xml:space="preserve">Projektowana regulacja zawiera przepisy techniczne w rozumieniu </w:t>
      </w:r>
      <w:r w:rsidRPr="00AA7B88">
        <w:rPr>
          <w:rFonts w:asciiTheme="minorHAnsi" w:hAnsiTheme="minorHAnsi" w:cstheme="minorHAnsi"/>
          <w:i/>
          <w:sz w:val="22"/>
          <w:szCs w:val="22"/>
        </w:rPr>
        <w:t xml:space="preserve">rozporządzenia Rady Ministrów </w:t>
      </w:r>
      <w:r>
        <w:rPr>
          <w:rFonts w:asciiTheme="minorHAnsi" w:hAnsiTheme="minorHAnsi" w:cstheme="minorHAnsi"/>
          <w:i/>
          <w:sz w:val="22"/>
          <w:szCs w:val="22"/>
        </w:rPr>
        <w:br/>
      </w:r>
      <w:r w:rsidRPr="00AA7B88">
        <w:rPr>
          <w:rFonts w:asciiTheme="minorHAnsi" w:hAnsiTheme="minorHAnsi" w:cstheme="minorHAnsi"/>
          <w:i/>
          <w:sz w:val="22"/>
          <w:szCs w:val="22"/>
        </w:rPr>
        <w:t xml:space="preserve">z dnia 23 grudnia 2002 roku w sprawie sposobu funkcjonowania krajowego systemu notyfikacji norm </w:t>
      </w:r>
      <w:r>
        <w:rPr>
          <w:rFonts w:asciiTheme="minorHAnsi" w:hAnsiTheme="minorHAnsi" w:cstheme="minorHAnsi"/>
          <w:i/>
          <w:sz w:val="22"/>
          <w:szCs w:val="22"/>
        </w:rPr>
        <w:br/>
      </w:r>
      <w:r w:rsidRPr="00AA7B88">
        <w:rPr>
          <w:rFonts w:asciiTheme="minorHAnsi" w:hAnsiTheme="minorHAnsi" w:cstheme="minorHAnsi"/>
          <w:i/>
          <w:sz w:val="22"/>
          <w:szCs w:val="22"/>
        </w:rPr>
        <w:t>i aktów prawnych</w:t>
      </w:r>
      <w:r w:rsidRPr="00AA7B88">
        <w:rPr>
          <w:rFonts w:asciiTheme="minorHAnsi" w:hAnsiTheme="minorHAnsi" w:cstheme="minorHAnsi"/>
          <w:sz w:val="22"/>
          <w:szCs w:val="22"/>
        </w:rPr>
        <w:t xml:space="preserve"> (Dz. U. poz. 2039 oraz z2004 r. poz. 579), zatem podlega notyfikacji zgodnie </w:t>
      </w:r>
      <w:r>
        <w:rPr>
          <w:rFonts w:asciiTheme="minorHAnsi" w:hAnsiTheme="minorHAnsi" w:cstheme="minorHAnsi"/>
          <w:sz w:val="22"/>
          <w:szCs w:val="22"/>
        </w:rPr>
        <w:br/>
      </w:r>
      <w:r w:rsidRPr="00AA7B88">
        <w:rPr>
          <w:rFonts w:asciiTheme="minorHAnsi" w:hAnsiTheme="minorHAnsi" w:cstheme="minorHAnsi"/>
          <w:sz w:val="22"/>
          <w:szCs w:val="22"/>
        </w:rPr>
        <w:t>z powołanym rozporządzeniem.</w:t>
      </w:r>
    </w:p>
    <w:p w:rsidR="00AA7B88" w:rsidRPr="00AA7B88" w:rsidRDefault="00AA7B88" w:rsidP="00AA7B88">
      <w:pPr>
        <w:pStyle w:val="USTustnpkodeksu"/>
        <w:spacing w:line="276" w:lineRule="auto"/>
        <w:ind w:firstLine="0"/>
        <w:rPr>
          <w:rFonts w:asciiTheme="minorHAnsi" w:hAnsiTheme="minorHAnsi" w:cstheme="minorHAnsi"/>
          <w:sz w:val="22"/>
          <w:szCs w:val="22"/>
        </w:rPr>
      </w:pPr>
    </w:p>
    <w:p w:rsidR="00AA7B88" w:rsidRPr="00AA7B88" w:rsidRDefault="00AA7B88" w:rsidP="00AA7B88">
      <w:pPr>
        <w:spacing w:after="0" w:line="240" w:lineRule="auto"/>
        <w:jc w:val="both"/>
        <w:rPr>
          <w:rFonts w:cstheme="minorHAnsi"/>
          <w:b/>
        </w:rPr>
      </w:pPr>
      <w:r w:rsidRPr="00AA7B88">
        <w:rPr>
          <w:rFonts w:cstheme="minorHAnsi"/>
          <w:b/>
        </w:rPr>
        <w:t xml:space="preserve">5. Wskazanie podmiotów, które zgłosiły zainteresowanie pracami nad projektem w trybie przepisów o działalności lobbingowej w procesie stanowienia prawa, wraz ze wskazaniem kolejności dokonania zgłoszeń albo informację o ich braku </w:t>
      </w:r>
    </w:p>
    <w:p w:rsidR="00037A4F" w:rsidRPr="00AA7B88" w:rsidRDefault="00AA7B88" w:rsidP="00AA7B88">
      <w:pPr>
        <w:spacing w:after="0" w:line="240" w:lineRule="auto"/>
        <w:jc w:val="both"/>
        <w:rPr>
          <w:rFonts w:cstheme="minorHAnsi"/>
        </w:rPr>
      </w:pPr>
      <w:r w:rsidRPr="00AA7B88">
        <w:rPr>
          <w:rFonts w:cstheme="minorHAnsi"/>
        </w:rPr>
        <w:t>Nie odnotowano zgłoszeń zainteresowanych podmiotów w trybie przepisów o działalności lobbingow</w:t>
      </w:r>
      <w:r>
        <w:rPr>
          <w:rFonts w:cstheme="minorHAnsi"/>
        </w:rPr>
        <w:t>ej w procesie stanowienia prawa</w:t>
      </w:r>
      <w:bookmarkStart w:id="0" w:name="_GoBack"/>
      <w:bookmarkEnd w:id="0"/>
    </w:p>
    <w:sectPr w:rsidR="00037A4F" w:rsidRPr="00AA7B8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4A97" w:rsidRDefault="00D94A97" w:rsidP="0013089B">
      <w:pPr>
        <w:spacing w:after="0" w:line="240" w:lineRule="auto"/>
      </w:pPr>
      <w:r>
        <w:separator/>
      </w:r>
    </w:p>
  </w:endnote>
  <w:endnote w:type="continuationSeparator" w:id="0">
    <w:p w:rsidR="00D94A97" w:rsidRDefault="00D94A97" w:rsidP="00130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76887305"/>
      <w:docPartObj>
        <w:docPartGallery w:val="Page Numbers (Bottom of Page)"/>
        <w:docPartUnique/>
      </w:docPartObj>
    </w:sdtPr>
    <w:sdtEndPr/>
    <w:sdtContent>
      <w:p w:rsidR="0013089B" w:rsidRDefault="0013089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7B88">
          <w:rPr>
            <w:noProof/>
          </w:rPr>
          <w:t>2</w:t>
        </w:r>
        <w:r>
          <w:fldChar w:fldCharType="end"/>
        </w:r>
      </w:p>
    </w:sdtContent>
  </w:sdt>
  <w:p w:rsidR="0013089B" w:rsidRDefault="0013089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4A97" w:rsidRDefault="00D94A97" w:rsidP="0013089B">
      <w:pPr>
        <w:spacing w:after="0" w:line="240" w:lineRule="auto"/>
      </w:pPr>
      <w:r>
        <w:separator/>
      </w:r>
    </w:p>
  </w:footnote>
  <w:footnote w:type="continuationSeparator" w:id="0">
    <w:p w:rsidR="00D94A97" w:rsidRDefault="00D94A97" w:rsidP="001308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A17941"/>
    <w:multiLevelType w:val="hybridMultilevel"/>
    <w:tmpl w:val="EF983B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E62"/>
    <w:rsid w:val="00027E62"/>
    <w:rsid w:val="00037A4F"/>
    <w:rsid w:val="00044728"/>
    <w:rsid w:val="0013089B"/>
    <w:rsid w:val="00221953"/>
    <w:rsid w:val="00243BAD"/>
    <w:rsid w:val="003236FA"/>
    <w:rsid w:val="003A6DFA"/>
    <w:rsid w:val="003B09C8"/>
    <w:rsid w:val="003D68AE"/>
    <w:rsid w:val="00494F37"/>
    <w:rsid w:val="00541B89"/>
    <w:rsid w:val="005861C0"/>
    <w:rsid w:val="005A2935"/>
    <w:rsid w:val="0070376F"/>
    <w:rsid w:val="008E5EA6"/>
    <w:rsid w:val="00977998"/>
    <w:rsid w:val="00AA7B88"/>
    <w:rsid w:val="00BB32E6"/>
    <w:rsid w:val="00C30E2B"/>
    <w:rsid w:val="00C657E2"/>
    <w:rsid w:val="00CC6232"/>
    <w:rsid w:val="00D94A97"/>
    <w:rsid w:val="00ED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78691C-7268-4CD5-8238-4DC058BD7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0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89B"/>
  </w:style>
  <w:style w:type="paragraph" w:styleId="Stopka">
    <w:name w:val="footer"/>
    <w:basedOn w:val="Normalny"/>
    <w:link w:val="StopkaZnak"/>
    <w:uiPriority w:val="99"/>
    <w:unhideWhenUsed/>
    <w:rsid w:val="001308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89B"/>
  </w:style>
  <w:style w:type="paragraph" w:customStyle="1" w:styleId="USTustnpkodeksu">
    <w:name w:val="UST(§) – ust. (§ np. kodeksu)"/>
    <w:basedOn w:val="Normalny"/>
    <w:uiPriority w:val="12"/>
    <w:qFormat/>
    <w:rsid w:val="00AA7B88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7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971</Words>
  <Characters>5830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6788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Hellich Mirosława</dc:creator>
  <cp:keywords/>
  <dc:description/>
  <cp:lastModifiedBy>Departament Prawny </cp:lastModifiedBy>
  <cp:revision>3</cp:revision>
  <dcterms:created xsi:type="dcterms:W3CDTF">2021-04-01T10:32:00Z</dcterms:created>
  <dcterms:modified xsi:type="dcterms:W3CDTF">2021-04-01T11:57:00Z</dcterms:modified>
</cp:coreProperties>
</file>