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FF7BE" w14:textId="77777777" w:rsidR="00B50911" w:rsidRPr="00CC2186" w:rsidRDefault="00E2736D" w:rsidP="00CC2186">
      <w:pPr>
        <w:spacing w:after="0" w:line="240" w:lineRule="auto"/>
        <w:ind w:left="11" w:hanging="11"/>
        <w:jc w:val="center"/>
        <w:rPr>
          <w:rFonts w:ascii="Times New Roman" w:hAnsi="Times New Roman" w:cs="Times New Roman"/>
          <w:b/>
          <w:sz w:val="24"/>
          <w:szCs w:val="24"/>
        </w:rPr>
      </w:pPr>
      <w:bookmarkStart w:id="0" w:name="_GoBack"/>
      <w:bookmarkEnd w:id="0"/>
      <w:r w:rsidRPr="00CC2186">
        <w:rPr>
          <w:rFonts w:ascii="Times New Roman" w:hAnsi="Times New Roman" w:cs="Times New Roman"/>
          <w:b/>
          <w:sz w:val="24"/>
          <w:szCs w:val="24"/>
        </w:rPr>
        <w:t>Raport z konsultacji publicznych i opiniowania</w:t>
      </w:r>
    </w:p>
    <w:p w14:paraId="2D3E4EBF" w14:textId="77777777" w:rsidR="00782FCA" w:rsidRPr="00CC2186" w:rsidRDefault="00E2736D" w:rsidP="00CC2186">
      <w:pPr>
        <w:spacing w:after="0" w:line="240" w:lineRule="auto"/>
        <w:ind w:left="11" w:hanging="11"/>
        <w:jc w:val="center"/>
        <w:rPr>
          <w:rFonts w:ascii="Times New Roman" w:eastAsia="Times New Roman" w:hAnsi="Times New Roman" w:cs="Times New Roman"/>
          <w:b/>
          <w:i/>
          <w:iCs/>
          <w:color w:val="FFFFFF"/>
          <w:sz w:val="24"/>
          <w:szCs w:val="24"/>
        </w:rPr>
      </w:pPr>
      <w:r w:rsidRPr="00CC2186">
        <w:rPr>
          <w:rFonts w:ascii="Times New Roman" w:hAnsi="Times New Roman" w:cs="Times New Roman"/>
          <w:b/>
          <w:i/>
          <w:iCs/>
          <w:sz w:val="24"/>
          <w:szCs w:val="24"/>
        </w:rPr>
        <w:t xml:space="preserve">projektu </w:t>
      </w:r>
      <w:r w:rsidRPr="00CC2186">
        <w:rPr>
          <w:rFonts w:ascii="Times New Roman" w:eastAsia="Times New Roman" w:hAnsi="Times New Roman" w:cs="Times New Roman"/>
          <w:b/>
          <w:i/>
          <w:iCs/>
          <w:color w:val="FFFFFF"/>
          <w:sz w:val="24"/>
          <w:szCs w:val="24"/>
        </w:rPr>
        <w:t> </w:t>
      </w:r>
    </w:p>
    <w:p w14:paraId="43165402" w14:textId="77777777" w:rsidR="00782FCA" w:rsidRPr="00CC2186" w:rsidRDefault="00E2736D" w:rsidP="00CC2186">
      <w:pPr>
        <w:spacing w:after="0" w:line="240" w:lineRule="auto"/>
        <w:ind w:left="11" w:hanging="11"/>
        <w:jc w:val="center"/>
        <w:rPr>
          <w:rFonts w:ascii="Times New Roman" w:eastAsiaTheme="minorHAnsi" w:hAnsi="Times New Roman" w:cs="Times New Roman"/>
          <w:b/>
          <w:i/>
          <w:iCs/>
          <w:color w:val="auto"/>
          <w:sz w:val="24"/>
          <w:szCs w:val="24"/>
          <w:lang w:eastAsia="en-US"/>
        </w:rPr>
      </w:pPr>
      <w:r w:rsidRPr="00CC2186">
        <w:rPr>
          <w:rFonts w:ascii="Times New Roman" w:eastAsiaTheme="minorHAnsi" w:hAnsi="Times New Roman" w:cs="Times New Roman"/>
          <w:b/>
          <w:i/>
          <w:iCs/>
          <w:color w:val="auto"/>
          <w:sz w:val="24"/>
          <w:szCs w:val="24"/>
          <w:lang w:eastAsia="en-US"/>
        </w:rPr>
        <w:t>rozporządzenia</w:t>
      </w:r>
      <w:r w:rsidRPr="00CC2186">
        <w:rPr>
          <w:rFonts w:ascii="Times New Roman" w:hAnsi="Times New Roman" w:cs="Times New Roman"/>
          <w:b/>
          <w:sz w:val="24"/>
          <w:szCs w:val="24"/>
        </w:rPr>
        <w:t xml:space="preserve"> </w:t>
      </w:r>
      <w:r w:rsidRPr="00CC2186">
        <w:rPr>
          <w:rFonts w:ascii="Times New Roman" w:eastAsiaTheme="minorHAnsi" w:hAnsi="Times New Roman" w:cs="Times New Roman"/>
          <w:b/>
          <w:i/>
          <w:iCs/>
          <w:color w:val="auto"/>
          <w:sz w:val="24"/>
          <w:szCs w:val="24"/>
          <w:lang w:eastAsia="en-US"/>
        </w:rPr>
        <w:t xml:space="preserve">Ministra Sprawiedliwości zmieniającego rozporządzenie </w:t>
      </w:r>
      <w:r w:rsidR="00B50911" w:rsidRPr="00CC2186">
        <w:rPr>
          <w:rFonts w:ascii="Times New Roman" w:eastAsiaTheme="minorHAnsi" w:hAnsi="Times New Roman" w:cs="Times New Roman"/>
          <w:b/>
          <w:i/>
          <w:iCs/>
          <w:color w:val="auto"/>
          <w:sz w:val="24"/>
          <w:szCs w:val="24"/>
          <w:lang w:eastAsia="en-US"/>
        </w:rPr>
        <w:br/>
      </w:r>
      <w:r w:rsidRPr="00CC2186">
        <w:rPr>
          <w:rFonts w:ascii="Times New Roman" w:eastAsiaTheme="minorHAnsi" w:hAnsi="Times New Roman" w:cs="Times New Roman"/>
          <w:b/>
          <w:i/>
          <w:iCs/>
          <w:color w:val="auto"/>
          <w:sz w:val="24"/>
          <w:szCs w:val="24"/>
          <w:lang w:eastAsia="en-US"/>
        </w:rPr>
        <w:t>w sprawie trybu i sposobu</w:t>
      </w:r>
      <w:r w:rsidRPr="00CC2186">
        <w:rPr>
          <w:rFonts w:ascii="Times New Roman" w:hAnsi="Times New Roman" w:cs="Times New Roman"/>
          <w:b/>
          <w:sz w:val="24"/>
          <w:szCs w:val="24"/>
        </w:rPr>
        <w:t xml:space="preserve"> </w:t>
      </w:r>
      <w:r w:rsidRPr="00CC2186">
        <w:rPr>
          <w:rFonts w:ascii="Times New Roman" w:eastAsiaTheme="minorHAnsi" w:hAnsi="Times New Roman" w:cs="Times New Roman"/>
          <w:b/>
          <w:i/>
          <w:iCs/>
          <w:color w:val="auto"/>
          <w:sz w:val="24"/>
          <w:szCs w:val="24"/>
          <w:lang w:eastAsia="en-US"/>
        </w:rPr>
        <w:t xml:space="preserve">dokonywania doręczeń elektronicznych </w:t>
      </w:r>
    </w:p>
    <w:p w14:paraId="1B076C8B" w14:textId="6267CC52" w:rsidR="00E2736D" w:rsidRPr="00CC2186" w:rsidRDefault="00E2736D" w:rsidP="00CC2186">
      <w:pPr>
        <w:spacing w:after="0" w:line="240" w:lineRule="auto"/>
        <w:ind w:left="11" w:hanging="11"/>
        <w:jc w:val="center"/>
        <w:rPr>
          <w:rFonts w:ascii="Times New Roman" w:eastAsiaTheme="minorHAnsi" w:hAnsi="Times New Roman" w:cs="Times New Roman"/>
          <w:b/>
          <w:color w:val="auto"/>
          <w:sz w:val="24"/>
          <w:szCs w:val="24"/>
          <w:lang w:eastAsia="en-US"/>
        </w:rPr>
      </w:pPr>
      <w:r w:rsidRPr="00CC2186">
        <w:rPr>
          <w:rFonts w:ascii="Times New Roman" w:eastAsiaTheme="minorHAnsi" w:hAnsi="Times New Roman" w:cs="Times New Roman"/>
          <w:b/>
          <w:color w:val="auto"/>
          <w:sz w:val="24"/>
          <w:szCs w:val="24"/>
          <w:lang w:eastAsia="en-US"/>
        </w:rPr>
        <w:t>(B 564)</w:t>
      </w:r>
    </w:p>
    <w:p w14:paraId="06DBDD9A" w14:textId="52C58504" w:rsidR="00E2736D" w:rsidRPr="00CC2186" w:rsidRDefault="00E2736D" w:rsidP="00CC2186">
      <w:pPr>
        <w:pStyle w:val="ARTartustawynprozporzdzenia"/>
        <w:spacing w:before="0" w:line="240" w:lineRule="auto"/>
        <w:ind w:firstLine="0"/>
        <w:rPr>
          <w:rFonts w:ascii="Times New Roman" w:hAnsi="Times New Roman" w:cs="Times New Roman"/>
          <w:bCs/>
          <w:sz w:val="22"/>
          <w:szCs w:val="22"/>
        </w:rPr>
      </w:pPr>
      <w:r w:rsidRPr="00523C47">
        <w:rPr>
          <w:rFonts w:ascii="Times New Roman" w:hAnsi="Times New Roman" w:cs="Times New Roman"/>
          <w:bCs/>
          <w:szCs w:val="24"/>
        </w:rPr>
        <w:t xml:space="preserve"> </w:t>
      </w:r>
    </w:p>
    <w:p w14:paraId="51277C7B" w14:textId="3BF1F975" w:rsidR="00B50911" w:rsidRPr="00AE0E37" w:rsidRDefault="00E2736D" w:rsidP="00AE0E37">
      <w:pPr>
        <w:spacing w:after="0" w:line="240" w:lineRule="auto"/>
        <w:ind w:left="0" w:right="0" w:firstLine="709"/>
        <w:rPr>
          <w:rFonts w:ascii="Times New Roman" w:hAnsi="Times New Roman" w:cs="Times New Roman"/>
          <w:bCs/>
        </w:rPr>
      </w:pPr>
      <w:r w:rsidRPr="00AE0E37">
        <w:rPr>
          <w:rFonts w:ascii="Times New Roman" w:hAnsi="Times New Roman" w:cs="Times New Roman"/>
          <w:bCs/>
        </w:rPr>
        <w:t>W ramach konsultacji publicznych projekt przekazano do: Naczeln</w:t>
      </w:r>
      <w:r w:rsidR="00B50911" w:rsidRPr="00AE0E37">
        <w:rPr>
          <w:rFonts w:ascii="Times New Roman" w:hAnsi="Times New Roman" w:cs="Times New Roman"/>
          <w:bCs/>
        </w:rPr>
        <w:t>ej</w:t>
      </w:r>
      <w:r w:rsidRPr="00AE0E37">
        <w:rPr>
          <w:rFonts w:ascii="Times New Roman" w:hAnsi="Times New Roman" w:cs="Times New Roman"/>
          <w:bCs/>
        </w:rPr>
        <w:t xml:space="preserve"> Rad</w:t>
      </w:r>
      <w:r w:rsidR="00B50911" w:rsidRPr="00AE0E37">
        <w:rPr>
          <w:rFonts w:ascii="Times New Roman" w:hAnsi="Times New Roman" w:cs="Times New Roman"/>
          <w:bCs/>
        </w:rPr>
        <w:t>y</w:t>
      </w:r>
      <w:r w:rsidRPr="00AE0E37">
        <w:rPr>
          <w:rFonts w:ascii="Times New Roman" w:hAnsi="Times New Roman" w:cs="Times New Roman"/>
          <w:bCs/>
        </w:rPr>
        <w:t xml:space="preserve"> Adwokack</w:t>
      </w:r>
      <w:r w:rsidR="00B50911" w:rsidRPr="00AE0E37">
        <w:rPr>
          <w:rFonts w:ascii="Times New Roman" w:hAnsi="Times New Roman" w:cs="Times New Roman"/>
          <w:bCs/>
        </w:rPr>
        <w:t>iej</w:t>
      </w:r>
      <w:r w:rsidRPr="00AE0E37">
        <w:rPr>
          <w:rFonts w:ascii="Times New Roman" w:hAnsi="Times New Roman" w:cs="Times New Roman"/>
          <w:bCs/>
        </w:rPr>
        <w:t>,</w:t>
      </w:r>
      <w:r w:rsidR="00B50911" w:rsidRPr="00AE0E37">
        <w:rPr>
          <w:rFonts w:ascii="Times New Roman" w:hAnsi="Times New Roman" w:cs="Times New Roman"/>
          <w:bCs/>
        </w:rPr>
        <w:t xml:space="preserve"> </w:t>
      </w:r>
      <w:r w:rsidRPr="00AE0E37">
        <w:rPr>
          <w:rFonts w:ascii="Times New Roman" w:hAnsi="Times New Roman" w:cs="Times New Roman"/>
          <w:bCs/>
        </w:rPr>
        <w:t>Krajow</w:t>
      </w:r>
      <w:r w:rsidR="00B50911" w:rsidRPr="00AE0E37">
        <w:rPr>
          <w:rFonts w:ascii="Times New Roman" w:hAnsi="Times New Roman" w:cs="Times New Roman"/>
          <w:bCs/>
        </w:rPr>
        <w:t>ej</w:t>
      </w:r>
      <w:r w:rsidRPr="00AE0E37">
        <w:rPr>
          <w:rFonts w:ascii="Times New Roman" w:hAnsi="Times New Roman" w:cs="Times New Roman"/>
          <w:bCs/>
        </w:rPr>
        <w:t xml:space="preserve"> Iz</w:t>
      </w:r>
      <w:r w:rsidR="00B50911" w:rsidRPr="00AE0E37">
        <w:rPr>
          <w:rFonts w:ascii="Times New Roman" w:hAnsi="Times New Roman" w:cs="Times New Roman"/>
          <w:bCs/>
        </w:rPr>
        <w:t>by</w:t>
      </w:r>
      <w:r w:rsidRPr="00AE0E37">
        <w:rPr>
          <w:rFonts w:ascii="Times New Roman" w:hAnsi="Times New Roman" w:cs="Times New Roman"/>
          <w:bCs/>
        </w:rPr>
        <w:t xml:space="preserve"> Radców Prawnych, </w:t>
      </w:r>
      <w:r w:rsidR="00782FCA" w:rsidRPr="00AE0E37">
        <w:rPr>
          <w:rFonts w:ascii="Times New Roman" w:hAnsi="Times New Roman" w:cs="Times New Roman"/>
          <w:bCs/>
        </w:rPr>
        <w:t>Krajowej</w:t>
      </w:r>
      <w:r w:rsidRPr="00AE0E37">
        <w:rPr>
          <w:rFonts w:ascii="Times New Roman" w:hAnsi="Times New Roman" w:cs="Times New Roman"/>
          <w:bCs/>
        </w:rPr>
        <w:t xml:space="preserve"> Rad</w:t>
      </w:r>
      <w:r w:rsidR="00B50911" w:rsidRPr="00AE0E37">
        <w:rPr>
          <w:rFonts w:ascii="Times New Roman" w:hAnsi="Times New Roman" w:cs="Times New Roman"/>
          <w:bCs/>
        </w:rPr>
        <w:t>y</w:t>
      </w:r>
      <w:r w:rsidRPr="00AE0E37">
        <w:rPr>
          <w:rFonts w:ascii="Times New Roman" w:hAnsi="Times New Roman" w:cs="Times New Roman"/>
          <w:bCs/>
        </w:rPr>
        <w:t xml:space="preserve"> Notarialn</w:t>
      </w:r>
      <w:r w:rsidR="00B50911" w:rsidRPr="00AE0E37">
        <w:rPr>
          <w:rFonts w:ascii="Times New Roman" w:hAnsi="Times New Roman" w:cs="Times New Roman"/>
          <w:bCs/>
        </w:rPr>
        <w:t>ej</w:t>
      </w:r>
      <w:r w:rsidRPr="00AE0E37">
        <w:rPr>
          <w:rFonts w:ascii="Times New Roman" w:hAnsi="Times New Roman" w:cs="Times New Roman"/>
          <w:bCs/>
        </w:rPr>
        <w:t>, Stowarzyszeni</w:t>
      </w:r>
      <w:r w:rsidR="00B50911" w:rsidRPr="00AE0E37">
        <w:rPr>
          <w:rFonts w:ascii="Times New Roman" w:hAnsi="Times New Roman" w:cs="Times New Roman"/>
          <w:bCs/>
        </w:rPr>
        <w:t>a</w:t>
      </w:r>
      <w:r w:rsidRPr="00AE0E37">
        <w:rPr>
          <w:rFonts w:ascii="Times New Roman" w:hAnsi="Times New Roman" w:cs="Times New Roman"/>
          <w:bCs/>
        </w:rPr>
        <w:t xml:space="preserve"> Sędziów Polskich „</w:t>
      </w:r>
      <w:proofErr w:type="spellStart"/>
      <w:r w:rsidRPr="00AE0E37">
        <w:rPr>
          <w:rFonts w:ascii="Times New Roman" w:hAnsi="Times New Roman" w:cs="Times New Roman"/>
          <w:bCs/>
        </w:rPr>
        <w:t>Iustitia</w:t>
      </w:r>
      <w:proofErr w:type="spellEnd"/>
      <w:r w:rsidRPr="00AE0E37">
        <w:rPr>
          <w:rFonts w:ascii="Times New Roman" w:hAnsi="Times New Roman" w:cs="Times New Roman"/>
          <w:bCs/>
        </w:rPr>
        <w:t>”, Stowarzyszeni</w:t>
      </w:r>
      <w:r w:rsidR="00B50911" w:rsidRPr="00AE0E37">
        <w:rPr>
          <w:rFonts w:ascii="Times New Roman" w:hAnsi="Times New Roman" w:cs="Times New Roman"/>
          <w:bCs/>
        </w:rPr>
        <w:t>a</w:t>
      </w:r>
      <w:r w:rsidRPr="00AE0E37">
        <w:rPr>
          <w:rFonts w:ascii="Times New Roman" w:hAnsi="Times New Roman" w:cs="Times New Roman"/>
          <w:bCs/>
        </w:rPr>
        <w:t xml:space="preserve"> Sędziów „</w:t>
      </w:r>
      <w:proofErr w:type="spellStart"/>
      <w:r w:rsidRPr="00AE0E37">
        <w:rPr>
          <w:rFonts w:ascii="Times New Roman" w:hAnsi="Times New Roman" w:cs="Times New Roman"/>
          <w:bCs/>
        </w:rPr>
        <w:t>Themis</w:t>
      </w:r>
      <w:proofErr w:type="spellEnd"/>
      <w:r w:rsidRPr="00AE0E37">
        <w:rPr>
          <w:rFonts w:ascii="Times New Roman" w:hAnsi="Times New Roman" w:cs="Times New Roman"/>
          <w:bCs/>
        </w:rPr>
        <w:t>”, Porozumieni</w:t>
      </w:r>
      <w:r w:rsidR="00B50911" w:rsidRPr="00AE0E37">
        <w:rPr>
          <w:rFonts w:ascii="Times New Roman" w:hAnsi="Times New Roman" w:cs="Times New Roman"/>
          <w:bCs/>
        </w:rPr>
        <w:t>a</w:t>
      </w:r>
      <w:r w:rsidRPr="00AE0E37">
        <w:rPr>
          <w:rFonts w:ascii="Times New Roman" w:hAnsi="Times New Roman" w:cs="Times New Roman"/>
          <w:bCs/>
        </w:rPr>
        <w:t xml:space="preserve"> Samorządów Zawodowych </w:t>
      </w:r>
      <w:r w:rsidR="00AE0E37">
        <w:rPr>
          <w:rFonts w:ascii="Times New Roman" w:hAnsi="Times New Roman" w:cs="Times New Roman"/>
          <w:bCs/>
        </w:rPr>
        <w:br/>
      </w:r>
      <w:r w:rsidRPr="00AE0E37">
        <w:rPr>
          <w:rFonts w:ascii="Times New Roman" w:hAnsi="Times New Roman" w:cs="Times New Roman"/>
          <w:bCs/>
        </w:rPr>
        <w:t>i Stowarzyszeń Prawniczych, Polsk</w:t>
      </w:r>
      <w:r w:rsidR="00B50911" w:rsidRPr="00AE0E37">
        <w:rPr>
          <w:rFonts w:ascii="Times New Roman" w:hAnsi="Times New Roman" w:cs="Times New Roman"/>
          <w:bCs/>
        </w:rPr>
        <w:t xml:space="preserve">iego </w:t>
      </w:r>
      <w:r w:rsidRPr="00AE0E37">
        <w:rPr>
          <w:rFonts w:ascii="Times New Roman" w:hAnsi="Times New Roman" w:cs="Times New Roman"/>
          <w:bCs/>
        </w:rPr>
        <w:t>Związk</w:t>
      </w:r>
      <w:r w:rsidR="00B50911" w:rsidRPr="00AE0E37">
        <w:rPr>
          <w:rFonts w:ascii="Times New Roman" w:hAnsi="Times New Roman" w:cs="Times New Roman"/>
          <w:bCs/>
        </w:rPr>
        <w:t>u</w:t>
      </w:r>
      <w:r w:rsidRPr="00AE0E37">
        <w:rPr>
          <w:rFonts w:ascii="Times New Roman" w:hAnsi="Times New Roman" w:cs="Times New Roman"/>
          <w:bCs/>
        </w:rPr>
        <w:t xml:space="preserve"> Pracodawców Prawniczych, Stowarzyszeni</w:t>
      </w:r>
      <w:r w:rsidR="00B50911" w:rsidRPr="00AE0E37">
        <w:rPr>
          <w:rFonts w:ascii="Times New Roman" w:hAnsi="Times New Roman" w:cs="Times New Roman"/>
          <w:bCs/>
        </w:rPr>
        <w:t>a</w:t>
      </w:r>
      <w:r w:rsidRPr="00AE0E37">
        <w:rPr>
          <w:rFonts w:ascii="Times New Roman" w:hAnsi="Times New Roman" w:cs="Times New Roman"/>
          <w:bCs/>
        </w:rPr>
        <w:t xml:space="preserve"> Prawnicy dla Polski</w:t>
      </w:r>
      <w:r w:rsidR="00782FCA" w:rsidRPr="00AE0E37">
        <w:rPr>
          <w:rFonts w:ascii="Times New Roman" w:hAnsi="Times New Roman" w:cs="Times New Roman"/>
          <w:bCs/>
        </w:rPr>
        <w:t xml:space="preserve"> oraz </w:t>
      </w:r>
      <w:r w:rsidRPr="00AE0E37">
        <w:rPr>
          <w:rFonts w:ascii="Times New Roman" w:hAnsi="Times New Roman" w:cs="Times New Roman"/>
          <w:bCs/>
        </w:rPr>
        <w:t>Helsińsk</w:t>
      </w:r>
      <w:r w:rsidR="00B50911" w:rsidRPr="00AE0E37">
        <w:rPr>
          <w:rFonts w:ascii="Times New Roman" w:hAnsi="Times New Roman" w:cs="Times New Roman"/>
          <w:bCs/>
        </w:rPr>
        <w:t>iej</w:t>
      </w:r>
      <w:r w:rsidRPr="00AE0E37">
        <w:rPr>
          <w:rFonts w:ascii="Times New Roman" w:hAnsi="Times New Roman" w:cs="Times New Roman"/>
          <w:bCs/>
        </w:rPr>
        <w:t xml:space="preserve"> Fundacj</w:t>
      </w:r>
      <w:r w:rsidR="00B50911" w:rsidRPr="00AE0E37">
        <w:rPr>
          <w:rFonts w:ascii="Times New Roman" w:hAnsi="Times New Roman" w:cs="Times New Roman"/>
          <w:bCs/>
        </w:rPr>
        <w:t>i</w:t>
      </w:r>
      <w:r w:rsidRPr="00AE0E37">
        <w:rPr>
          <w:rFonts w:ascii="Times New Roman" w:hAnsi="Times New Roman" w:cs="Times New Roman"/>
          <w:bCs/>
        </w:rPr>
        <w:t xml:space="preserve"> Praw Człowieka, Fundacj</w:t>
      </w:r>
      <w:r w:rsidR="00B50911" w:rsidRPr="00AE0E37">
        <w:rPr>
          <w:rFonts w:ascii="Times New Roman" w:hAnsi="Times New Roman" w:cs="Times New Roman"/>
          <w:bCs/>
        </w:rPr>
        <w:t>i</w:t>
      </w:r>
      <w:r w:rsidRPr="00AE0E37">
        <w:rPr>
          <w:rFonts w:ascii="Times New Roman" w:hAnsi="Times New Roman" w:cs="Times New Roman"/>
          <w:bCs/>
        </w:rPr>
        <w:t xml:space="preserve"> Panoptykon, Fundacj</w:t>
      </w:r>
      <w:r w:rsidR="00B50911" w:rsidRPr="00AE0E37">
        <w:rPr>
          <w:rFonts w:ascii="Times New Roman" w:hAnsi="Times New Roman" w:cs="Times New Roman"/>
          <w:bCs/>
        </w:rPr>
        <w:t>i</w:t>
      </w:r>
      <w:r w:rsidRPr="00AE0E37">
        <w:rPr>
          <w:rFonts w:ascii="Times New Roman" w:hAnsi="Times New Roman" w:cs="Times New Roman"/>
          <w:bCs/>
        </w:rPr>
        <w:t xml:space="preserve"> Court Watch Polska, Fundacj</w:t>
      </w:r>
      <w:r w:rsidR="00B50911" w:rsidRPr="00AE0E37">
        <w:rPr>
          <w:rFonts w:ascii="Times New Roman" w:hAnsi="Times New Roman" w:cs="Times New Roman"/>
          <w:bCs/>
        </w:rPr>
        <w:t>i</w:t>
      </w:r>
      <w:r w:rsidRPr="00AE0E37">
        <w:rPr>
          <w:rFonts w:ascii="Times New Roman" w:hAnsi="Times New Roman" w:cs="Times New Roman"/>
          <w:bCs/>
        </w:rPr>
        <w:t xml:space="preserve"> Ordo Iuris</w:t>
      </w:r>
      <w:r w:rsidR="00782FCA" w:rsidRPr="00AE0E37">
        <w:rPr>
          <w:rFonts w:ascii="Times New Roman" w:hAnsi="Times New Roman" w:cs="Times New Roman"/>
          <w:bCs/>
        </w:rPr>
        <w:t xml:space="preserve"> i</w:t>
      </w:r>
      <w:r w:rsidRPr="00AE0E37">
        <w:rPr>
          <w:rFonts w:ascii="Times New Roman" w:hAnsi="Times New Roman" w:cs="Times New Roman"/>
          <w:bCs/>
        </w:rPr>
        <w:t xml:space="preserve"> Fundacj</w:t>
      </w:r>
      <w:r w:rsidR="00B50911" w:rsidRPr="00AE0E37">
        <w:rPr>
          <w:rFonts w:ascii="Times New Roman" w:hAnsi="Times New Roman" w:cs="Times New Roman"/>
          <w:bCs/>
        </w:rPr>
        <w:t>i</w:t>
      </w:r>
      <w:r w:rsidRPr="00AE0E37">
        <w:rPr>
          <w:rFonts w:ascii="Times New Roman" w:hAnsi="Times New Roman" w:cs="Times New Roman"/>
          <w:bCs/>
        </w:rPr>
        <w:t xml:space="preserve"> im. Stefana Batorego</w:t>
      </w:r>
      <w:r w:rsidR="00B50911" w:rsidRPr="00AE0E37">
        <w:rPr>
          <w:rFonts w:ascii="Times New Roman" w:hAnsi="Times New Roman" w:cs="Times New Roman"/>
          <w:bCs/>
        </w:rPr>
        <w:t>.</w:t>
      </w:r>
    </w:p>
    <w:p w14:paraId="43C0BCCF" w14:textId="7E8733B9" w:rsidR="00E2736D" w:rsidRPr="00AE0E37" w:rsidRDefault="00782FCA" w:rsidP="00AE0E37">
      <w:pPr>
        <w:spacing w:after="0" w:line="240" w:lineRule="auto"/>
        <w:ind w:left="0" w:right="0" w:firstLine="709"/>
        <w:rPr>
          <w:rFonts w:ascii="Times New Roman" w:hAnsi="Times New Roman" w:cs="Times New Roman"/>
          <w:bCs/>
        </w:rPr>
      </w:pPr>
      <w:r w:rsidRPr="00AE0E37">
        <w:rPr>
          <w:rFonts w:ascii="Times New Roman" w:hAnsi="Times New Roman" w:cs="Times New Roman"/>
          <w:bCs/>
        </w:rPr>
        <w:t xml:space="preserve">Projekt został przedstawiony do zaopiniowania </w:t>
      </w:r>
      <w:r w:rsidR="00E2736D" w:rsidRPr="00AE0E37">
        <w:rPr>
          <w:rFonts w:ascii="Times New Roman" w:hAnsi="Times New Roman" w:cs="Times New Roman"/>
          <w:bCs/>
        </w:rPr>
        <w:t>Sąd</w:t>
      </w:r>
      <w:r w:rsidRPr="00AE0E37">
        <w:rPr>
          <w:rFonts w:ascii="Times New Roman" w:hAnsi="Times New Roman" w:cs="Times New Roman"/>
          <w:bCs/>
        </w:rPr>
        <w:t>owi</w:t>
      </w:r>
      <w:r w:rsidR="00E2736D" w:rsidRPr="00AE0E37">
        <w:rPr>
          <w:rFonts w:ascii="Times New Roman" w:hAnsi="Times New Roman" w:cs="Times New Roman"/>
          <w:bCs/>
        </w:rPr>
        <w:t xml:space="preserve"> Najwyż</w:t>
      </w:r>
      <w:r w:rsidRPr="00AE0E37">
        <w:rPr>
          <w:rFonts w:ascii="Times New Roman" w:hAnsi="Times New Roman" w:cs="Times New Roman"/>
          <w:bCs/>
        </w:rPr>
        <w:t>szemu</w:t>
      </w:r>
      <w:r w:rsidR="00E2736D" w:rsidRPr="00AE0E37">
        <w:rPr>
          <w:rFonts w:ascii="Times New Roman" w:hAnsi="Times New Roman" w:cs="Times New Roman"/>
          <w:bCs/>
        </w:rPr>
        <w:t>, Krajowej Rad</w:t>
      </w:r>
      <w:r w:rsidRPr="00AE0E37">
        <w:rPr>
          <w:rFonts w:ascii="Times New Roman" w:hAnsi="Times New Roman" w:cs="Times New Roman"/>
          <w:bCs/>
        </w:rPr>
        <w:t>zie</w:t>
      </w:r>
      <w:r w:rsidR="00E2736D" w:rsidRPr="00AE0E37">
        <w:rPr>
          <w:rFonts w:ascii="Times New Roman" w:hAnsi="Times New Roman" w:cs="Times New Roman"/>
          <w:bCs/>
        </w:rPr>
        <w:t xml:space="preserve"> Sądowni</w:t>
      </w:r>
      <w:r w:rsidRPr="00AE0E37">
        <w:rPr>
          <w:rFonts w:ascii="Times New Roman" w:hAnsi="Times New Roman" w:cs="Times New Roman"/>
          <w:bCs/>
        </w:rPr>
        <w:t>ctw</w:t>
      </w:r>
      <w:r w:rsidR="00E2736D" w:rsidRPr="00AE0E37">
        <w:rPr>
          <w:rFonts w:ascii="Times New Roman" w:hAnsi="Times New Roman" w:cs="Times New Roman"/>
          <w:bCs/>
        </w:rPr>
        <w:t>, Prezes</w:t>
      </w:r>
      <w:r w:rsidRPr="00AE0E37">
        <w:rPr>
          <w:rFonts w:ascii="Times New Roman" w:hAnsi="Times New Roman" w:cs="Times New Roman"/>
          <w:bCs/>
        </w:rPr>
        <w:t>owi</w:t>
      </w:r>
      <w:r w:rsidR="00E2736D" w:rsidRPr="00AE0E37">
        <w:rPr>
          <w:rFonts w:ascii="Times New Roman" w:hAnsi="Times New Roman" w:cs="Times New Roman"/>
          <w:bCs/>
        </w:rPr>
        <w:t xml:space="preserve"> Urzędu Ochrony Danych Osobowych oraz </w:t>
      </w:r>
      <w:r w:rsidRPr="00AE0E37">
        <w:rPr>
          <w:rFonts w:ascii="Times New Roman" w:hAnsi="Times New Roman" w:cs="Times New Roman"/>
          <w:bCs/>
        </w:rPr>
        <w:t>wszystkim sądom</w:t>
      </w:r>
      <w:r w:rsidR="00E2736D" w:rsidRPr="00AE0E37">
        <w:rPr>
          <w:rFonts w:ascii="Times New Roman" w:hAnsi="Times New Roman" w:cs="Times New Roman"/>
          <w:bCs/>
        </w:rPr>
        <w:t xml:space="preserve"> apelacyjny</w:t>
      </w:r>
      <w:r w:rsidR="0013340C">
        <w:rPr>
          <w:rFonts w:ascii="Times New Roman" w:hAnsi="Times New Roman" w:cs="Times New Roman"/>
          <w:bCs/>
        </w:rPr>
        <w:t>m</w:t>
      </w:r>
      <w:r w:rsidR="00E2736D" w:rsidRPr="00AE0E37">
        <w:rPr>
          <w:rFonts w:ascii="Times New Roman" w:hAnsi="Times New Roman" w:cs="Times New Roman"/>
          <w:bCs/>
        </w:rPr>
        <w:t>.</w:t>
      </w:r>
    </w:p>
    <w:p w14:paraId="09CFD3B7" w14:textId="77777777" w:rsidR="00AE0E37" w:rsidRDefault="00E2736D" w:rsidP="00AE0E37">
      <w:pPr>
        <w:pStyle w:val="Default"/>
        <w:jc w:val="both"/>
        <w:rPr>
          <w:rFonts w:ascii="Times New Roman" w:hAnsi="Times New Roman" w:cs="Times New Roman"/>
          <w:bCs/>
          <w:sz w:val="22"/>
          <w:szCs w:val="22"/>
        </w:rPr>
      </w:pPr>
      <w:r w:rsidRPr="00AE0E37">
        <w:rPr>
          <w:rFonts w:ascii="Times New Roman" w:hAnsi="Times New Roman" w:cs="Times New Roman"/>
          <w:bCs/>
          <w:sz w:val="22"/>
          <w:szCs w:val="22"/>
        </w:rPr>
        <w:t xml:space="preserve">            </w:t>
      </w:r>
    </w:p>
    <w:p w14:paraId="677FA08C" w14:textId="23D84C40" w:rsidR="005A1B46" w:rsidRPr="00AE0E37" w:rsidRDefault="00782FCA" w:rsidP="00AE0E37">
      <w:pPr>
        <w:pStyle w:val="Default"/>
        <w:ind w:firstLine="708"/>
        <w:jc w:val="both"/>
        <w:rPr>
          <w:rFonts w:ascii="Times New Roman" w:hAnsi="Times New Roman" w:cs="Times New Roman"/>
          <w:bCs/>
          <w:color w:val="auto"/>
          <w:sz w:val="22"/>
          <w:szCs w:val="22"/>
        </w:rPr>
      </w:pPr>
      <w:r w:rsidRPr="00AE0E37">
        <w:rPr>
          <w:rFonts w:ascii="Times New Roman" w:hAnsi="Times New Roman" w:cs="Times New Roman"/>
          <w:bCs/>
          <w:sz w:val="22"/>
          <w:szCs w:val="22"/>
        </w:rPr>
        <w:t>U</w:t>
      </w:r>
      <w:r w:rsidR="00E2736D" w:rsidRPr="00AE0E37">
        <w:rPr>
          <w:rFonts w:ascii="Times New Roman" w:hAnsi="Times New Roman" w:cs="Times New Roman"/>
          <w:bCs/>
          <w:sz w:val="22"/>
          <w:szCs w:val="22"/>
        </w:rPr>
        <w:t xml:space="preserve">wagi </w:t>
      </w:r>
      <w:r w:rsidRPr="00AE0E37">
        <w:rPr>
          <w:rFonts w:ascii="Times New Roman" w:hAnsi="Times New Roman" w:cs="Times New Roman"/>
          <w:bCs/>
          <w:sz w:val="22"/>
          <w:szCs w:val="22"/>
        </w:rPr>
        <w:t xml:space="preserve">do projektu </w:t>
      </w:r>
      <w:r w:rsidR="00E2736D" w:rsidRPr="00AE0E37">
        <w:rPr>
          <w:rFonts w:ascii="Times New Roman" w:hAnsi="Times New Roman" w:cs="Times New Roman"/>
          <w:bCs/>
          <w:sz w:val="22"/>
          <w:szCs w:val="22"/>
        </w:rPr>
        <w:t>zostały zgłoszone przez</w:t>
      </w:r>
      <w:r w:rsidR="005A1B46" w:rsidRPr="00AE0E37">
        <w:rPr>
          <w:rFonts w:ascii="Times New Roman" w:hAnsi="Times New Roman" w:cs="Times New Roman"/>
          <w:bCs/>
          <w:sz w:val="22"/>
          <w:szCs w:val="22"/>
        </w:rPr>
        <w:t xml:space="preserve">: Sąd Najwyższy, </w:t>
      </w:r>
      <w:r w:rsidR="00C32C3B" w:rsidRPr="00AE0E37">
        <w:rPr>
          <w:rFonts w:ascii="Times New Roman" w:hAnsi="Times New Roman" w:cs="Times New Roman"/>
          <w:sz w:val="22"/>
          <w:szCs w:val="22"/>
        </w:rPr>
        <w:t>Oddział Informatyczny Centrum Kompetencji i Informatyzacji Sądownictwa w Sądzie Apelacyjnym we Wrocławiu</w:t>
      </w:r>
      <w:r w:rsidR="00C32C3B" w:rsidRPr="00AE0E37">
        <w:rPr>
          <w:rFonts w:ascii="Times New Roman" w:hAnsi="Times New Roman" w:cs="Times New Roman"/>
          <w:bCs/>
          <w:sz w:val="22"/>
          <w:szCs w:val="22"/>
        </w:rPr>
        <w:t xml:space="preserve"> </w:t>
      </w:r>
      <w:r w:rsidR="005A1B46" w:rsidRPr="00AE0E37">
        <w:rPr>
          <w:rFonts w:ascii="Times New Roman" w:hAnsi="Times New Roman" w:cs="Times New Roman"/>
          <w:bCs/>
          <w:sz w:val="22"/>
          <w:szCs w:val="22"/>
        </w:rPr>
        <w:t xml:space="preserve">oraz </w:t>
      </w:r>
      <w:r w:rsidR="005A1B46" w:rsidRPr="00AE0E37">
        <w:rPr>
          <w:rFonts w:ascii="Times New Roman" w:hAnsi="Times New Roman" w:cs="Times New Roman"/>
          <w:bCs/>
          <w:color w:val="auto"/>
          <w:sz w:val="22"/>
          <w:szCs w:val="22"/>
        </w:rPr>
        <w:t>Instytut na rzecz Kultury Prawnej Ordo Iuris.</w:t>
      </w:r>
    </w:p>
    <w:p w14:paraId="67BCDB6B" w14:textId="77777777" w:rsidR="00095A3E" w:rsidRPr="00AE0E37" w:rsidRDefault="00095A3E" w:rsidP="00AE0E37">
      <w:pPr>
        <w:pStyle w:val="Default"/>
        <w:jc w:val="both"/>
        <w:rPr>
          <w:rFonts w:ascii="Times New Roman" w:hAnsi="Times New Roman" w:cs="Times New Roman"/>
          <w:bCs/>
          <w:color w:val="auto"/>
          <w:sz w:val="22"/>
          <w:szCs w:val="22"/>
        </w:rPr>
      </w:pPr>
    </w:p>
    <w:p w14:paraId="35BDEC41" w14:textId="4CFBDEE9" w:rsidR="00C13D14" w:rsidRPr="00AE0E37" w:rsidRDefault="00C13D14" w:rsidP="00AE0E37">
      <w:pPr>
        <w:pStyle w:val="Default"/>
        <w:jc w:val="both"/>
        <w:rPr>
          <w:rFonts w:ascii="Times New Roman" w:hAnsi="Times New Roman" w:cs="Times New Roman"/>
          <w:bCs/>
          <w:sz w:val="22"/>
          <w:szCs w:val="22"/>
        </w:rPr>
      </w:pPr>
      <w:r w:rsidRPr="00AE0E37">
        <w:rPr>
          <w:rFonts w:ascii="Times New Roman" w:hAnsi="Times New Roman" w:cs="Times New Roman"/>
          <w:bCs/>
          <w:color w:val="auto"/>
          <w:sz w:val="22"/>
          <w:szCs w:val="22"/>
        </w:rPr>
        <w:tab/>
        <w:t>Sąd Najwyższy zgłosił uwagę w zakresie § 3</w:t>
      </w:r>
      <w:r w:rsidR="005F5642" w:rsidRPr="00AE0E37">
        <w:rPr>
          <w:rFonts w:ascii="Times New Roman" w:hAnsi="Times New Roman" w:cs="Times New Roman"/>
          <w:bCs/>
          <w:color w:val="auto"/>
          <w:sz w:val="22"/>
          <w:szCs w:val="22"/>
        </w:rPr>
        <w:t xml:space="preserve"> rozporządzenia </w:t>
      </w:r>
      <w:r w:rsidRPr="00AE0E37">
        <w:rPr>
          <w:rFonts w:ascii="Times New Roman" w:hAnsi="Times New Roman" w:cs="Times New Roman"/>
          <w:bCs/>
          <w:color w:val="auto"/>
          <w:sz w:val="22"/>
          <w:szCs w:val="22"/>
        </w:rPr>
        <w:t>wskazując, że zamiast wprowadzać zasadę niezmienności konta – z czym się wiąże konieczność wprowadzenia kazuistycznych przepisów szczególnych ją wyłączających – można byłoby w sposób generalny uregulować w rozporządzeniu możliwość zmiany konta, na które dokonywane są doręczenia elektroniczne. Uwaga nie została uwzględniona, ponieważ funkcjonalność doręczenia pisma na inne konto niż konto, z którego wpłynęło pierwsze pismo w sprawie</w:t>
      </w:r>
      <w:r w:rsidR="0013340C">
        <w:rPr>
          <w:rFonts w:ascii="Times New Roman" w:hAnsi="Times New Roman" w:cs="Times New Roman"/>
          <w:bCs/>
          <w:color w:val="auto"/>
          <w:sz w:val="22"/>
          <w:szCs w:val="22"/>
        </w:rPr>
        <w:t>,</w:t>
      </w:r>
      <w:r w:rsidRPr="00AE0E37">
        <w:rPr>
          <w:rFonts w:ascii="Times New Roman" w:hAnsi="Times New Roman" w:cs="Times New Roman"/>
          <w:bCs/>
          <w:color w:val="auto"/>
          <w:sz w:val="22"/>
          <w:szCs w:val="22"/>
        </w:rPr>
        <w:t xml:space="preserve"> obecnie występuje jedynie w systemach teleinformatycznych obsługujących postępowania sądowe, o których mowa w § 6-6</w:t>
      </w:r>
      <w:r w:rsidRPr="00AE0E37">
        <w:rPr>
          <w:rFonts w:ascii="Times New Roman" w:hAnsi="Times New Roman" w:cs="Times New Roman"/>
          <w:bCs/>
          <w:color w:val="auto"/>
          <w:sz w:val="22"/>
          <w:szCs w:val="22"/>
          <w:vertAlign w:val="superscript"/>
        </w:rPr>
        <w:t xml:space="preserve">1 </w:t>
      </w:r>
      <w:r w:rsidRPr="00AE0E37">
        <w:rPr>
          <w:rFonts w:ascii="Times New Roman" w:hAnsi="Times New Roman" w:cs="Times New Roman"/>
          <w:bCs/>
          <w:color w:val="auto"/>
          <w:sz w:val="22"/>
          <w:szCs w:val="22"/>
        </w:rPr>
        <w:t xml:space="preserve">rozporządzenia. Wobec powyższego, jako generalną zasadę w rozporządzeniu przyjęto, że </w:t>
      </w:r>
      <w:r w:rsidRPr="00AE0E37">
        <w:rPr>
          <w:rFonts w:ascii="Times New Roman" w:hAnsi="Times New Roman" w:cs="Times New Roman"/>
          <w:bCs/>
          <w:sz w:val="22"/>
          <w:szCs w:val="22"/>
        </w:rPr>
        <w:t>doręczenia pisma za pośrednictwem systemu teleinformatycznego dokonuje się poprzez jego umieszczenie na koncie, z którego adresat wniósł pierwsze pismo w sprawie.</w:t>
      </w:r>
    </w:p>
    <w:p w14:paraId="742A1169" w14:textId="72131046" w:rsidR="009118FF" w:rsidRPr="00AE0E37" w:rsidRDefault="00C13D14" w:rsidP="00AE0E37">
      <w:pPr>
        <w:spacing w:after="0" w:line="240" w:lineRule="auto"/>
        <w:rPr>
          <w:rFonts w:ascii="Times New Roman" w:hAnsi="Times New Roman" w:cs="Times New Roman"/>
          <w:bCs/>
        </w:rPr>
      </w:pPr>
      <w:r w:rsidRPr="00AE0E37">
        <w:rPr>
          <w:rFonts w:ascii="Times New Roman" w:hAnsi="Times New Roman" w:cs="Times New Roman"/>
          <w:bCs/>
        </w:rPr>
        <w:tab/>
      </w:r>
      <w:r w:rsidR="005F5642" w:rsidRPr="00AE0E37">
        <w:rPr>
          <w:rFonts w:ascii="Times New Roman" w:hAnsi="Times New Roman" w:cs="Times New Roman"/>
          <w:bCs/>
        </w:rPr>
        <w:tab/>
      </w:r>
    </w:p>
    <w:p w14:paraId="794B1AA4" w14:textId="2E218CEE" w:rsidR="00C32C3B" w:rsidRPr="00AE0E37" w:rsidRDefault="00C32C3B" w:rsidP="00AE0E37">
      <w:pPr>
        <w:spacing w:after="0" w:line="240" w:lineRule="auto"/>
        <w:ind w:firstLine="698"/>
        <w:rPr>
          <w:rFonts w:ascii="Times New Roman" w:hAnsi="Times New Roman" w:cs="Times New Roman"/>
          <w:bCs/>
        </w:rPr>
      </w:pPr>
      <w:bookmarkStart w:id="1" w:name="_Hlk72308554"/>
      <w:r w:rsidRPr="00AE0E37">
        <w:rPr>
          <w:rFonts w:ascii="Times New Roman" w:hAnsi="Times New Roman" w:cs="Times New Roman"/>
        </w:rPr>
        <w:t>Oddział Informatyczny Centrum Kompetencji i Informatyzacji Sądownictwa w Sądzie Apelacyjnym we Wrocławiu</w:t>
      </w:r>
      <w:bookmarkEnd w:id="1"/>
      <w:r w:rsidRPr="00AE0E37">
        <w:rPr>
          <w:rFonts w:ascii="Times New Roman" w:hAnsi="Times New Roman" w:cs="Times New Roman"/>
          <w:bCs/>
        </w:rPr>
        <w:t xml:space="preserve"> słusznie wskazał, że nie jest zasadnym usunięcie z definicji „użytkownika” sformułowania wskazującego, że konto użytkownika powinno być założone </w:t>
      </w:r>
      <w:r w:rsidR="00AE0E37">
        <w:rPr>
          <w:rFonts w:ascii="Times New Roman" w:hAnsi="Times New Roman" w:cs="Times New Roman"/>
          <w:bCs/>
        </w:rPr>
        <w:br/>
      </w:r>
      <w:r w:rsidRPr="00AE0E37">
        <w:rPr>
          <w:rFonts w:ascii="Times New Roman" w:hAnsi="Times New Roman" w:cs="Times New Roman"/>
          <w:bCs/>
        </w:rPr>
        <w:t xml:space="preserve">„w systemie teleinformatycznym obsługującym postępowanie sądowe”. W związku z tym uwagę uwzględniono i w projekcie zakłada się, że przez „użytkownika konta” będzie się rozumiało „osobę fizyczną, dla której założono konto w systemie teleinformatycznym obsługującym postępowanie sądowe”. </w:t>
      </w:r>
    </w:p>
    <w:p w14:paraId="5149F046" w14:textId="01F8D4F4" w:rsidR="00C32C3B" w:rsidRPr="00AE0E37" w:rsidRDefault="00C32C3B" w:rsidP="00AE0E37">
      <w:pPr>
        <w:spacing w:after="0" w:line="240" w:lineRule="auto"/>
        <w:ind w:firstLine="698"/>
        <w:rPr>
          <w:rFonts w:ascii="Times New Roman" w:hAnsi="Times New Roman" w:cs="Times New Roman"/>
          <w:bCs/>
        </w:rPr>
      </w:pPr>
      <w:r w:rsidRPr="00AE0E37">
        <w:rPr>
          <w:rFonts w:ascii="Times New Roman" w:hAnsi="Times New Roman" w:cs="Times New Roman"/>
          <w:bCs/>
        </w:rPr>
        <w:t>Nie podzielono natomiast wątpliwości tego opiniującego co</w:t>
      </w:r>
      <w:r w:rsidR="0013340C">
        <w:rPr>
          <w:rFonts w:ascii="Times New Roman" w:hAnsi="Times New Roman" w:cs="Times New Roman"/>
          <w:bCs/>
        </w:rPr>
        <w:t xml:space="preserve"> do</w:t>
      </w:r>
      <w:r w:rsidRPr="00AE0E37">
        <w:rPr>
          <w:rFonts w:ascii="Times New Roman" w:hAnsi="Times New Roman" w:cs="Times New Roman"/>
          <w:bCs/>
        </w:rPr>
        <w:t xml:space="preserve"> prawidłowości usunięcia </w:t>
      </w:r>
      <w:r w:rsidRPr="00AE0E37">
        <w:rPr>
          <w:rFonts w:ascii="Times New Roman" w:hAnsi="Times New Roman" w:cs="Times New Roman"/>
          <w:bCs/>
        </w:rPr>
        <w:br/>
        <w:t xml:space="preserve">z definicji „konta” w </w:t>
      </w:r>
      <w:r w:rsidRPr="00AE0E37">
        <w:rPr>
          <w:rFonts w:ascii="Times New Roman" w:hAnsi="Times New Roman" w:cs="Times New Roman"/>
        </w:rPr>
        <w:t xml:space="preserve">zakresie zbioru danych identyfikujących użytkownika </w:t>
      </w:r>
      <w:r w:rsidRPr="00AE0E37">
        <w:rPr>
          <w:rFonts w:ascii="Times New Roman" w:hAnsi="Times New Roman" w:cs="Times New Roman"/>
          <w:bCs/>
        </w:rPr>
        <w:t xml:space="preserve">zapisu o wymogu przyporządkowania go do tego użytkownika. Z treści bowiem proponowanej definicji konta jednoznacznie wynika, że skoro zbiór danych identyfikuje użytkownika (wraz z przyporządkowanymi zasobami systemu teleinformatycznego), to z samego tego faktu wynika, że jest to przyporządkowane do konkretnego użytkownika (konkretnej osoby fizycznej). </w:t>
      </w:r>
    </w:p>
    <w:p w14:paraId="1C93A072" w14:textId="40608B1C" w:rsidR="00C32C3B" w:rsidRPr="00AE0E37" w:rsidRDefault="00C32C3B" w:rsidP="00AE0E37">
      <w:pPr>
        <w:spacing w:after="0" w:line="240" w:lineRule="auto"/>
        <w:ind w:firstLine="698"/>
        <w:rPr>
          <w:rFonts w:ascii="Times New Roman" w:hAnsi="Times New Roman" w:cs="Times New Roman"/>
          <w:bCs/>
        </w:rPr>
      </w:pPr>
      <w:r w:rsidRPr="00AE0E37">
        <w:rPr>
          <w:rFonts w:ascii="Times New Roman" w:hAnsi="Times New Roman" w:cs="Times New Roman"/>
          <w:bCs/>
        </w:rPr>
        <w:t>Nie uwzględniono też uwagi tego podmiotu odnoszącej się do proponowanej w projekcie definicji „uwierzytelnienia” wskazującej, że na gruncie procedury cywilnej „proces elektroniczny” jest sformułowaniem nieznanym. Celem definicji uwierzytelnienia jest wskazanie, że w wyniku przeprowadzenia tego procesu następuje identyfikacja użytkownika. Wobec tego, że czynności użytkownika są dokonywane w systemie teleinformatycznym, to projektowana definicja w sposób pełny i prawidłowy określa istotę uwierzytelnienia.</w:t>
      </w:r>
    </w:p>
    <w:p w14:paraId="667F0848" w14:textId="44D3F83A" w:rsidR="00C32C3B" w:rsidRPr="00AE0E37" w:rsidRDefault="00C32C3B" w:rsidP="00AE0E37">
      <w:pPr>
        <w:spacing w:after="0" w:line="240" w:lineRule="auto"/>
        <w:ind w:firstLine="698"/>
        <w:rPr>
          <w:rFonts w:ascii="Times New Roman" w:hAnsi="Times New Roman" w:cs="Times New Roman"/>
          <w:bCs/>
        </w:rPr>
      </w:pPr>
      <w:r w:rsidRPr="00AE0E37">
        <w:rPr>
          <w:rFonts w:ascii="Times New Roman" w:hAnsi="Times New Roman" w:cs="Times New Roman"/>
          <w:bCs/>
        </w:rPr>
        <w:t xml:space="preserve">Także podniesione przez </w:t>
      </w:r>
      <w:bookmarkStart w:id="2" w:name="_Hlk72308624"/>
      <w:r w:rsidRPr="00AE0E37">
        <w:rPr>
          <w:rFonts w:ascii="Times New Roman" w:hAnsi="Times New Roman" w:cs="Times New Roman"/>
        </w:rPr>
        <w:t>Oddział Informatyczny Centrum Kompetencji i Informatyzacji Sądownictwa w Sądzie Apelacyjnym we Wrocławiu</w:t>
      </w:r>
      <w:r w:rsidRPr="00AE0E37">
        <w:rPr>
          <w:rFonts w:ascii="Times New Roman" w:hAnsi="Times New Roman" w:cs="Times New Roman"/>
          <w:bCs/>
        </w:rPr>
        <w:t xml:space="preserve"> </w:t>
      </w:r>
      <w:bookmarkEnd w:id="2"/>
      <w:r w:rsidRPr="00AE0E37">
        <w:rPr>
          <w:rFonts w:ascii="Times New Roman" w:hAnsi="Times New Roman" w:cs="Times New Roman"/>
          <w:bCs/>
        </w:rPr>
        <w:t>wątpliwości, co do przyjętej koncepcji, że osoba fizyczna może mieć więcej niż jedno konto w systemie teleinformatycznym obsługującym dane post</w:t>
      </w:r>
      <w:r w:rsidR="00662F3B">
        <w:rPr>
          <w:rFonts w:ascii="Times New Roman" w:hAnsi="Times New Roman" w:cs="Times New Roman"/>
          <w:bCs/>
        </w:rPr>
        <w:t>ę</w:t>
      </w:r>
      <w:r w:rsidRPr="00AE0E37">
        <w:rPr>
          <w:rFonts w:ascii="Times New Roman" w:hAnsi="Times New Roman" w:cs="Times New Roman"/>
          <w:bCs/>
        </w:rPr>
        <w:t xml:space="preserve">powanie sądowe, nie uznano za zasadne. Celem bowiem proponowanej regulacji jest umożliwienie doręczenia korespondencji wnioskodawcy na konto inne niż konto, z którego wpłynęło pierwsze pismo w sprawie.  Prawo wskazania innego adresu do doręczeń nie budzi wątpliwości obecnie </w:t>
      </w:r>
      <w:r w:rsidRPr="00AE0E37">
        <w:rPr>
          <w:rFonts w:ascii="Times New Roman" w:hAnsi="Times New Roman" w:cs="Times New Roman"/>
          <w:bCs/>
        </w:rPr>
        <w:lastRenderedPageBreak/>
        <w:t>w postępowaniach tradycyjnych, prowadzonych „papierowo”. Powinno być ono uwzględnione również w postępowaniach prowadzonych za pośrednictwem systemu teleinformatycznego, także z uwagi na możliwe zmiany w tym zakresie związane przykładowo z ustanowieniem pełnomocnika w toku postępowania lub zmianę osób uprawnionych do reprezentacji wnioskodawcy.</w:t>
      </w:r>
    </w:p>
    <w:p w14:paraId="326DAE50" w14:textId="09B3176E" w:rsidR="00C32C3B" w:rsidRPr="00AE0E37" w:rsidRDefault="00C32C3B" w:rsidP="00AE0E37">
      <w:pPr>
        <w:spacing w:after="0" w:line="240" w:lineRule="auto"/>
        <w:ind w:firstLine="698"/>
        <w:rPr>
          <w:rFonts w:ascii="Times New Roman" w:hAnsi="Times New Roman" w:cs="Times New Roman"/>
          <w:bCs/>
        </w:rPr>
      </w:pPr>
      <w:r w:rsidRPr="00AE0E37">
        <w:rPr>
          <w:rFonts w:ascii="Times New Roman" w:hAnsi="Times New Roman" w:cs="Times New Roman"/>
          <w:bCs/>
        </w:rPr>
        <w:t xml:space="preserve">Odnosząc się zaś do uwagi </w:t>
      </w:r>
      <w:r w:rsidR="009475EA" w:rsidRPr="00AE0E37">
        <w:rPr>
          <w:rFonts w:ascii="Times New Roman" w:hAnsi="Times New Roman" w:cs="Times New Roman"/>
          <w:bCs/>
        </w:rPr>
        <w:t xml:space="preserve">tego podmiotu </w:t>
      </w:r>
      <w:r w:rsidRPr="00AE0E37">
        <w:rPr>
          <w:rFonts w:ascii="Times New Roman" w:hAnsi="Times New Roman" w:cs="Times New Roman"/>
          <w:bCs/>
        </w:rPr>
        <w:t xml:space="preserve">związanej ze zmianą brzmienia § 4 ust. 1 rozporządzenia, gdzie wskazuje się, że po odbiorze pisma, na koncie, na którym umieszczono pismo, prezentowana jest data odbioru, a nie umieszczane elektroniczne potwierdzenie odbioru </w:t>
      </w:r>
      <w:r w:rsidR="009475EA" w:rsidRPr="00AE0E37">
        <w:rPr>
          <w:rFonts w:ascii="Times New Roman" w:hAnsi="Times New Roman" w:cs="Times New Roman"/>
          <w:bCs/>
        </w:rPr>
        <w:t>wyjaśniono</w:t>
      </w:r>
      <w:r w:rsidRPr="00AE0E37">
        <w:rPr>
          <w:rFonts w:ascii="Times New Roman" w:hAnsi="Times New Roman" w:cs="Times New Roman"/>
          <w:bCs/>
        </w:rPr>
        <w:t>, że taka redakcja uwzględnia aktualną funkcjonalność sytemu teleinformatycznego. Z tych względów projektowane brzmienie przepisu nie wymaga modyfikacji.</w:t>
      </w:r>
    </w:p>
    <w:p w14:paraId="34C50C14" w14:textId="2BCBFC04" w:rsidR="00C32C3B" w:rsidRPr="00AE0E37" w:rsidRDefault="00C32C3B" w:rsidP="00AE0E37">
      <w:pPr>
        <w:spacing w:after="0" w:line="240" w:lineRule="auto"/>
        <w:ind w:firstLine="708"/>
        <w:rPr>
          <w:rFonts w:ascii="Times New Roman" w:hAnsi="Times New Roman" w:cs="Times New Roman"/>
          <w:bCs/>
        </w:rPr>
      </w:pPr>
      <w:r w:rsidRPr="00AE0E37">
        <w:rPr>
          <w:rFonts w:ascii="Times New Roman" w:hAnsi="Times New Roman" w:cs="Times New Roman"/>
          <w:bCs/>
        </w:rPr>
        <w:t>Na uwzględnienie nie zasług</w:t>
      </w:r>
      <w:r w:rsidR="009475EA" w:rsidRPr="00AE0E37">
        <w:rPr>
          <w:rFonts w:ascii="Times New Roman" w:hAnsi="Times New Roman" w:cs="Times New Roman"/>
          <w:bCs/>
        </w:rPr>
        <w:t>iwała</w:t>
      </w:r>
      <w:r w:rsidRPr="00AE0E37">
        <w:rPr>
          <w:rFonts w:ascii="Times New Roman" w:hAnsi="Times New Roman" w:cs="Times New Roman"/>
          <w:bCs/>
        </w:rPr>
        <w:t xml:space="preserve"> też uwaga </w:t>
      </w:r>
      <w:r w:rsidR="009475EA" w:rsidRPr="00AE0E37">
        <w:rPr>
          <w:rFonts w:ascii="Times New Roman" w:hAnsi="Times New Roman" w:cs="Times New Roman"/>
        </w:rPr>
        <w:t>Oddziału Informatycznego Centrum Kompetencji i Informatyzacji Sądownictwa w Sądzie Apelacyjnym we Wrocławiu</w:t>
      </w:r>
      <w:r w:rsidR="009475EA" w:rsidRPr="00AE0E37">
        <w:rPr>
          <w:rFonts w:ascii="Times New Roman" w:hAnsi="Times New Roman" w:cs="Times New Roman"/>
          <w:bCs/>
        </w:rPr>
        <w:t xml:space="preserve"> </w:t>
      </w:r>
      <w:r w:rsidRPr="00AE0E37">
        <w:rPr>
          <w:rFonts w:ascii="Times New Roman" w:hAnsi="Times New Roman" w:cs="Times New Roman"/>
          <w:bCs/>
        </w:rPr>
        <w:t>dotycząca zastąpieni</w:t>
      </w:r>
      <w:r w:rsidR="00662F3B">
        <w:rPr>
          <w:rFonts w:ascii="Times New Roman" w:hAnsi="Times New Roman" w:cs="Times New Roman"/>
          <w:bCs/>
        </w:rPr>
        <w:t>a</w:t>
      </w:r>
      <w:r w:rsidRPr="00AE0E37">
        <w:rPr>
          <w:rFonts w:ascii="Times New Roman" w:hAnsi="Times New Roman" w:cs="Times New Roman"/>
          <w:bCs/>
        </w:rPr>
        <w:t xml:space="preserve"> przez § 1 pkt 4 projektu terminu „poucza” wyrazem „informuje”. Termin „poucza” używany jest na gruncie przepisów ustawy </w:t>
      </w:r>
      <w:r w:rsidRPr="00AE0E37">
        <w:rPr>
          <w:rFonts w:ascii="Times New Roman" w:hAnsi="Times New Roman" w:cs="Times New Roman"/>
        </w:rPr>
        <w:t xml:space="preserve">z dnia 17 listopada 1964 r. – Kodeks postępowania cywilnego (Dz. U. z 2020 r. poz. 1575 z </w:t>
      </w:r>
      <w:proofErr w:type="spellStart"/>
      <w:r w:rsidRPr="00AE0E37">
        <w:rPr>
          <w:rFonts w:ascii="Times New Roman" w:hAnsi="Times New Roman" w:cs="Times New Roman"/>
        </w:rPr>
        <w:t>późn</w:t>
      </w:r>
      <w:proofErr w:type="spellEnd"/>
      <w:r w:rsidRPr="00AE0E37">
        <w:rPr>
          <w:rFonts w:ascii="Times New Roman" w:hAnsi="Times New Roman" w:cs="Times New Roman"/>
        </w:rPr>
        <w:t xml:space="preserve">. zm.) </w:t>
      </w:r>
      <w:r w:rsidRPr="00AE0E37">
        <w:rPr>
          <w:rFonts w:ascii="Times New Roman" w:hAnsi="Times New Roman" w:cs="Times New Roman"/>
          <w:bCs/>
        </w:rPr>
        <w:t>zasadniczo w odniesieniu do czynności sądu. Biorąc to pod uwagę oraz znacznie omawianego pojęcia zastąpienie go w projekcie wyrazem „informuje” dla określenia działania (funkcjonalności) systemu teleinformatycznego (a nie sądu) jest uzasadnione. Projekt – co podkreślono w uzasadnieniu – doprecyzowuje tą zmianą, że użytkownik konta przed uwierzytelnieniem nie otrzymuje faktycznie pouczenia w sensie procesowym, ale jest tylko informowany odpowiednim komunikatem o sposobie i skutkach dokonywania doręczeń elektronicznych.</w:t>
      </w:r>
    </w:p>
    <w:p w14:paraId="066D2D04" w14:textId="7B3EA1CA" w:rsidR="00C32C3B" w:rsidRPr="00AE0E37" w:rsidRDefault="00C32C3B" w:rsidP="00AE0E37">
      <w:pPr>
        <w:spacing w:after="0" w:line="240" w:lineRule="auto"/>
        <w:ind w:firstLine="708"/>
        <w:rPr>
          <w:rFonts w:ascii="Times New Roman" w:hAnsi="Times New Roman" w:cs="Times New Roman"/>
          <w:bCs/>
        </w:rPr>
      </w:pPr>
      <w:r w:rsidRPr="00AE0E37">
        <w:rPr>
          <w:rFonts w:ascii="Times New Roman" w:hAnsi="Times New Roman" w:cs="Times New Roman"/>
          <w:bCs/>
        </w:rPr>
        <w:t xml:space="preserve">Nie </w:t>
      </w:r>
      <w:r w:rsidR="009475EA" w:rsidRPr="00AE0E37">
        <w:rPr>
          <w:rFonts w:ascii="Times New Roman" w:hAnsi="Times New Roman" w:cs="Times New Roman"/>
          <w:bCs/>
        </w:rPr>
        <w:t>uznano także za</w:t>
      </w:r>
      <w:r w:rsidRPr="00AE0E37">
        <w:rPr>
          <w:rFonts w:ascii="Times New Roman" w:hAnsi="Times New Roman" w:cs="Times New Roman"/>
          <w:bCs/>
        </w:rPr>
        <w:t xml:space="preserve"> zasadn</w:t>
      </w:r>
      <w:r w:rsidR="009475EA" w:rsidRPr="00AE0E37">
        <w:rPr>
          <w:rFonts w:ascii="Times New Roman" w:hAnsi="Times New Roman" w:cs="Times New Roman"/>
          <w:bCs/>
        </w:rPr>
        <w:t xml:space="preserve">ą </w:t>
      </w:r>
      <w:r w:rsidRPr="00AE0E37">
        <w:rPr>
          <w:rFonts w:ascii="Times New Roman" w:hAnsi="Times New Roman" w:cs="Times New Roman"/>
          <w:bCs/>
        </w:rPr>
        <w:t>uwag</w:t>
      </w:r>
      <w:r w:rsidR="009475EA" w:rsidRPr="00AE0E37">
        <w:rPr>
          <w:rFonts w:ascii="Times New Roman" w:hAnsi="Times New Roman" w:cs="Times New Roman"/>
          <w:bCs/>
        </w:rPr>
        <w:t>ę</w:t>
      </w:r>
      <w:r w:rsidRPr="00AE0E37">
        <w:rPr>
          <w:rFonts w:ascii="Times New Roman" w:hAnsi="Times New Roman" w:cs="Times New Roman"/>
          <w:bCs/>
        </w:rPr>
        <w:t xml:space="preserve"> dotycząc</w:t>
      </w:r>
      <w:r w:rsidR="009475EA" w:rsidRPr="00AE0E37">
        <w:rPr>
          <w:rFonts w:ascii="Times New Roman" w:hAnsi="Times New Roman" w:cs="Times New Roman"/>
          <w:bCs/>
        </w:rPr>
        <w:t>ą</w:t>
      </w:r>
      <w:r w:rsidRPr="00AE0E37">
        <w:rPr>
          <w:rFonts w:ascii="Times New Roman" w:hAnsi="Times New Roman" w:cs="Times New Roman"/>
          <w:bCs/>
        </w:rPr>
        <w:t xml:space="preserve"> posłużenia się w § 1 pkt 5 projektu terminem „adresat”, a nie „użytkownik”. W tym zakresie </w:t>
      </w:r>
      <w:r w:rsidR="009475EA" w:rsidRPr="00AE0E37">
        <w:rPr>
          <w:rFonts w:ascii="Times New Roman" w:hAnsi="Times New Roman" w:cs="Times New Roman"/>
          <w:bCs/>
        </w:rPr>
        <w:t>wyjaśniono</w:t>
      </w:r>
      <w:r w:rsidRPr="00AE0E37">
        <w:rPr>
          <w:rFonts w:ascii="Times New Roman" w:hAnsi="Times New Roman" w:cs="Times New Roman"/>
          <w:bCs/>
        </w:rPr>
        <w:t>, że w postępowaniu rejestrowym adresatem pisma najczęściej nie będzie użytkownik konta, ale podmiot podlegający wpisowi do Krajowego Rejestru Sądowego. Podmiot ten może odebrać kierowaną do niego korespondencję za pośrednictwem konta osoby fizycznej (użytkownika konta), z którego wniósł pierwsze pismo w sprawie, chyba że w piśmie procesowym wskazał inne konto do doręczeń w systemie teleinformatycznym.</w:t>
      </w:r>
    </w:p>
    <w:p w14:paraId="3B6A54FC" w14:textId="77777777" w:rsidR="00C32C3B" w:rsidRPr="00AE0E37" w:rsidRDefault="00C32C3B" w:rsidP="00AE0E37">
      <w:pPr>
        <w:spacing w:after="0" w:line="240" w:lineRule="auto"/>
        <w:ind w:left="0" w:firstLine="0"/>
        <w:rPr>
          <w:rFonts w:ascii="Times New Roman" w:hAnsi="Times New Roman" w:cs="Times New Roman"/>
          <w:bCs/>
        </w:rPr>
      </w:pPr>
    </w:p>
    <w:p w14:paraId="0486EE49" w14:textId="0A55F38E" w:rsidR="005A1B46" w:rsidRPr="00AE0E37" w:rsidRDefault="00523C47" w:rsidP="00AE0E37">
      <w:pPr>
        <w:spacing w:after="0" w:line="240" w:lineRule="auto"/>
        <w:ind w:firstLine="698"/>
        <w:rPr>
          <w:rFonts w:ascii="Times New Roman" w:hAnsi="Times New Roman" w:cs="Times New Roman"/>
          <w:bCs/>
        </w:rPr>
      </w:pPr>
      <w:r w:rsidRPr="00AE0E37">
        <w:rPr>
          <w:rFonts w:ascii="Times New Roman" w:eastAsiaTheme="minorHAnsi" w:hAnsi="Times New Roman" w:cs="Times New Roman"/>
          <w:bCs/>
          <w:color w:val="auto"/>
          <w:lang w:eastAsia="en-US"/>
        </w:rPr>
        <w:t>Instytut na rzecz Kultury Prawnej Ordo Iuris</w:t>
      </w:r>
      <w:r w:rsidRPr="00AE0E37">
        <w:rPr>
          <w:rFonts w:ascii="Times New Roman" w:hAnsi="Times New Roman" w:cs="Times New Roman"/>
          <w:bCs/>
          <w:color w:val="auto"/>
        </w:rPr>
        <w:t xml:space="preserve"> zgłosił uwagi do </w:t>
      </w:r>
      <w:r w:rsidRPr="00AE0E37">
        <w:rPr>
          <w:rFonts w:ascii="Times New Roman" w:eastAsiaTheme="minorHAnsi" w:hAnsi="Times New Roman" w:cs="Times New Roman"/>
          <w:bCs/>
          <w:color w:val="auto"/>
          <w:lang w:eastAsia="en-US"/>
        </w:rPr>
        <w:t>§ 1 pkt 3  rozporządzenia wskazując, że zastosowanie fikcji doręczeń niewątpliwie przyspiesza postępowanie sądowe, jednak nie może ono odbywać się kosztem interesu obywateli. Z uwagi na to, że projekt jest wykonaniem upoważnienia zawartego w art. 131</w:t>
      </w:r>
      <w:r w:rsidRPr="00AE0E37">
        <w:rPr>
          <w:rFonts w:ascii="Times New Roman" w:eastAsiaTheme="minorHAnsi" w:hAnsi="Times New Roman" w:cs="Times New Roman"/>
          <w:bCs/>
          <w:color w:val="auto"/>
          <w:vertAlign w:val="superscript"/>
          <w:lang w:eastAsia="en-US"/>
        </w:rPr>
        <w:t>1</w:t>
      </w:r>
      <w:r w:rsidRPr="00AE0E37">
        <w:rPr>
          <w:rFonts w:ascii="Times New Roman" w:eastAsiaTheme="minorHAnsi" w:hAnsi="Times New Roman" w:cs="Times New Roman"/>
          <w:bCs/>
          <w:color w:val="auto"/>
          <w:lang w:eastAsia="en-US"/>
        </w:rPr>
        <w:t>§ 3 ustawy z dnia 17 listopada 1964 r. – Kodeks postępowania cywilnego</w:t>
      </w:r>
      <w:r w:rsidR="00662F3B">
        <w:rPr>
          <w:rFonts w:ascii="Times New Roman" w:eastAsiaTheme="minorHAnsi" w:hAnsi="Times New Roman" w:cs="Times New Roman"/>
          <w:bCs/>
          <w:color w:val="auto"/>
          <w:lang w:eastAsia="en-US"/>
        </w:rPr>
        <w:t>,</w:t>
      </w:r>
      <w:r w:rsidRPr="00AE0E37">
        <w:rPr>
          <w:rFonts w:ascii="Times New Roman" w:eastAsiaTheme="minorHAnsi" w:hAnsi="Times New Roman" w:cs="Times New Roman"/>
          <w:bCs/>
          <w:color w:val="auto"/>
          <w:lang w:eastAsia="en-US"/>
        </w:rPr>
        <w:t xml:space="preserve"> to zgodnie z treścią wskazanego przepisu, określając w drodze rozporządzenia tryb i sposób dokonywania doręczeń elektronicznych, winno się mieć na względzie zapewnienie skuteczności doręczeń oraz ochronę praw osób, którym pisma są doręczane. Zdaniem Opiniującego w projekcie pomi</w:t>
      </w:r>
      <w:r w:rsidR="00662F3B">
        <w:rPr>
          <w:rFonts w:ascii="Times New Roman" w:eastAsiaTheme="minorHAnsi" w:hAnsi="Times New Roman" w:cs="Times New Roman"/>
          <w:bCs/>
          <w:color w:val="auto"/>
          <w:lang w:eastAsia="en-US"/>
        </w:rPr>
        <w:t>ni</w:t>
      </w:r>
      <w:r w:rsidRPr="00AE0E37">
        <w:rPr>
          <w:rFonts w:ascii="Times New Roman" w:eastAsiaTheme="minorHAnsi" w:hAnsi="Times New Roman" w:cs="Times New Roman"/>
          <w:bCs/>
          <w:color w:val="auto"/>
          <w:lang w:eastAsia="en-US"/>
        </w:rPr>
        <w:t xml:space="preserve">ęto jednak istotną kwestię, wpływającą na skuteczność doręczenia oraz ochronę praw adresata pisma, jaką jest ponowne powiadomienie po pierwszych 7 dniach o pozostawieniu na koncie pisma. Projektodawca odnosząc się do zgłoszonego zastrzeżenia wskazał, że </w:t>
      </w:r>
      <w:r w:rsidRPr="00AE0E37">
        <w:rPr>
          <w:rFonts w:ascii="Times New Roman" w:hAnsi="Times New Roman" w:cs="Times New Roman"/>
          <w:bCs/>
        </w:rPr>
        <w:t xml:space="preserve">za punkt wyjścia analizy zgłoszonej uwagi należy przyjąć ustalenia dotyczące wykonawczego charakteru rozporządzeń dokonane w szczególności w wyrokach Trybunału Konstytucyjnego z dnia 26 października 1999 r., K 12/99 i z dnia 9 listopada 1999 r., </w:t>
      </w:r>
      <w:r w:rsidRPr="00AE0E37">
        <w:rPr>
          <w:rFonts w:ascii="Times New Roman" w:hAnsi="Times New Roman" w:cs="Times New Roman"/>
          <w:bCs/>
          <w:lang w:val="de-DE"/>
        </w:rPr>
        <w:t xml:space="preserve">K 28/98. </w:t>
      </w:r>
      <w:r w:rsidRPr="00AE0E37">
        <w:rPr>
          <w:rFonts w:ascii="Times New Roman" w:hAnsi="Times New Roman" w:cs="Times New Roman"/>
          <w:bCs/>
        </w:rPr>
        <w:t xml:space="preserve">Trybunał wskazuje w tych orzeczeniach jakie wymagania muszą spełniać rozporządzenia zgodnie z art. 92 ust. 1 Konstytucji RP. Przepis ten dopuszcza stanowienie rozporządzeń tylko na podstawie „szczegółowego upoważnienia zawartego w ustawie </w:t>
      </w:r>
      <w:r w:rsidR="00662F3B">
        <w:rPr>
          <w:rFonts w:ascii="Times New Roman" w:hAnsi="Times New Roman" w:cs="Times New Roman"/>
          <w:bCs/>
        </w:rPr>
        <w:br/>
      </w:r>
      <w:r w:rsidRPr="00AE0E37">
        <w:rPr>
          <w:rFonts w:ascii="Times New Roman" w:hAnsi="Times New Roman" w:cs="Times New Roman"/>
          <w:bCs/>
        </w:rPr>
        <w:t xml:space="preserve">i w celu jej wykonania”. W wyroku z dnia 12 lipca 2007 r., U 7/06 Trybunał Konstytucyjny wskazał, iż rozporządzenie nie może uzupełniać ustawy, rozbudowywać przesłanek zrealizowania jakiejś normy prawnej określonej w ustawie lub takich elementów procedury, które nie odpowiadają jej ustawowym założeniom. W wyroku Trybunału Konstytucyjnego, o sygn. akt U 7/06, Trybunał wskazał ponadto, </w:t>
      </w:r>
      <w:r w:rsidR="00662F3B">
        <w:rPr>
          <w:rFonts w:ascii="Times New Roman" w:hAnsi="Times New Roman" w:cs="Times New Roman"/>
          <w:bCs/>
        </w:rPr>
        <w:br/>
      </w:r>
      <w:r w:rsidRPr="00AE0E37">
        <w:rPr>
          <w:rFonts w:ascii="Times New Roman" w:hAnsi="Times New Roman" w:cs="Times New Roman"/>
          <w:bCs/>
        </w:rPr>
        <w:t>iż racjonalność czy celowość wydania danej regulacji nie może usprawiedliwiać działania organu wydającego rozporządzenie, który wykracza poza upoważnienie i neguje wykonawczy charakter tego aktu. Projektowane rozporządzenie jest wydawane na podstawie art. 131</w:t>
      </w:r>
      <w:r w:rsidRPr="00AE0E37">
        <w:rPr>
          <w:rStyle w:val="IGindeksgrny"/>
          <w:rFonts w:ascii="Times New Roman" w:hAnsi="Times New Roman" w:cs="Times New Roman"/>
          <w:bCs/>
        </w:rPr>
        <w:t>1</w:t>
      </w:r>
      <w:r w:rsidRPr="00AE0E37">
        <w:rPr>
          <w:rFonts w:ascii="Times New Roman" w:hAnsi="Times New Roman" w:cs="Times New Roman"/>
          <w:bCs/>
        </w:rPr>
        <w:t xml:space="preserve"> § 3 k.p.c.  Przepisy art. 131</w:t>
      </w:r>
      <w:r w:rsidRPr="00AE0E37">
        <w:rPr>
          <w:rStyle w:val="IGindeksgrny"/>
          <w:rFonts w:ascii="Times New Roman" w:hAnsi="Times New Roman" w:cs="Times New Roman"/>
          <w:bCs/>
        </w:rPr>
        <w:t>1</w:t>
      </w:r>
      <w:r w:rsidRPr="00AE0E37">
        <w:rPr>
          <w:rFonts w:ascii="Times New Roman" w:hAnsi="Times New Roman" w:cs="Times New Roman"/>
          <w:bCs/>
        </w:rPr>
        <w:t xml:space="preserve">  k.p.c. nie przewidują, aby w</w:t>
      </w:r>
      <w:r w:rsidRPr="00AE0E37">
        <w:rPr>
          <w:rFonts w:ascii="Times New Roman" w:eastAsiaTheme="minorHAnsi" w:hAnsi="Times New Roman" w:cs="Times New Roman"/>
          <w:bCs/>
          <w:color w:val="auto"/>
          <w:lang w:eastAsia="en-US"/>
        </w:rPr>
        <w:t xml:space="preserve"> przypadku nieodebrania pisma w formie dokumentu elektronicznego sąd, po upływie siedmiu dni, licząc od dnia wysłania zawiadomienia, przesyłał  powtórne zawiadomienie </w:t>
      </w:r>
      <w:r w:rsidR="00662F3B">
        <w:rPr>
          <w:rFonts w:ascii="Times New Roman" w:eastAsiaTheme="minorHAnsi" w:hAnsi="Times New Roman" w:cs="Times New Roman"/>
          <w:bCs/>
          <w:color w:val="auto"/>
          <w:lang w:eastAsia="en-US"/>
        </w:rPr>
        <w:br/>
      </w:r>
      <w:r w:rsidRPr="00AE0E37">
        <w:rPr>
          <w:rFonts w:ascii="Times New Roman" w:eastAsiaTheme="minorHAnsi" w:hAnsi="Times New Roman" w:cs="Times New Roman"/>
          <w:bCs/>
          <w:color w:val="auto"/>
          <w:lang w:eastAsia="en-US"/>
        </w:rPr>
        <w:t>o możliwości odebrania tego pisma.</w:t>
      </w:r>
    </w:p>
    <w:p w14:paraId="013CEF12" w14:textId="26D18DC7" w:rsidR="00E2736D" w:rsidRPr="00AE0E37" w:rsidRDefault="00E2736D" w:rsidP="00AE0E37">
      <w:pPr>
        <w:spacing w:after="0" w:line="240" w:lineRule="auto"/>
        <w:ind w:left="-5" w:right="0" w:firstLine="1"/>
        <w:rPr>
          <w:rFonts w:ascii="Times New Roman" w:hAnsi="Times New Roman" w:cs="Times New Roman"/>
          <w:bCs/>
          <w:color w:val="auto"/>
        </w:rPr>
      </w:pPr>
      <w:r w:rsidRPr="00AE0E37">
        <w:rPr>
          <w:rFonts w:ascii="Times New Roman" w:hAnsi="Times New Roman" w:cs="Times New Roman"/>
          <w:bCs/>
        </w:rPr>
        <w:t xml:space="preserve"> </w:t>
      </w:r>
    </w:p>
    <w:p w14:paraId="19AC423C" w14:textId="77777777" w:rsidR="00E2736D" w:rsidRPr="00AE0E37" w:rsidRDefault="00E2736D" w:rsidP="00AE0E37">
      <w:pPr>
        <w:spacing w:after="0" w:line="240" w:lineRule="auto"/>
        <w:ind w:right="-14" w:firstLine="698"/>
        <w:rPr>
          <w:rFonts w:ascii="Times New Roman" w:eastAsia="Times New Roman" w:hAnsi="Times New Roman" w:cs="Times New Roman"/>
          <w:bCs/>
          <w:color w:val="auto"/>
        </w:rPr>
      </w:pPr>
    </w:p>
    <w:p w14:paraId="3DF63111" w14:textId="6F28C5AC" w:rsidR="00E2736D" w:rsidRPr="00CC2186" w:rsidRDefault="00E2736D" w:rsidP="00CC2186">
      <w:pPr>
        <w:spacing w:after="0" w:line="240" w:lineRule="auto"/>
        <w:ind w:right="-14" w:firstLine="698"/>
        <w:rPr>
          <w:rFonts w:ascii="Times New Roman" w:eastAsia="Times New Roman" w:hAnsi="Times New Roman" w:cs="Times New Roman"/>
          <w:bCs/>
          <w:color w:val="auto"/>
        </w:rPr>
      </w:pPr>
      <w:r w:rsidRPr="00AE0E37">
        <w:rPr>
          <w:rFonts w:ascii="Times New Roman" w:hAnsi="Times New Roman" w:cs="Times New Roman"/>
          <w:bCs/>
        </w:rPr>
        <w:t>Nie wpłynęło zgłoszenie od podmiotów zainteresowanych pracami nad przedmiotowym projektem zgodnie z ustawą o działalności lobbingowej w procesie stanowienia praw</w:t>
      </w:r>
      <w:r w:rsidR="00CC2186">
        <w:rPr>
          <w:rFonts w:ascii="Times New Roman" w:hAnsi="Times New Roman" w:cs="Times New Roman"/>
          <w:bCs/>
        </w:rPr>
        <w:t>.</w:t>
      </w:r>
    </w:p>
    <w:sectPr w:rsidR="00E2736D" w:rsidRPr="00CC21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B1"/>
    <w:rsid w:val="00005722"/>
    <w:rsid w:val="00030AE8"/>
    <w:rsid w:val="00037107"/>
    <w:rsid w:val="00044636"/>
    <w:rsid w:val="00047C1A"/>
    <w:rsid w:val="00085DD9"/>
    <w:rsid w:val="000910B0"/>
    <w:rsid w:val="00095600"/>
    <w:rsid w:val="00095A3E"/>
    <w:rsid w:val="00097E0F"/>
    <w:rsid w:val="000A503E"/>
    <w:rsid w:val="000A61BF"/>
    <w:rsid w:val="000A7593"/>
    <w:rsid w:val="000B108F"/>
    <w:rsid w:val="000D79D5"/>
    <w:rsid w:val="000E3A37"/>
    <w:rsid w:val="000E4B79"/>
    <w:rsid w:val="000F25FD"/>
    <w:rsid w:val="00107A7D"/>
    <w:rsid w:val="00112EAC"/>
    <w:rsid w:val="00121434"/>
    <w:rsid w:val="0012609E"/>
    <w:rsid w:val="00131997"/>
    <w:rsid w:val="0013340C"/>
    <w:rsid w:val="001544EB"/>
    <w:rsid w:val="00191CE2"/>
    <w:rsid w:val="001A4D64"/>
    <w:rsid w:val="001B0B11"/>
    <w:rsid w:val="001C0B35"/>
    <w:rsid w:val="001C63FB"/>
    <w:rsid w:val="001D017C"/>
    <w:rsid w:val="001D4781"/>
    <w:rsid w:val="001D4F85"/>
    <w:rsid w:val="001F2152"/>
    <w:rsid w:val="001F3C22"/>
    <w:rsid w:val="001F6AD0"/>
    <w:rsid w:val="0020724D"/>
    <w:rsid w:val="00232155"/>
    <w:rsid w:val="00235336"/>
    <w:rsid w:val="002401AF"/>
    <w:rsid w:val="00246287"/>
    <w:rsid w:val="00246CD4"/>
    <w:rsid w:val="00251566"/>
    <w:rsid w:val="002518E6"/>
    <w:rsid w:val="0027035C"/>
    <w:rsid w:val="00274118"/>
    <w:rsid w:val="00281113"/>
    <w:rsid w:val="00281B1A"/>
    <w:rsid w:val="002842EF"/>
    <w:rsid w:val="00292387"/>
    <w:rsid w:val="00297445"/>
    <w:rsid w:val="002A7ADA"/>
    <w:rsid w:val="002C0823"/>
    <w:rsid w:val="002C47D3"/>
    <w:rsid w:val="002D0FB0"/>
    <w:rsid w:val="002D15C5"/>
    <w:rsid w:val="002E5508"/>
    <w:rsid w:val="002E6647"/>
    <w:rsid w:val="00310AFB"/>
    <w:rsid w:val="0032790F"/>
    <w:rsid w:val="00353086"/>
    <w:rsid w:val="00355F5B"/>
    <w:rsid w:val="0036293B"/>
    <w:rsid w:val="00370007"/>
    <w:rsid w:val="0038061A"/>
    <w:rsid w:val="003B4776"/>
    <w:rsid w:val="003D7619"/>
    <w:rsid w:val="003E1B0F"/>
    <w:rsid w:val="003F6522"/>
    <w:rsid w:val="0045391F"/>
    <w:rsid w:val="00454357"/>
    <w:rsid w:val="004A1DB4"/>
    <w:rsid w:val="004A1ED5"/>
    <w:rsid w:val="004A2B00"/>
    <w:rsid w:val="004A5580"/>
    <w:rsid w:val="004A67CB"/>
    <w:rsid w:val="004B4624"/>
    <w:rsid w:val="004B6D0A"/>
    <w:rsid w:val="004C7C5B"/>
    <w:rsid w:val="004D2A85"/>
    <w:rsid w:val="004E386A"/>
    <w:rsid w:val="004E38D9"/>
    <w:rsid w:val="004E40C8"/>
    <w:rsid w:val="004E5678"/>
    <w:rsid w:val="004F1F91"/>
    <w:rsid w:val="004F4F8F"/>
    <w:rsid w:val="00502299"/>
    <w:rsid w:val="00512978"/>
    <w:rsid w:val="00514C58"/>
    <w:rsid w:val="00516F7E"/>
    <w:rsid w:val="00517795"/>
    <w:rsid w:val="005238BA"/>
    <w:rsid w:val="00523C47"/>
    <w:rsid w:val="0053603A"/>
    <w:rsid w:val="005473D6"/>
    <w:rsid w:val="00547E84"/>
    <w:rsid w:val="005535B0"/>
    <w:rsid w:val="00564B3A"/>
    <w:rsid w:val="00566BAE"/>
    <w:rsid w:val="005703E2"/>
    <w:rsid w:val="0057352D"/>
    <w:rsid w:val="00592BDB"/>
    <w:rsid w:val="005A1B46"/>
    <w:rsid w:val="005A7653"/>
    <w:rsid w:val="005C00D3"/>
    <w:rsid w:val="005D0B7C"/>
    <w:rsid w:val="005D1C56"/>
    <w:rsid w:val="005D32FE"/>
    <w:rsid w:val="005D5679"/>
    <w:rsid w:val="005F2B17"/>
    <w:rsid w:val="005F33F4"/>
    <w:rsid w:val="005F4796"/>
    <w:rsid w:val="005F5642"/>
    <w:rsid w:val="00601A70"/>
    <w:rsid w:val="006100C1"/>
    <w:rsid w:val="006137D1"/>
    <w:rsid w:val="00616056"/>
    <w:rsid w:val="00627B1E"/>
    <w:rsid w:val="00631853"/>
    <w:rsid w:val="006554BF"/>
    <w:rsid w:val="00656954"/>
    <w:rsid w:val="00662F3B"/>
    <w:rsid w:val="00670740"/>
    <w:rsid w:val="00677C47"/>
    <w:rsid w:val="0069684F"/>
    <w:rsid w:val="006B2F0B"/>
    <w:rsid w:val="006C28B8"/>
    <w:rsid w:val="006D4831"/>
    <w:rsid w:val="006D7EAB"/>
    <w:rsid w:val="006E14E3"/>
    <w:rsid w:val="006E56B6"/>
    <w:rsid w:val="006F0AFD"/>
    <w:rsid w:val="00704CC5"/>
    <w:rsid w:val="0071283C"/>
    <w:rsid w:val="0071501E"/>
    <w:rsid w:val="00715DA3"/>
    <w:rsid w:val="00720232"/>
    <w:rsid w:val="00752653"/>
    <w:rsid w:val="007535E8"/>
    <w:rsid w:val="00770DC7"/>
    <w:rsid w:val="00782FCA"/>
    <w:rsid w:val="007852B7"/>
    <w:rsid w:val="007927DB"/>
    <w:rsid w:val="007928B2"/>
    <w:rsid w:val="00794D70"/>
    <w:rsid w:val="007B41D3"/>
    <w:rsid w:val="007C3687"/>
    <w:rsid w:val="007C7ADB"/>
    <w:rsid w:val="007D0BE9"/>
    <w:rsid w:val="007E22BA"/>
    <w:rsid w:val="007F5243"/>
    <w:rsid w:val="00803DB1"/>
    <w:rsid w:val="008115DB"/>
    <w:rsid w:val="008224F5"/>
    <w:rsid w:val="008228D0"/>
    <w:rsid w:val="008228D1"/>
    <w:rsid w:val="008274CD"/>
    <w:rsid w:val="00834D84"/>
    <w:rsid w:val="008363D7"/>
    <w:rsid w:val="008370ED"/>
    <w:rsid w:val="0084729E"/>
    <w:rsid w:val="008478E5"/>
    <w:rsid w:val="00870EF5"/>
    <w:rsid w:val="00874888"/>
    <w:rsid w:val="00875D9E"/>
    <w:rsid w:val="008819BF"/>
    <w:rsid w:val="00885D21"/>
    <w:rsid w:val="008A170B"/>
    <w:rsid w:val="008A298A"/>
    <w:rsid w:val="008A3BAE"/>
    <w:rsid w:val="008A3E78"/>
    <w:rsid w:val="008A50F3"/>
    <w:rsid w:val="008B5819"/>
    <w:rsid w:val="008B58D2"/>
    <w:rsid w:val="008C3809"/>
    <w:rsid w:val="008C52E6"/>
    <w:rsid w:val="008D3F0C"/>
    <w:rsid w:val="008F0472"/>
    <w:rsid w:val="0090381A"/>
    <w:rsid w:val="00905868"/>
    <w:rsid w:val="009118FF"/>
    <w:rsid w:val="00914540"/>
    <w:rsid w:val="009245F9"/>
    <w:rsid w:val="00932FEF"/>
    <w:rsid w:val="00946335"/>
    <w:rsid w:val="009475EA"/>
    <w:rsid w:val="0097050E"/>
    <w:rsid w:val="009733FA"/>
    <w:rsid w:val="009801CD"/>
    <w:rsid w:val="00993789"/>
    <w:rsid w:val="00993A61"/>
    <w:rsid w:val="009971DA"/>
    <w:rsid w:val="009A5849"/>
    <w:rsid w:val="009B469A"/>
    <w:rsid w:val="009C24A9"/>
    <w:rsid w:val="009D3CFA"/>
    <w:rsid w:val="009D4416"/>
    <w:rsid w:val="00A01C3A"/>
    <w:rsid w:val="00A01E83"/>
    <w:rsid w:val="00A02ABF"/>
    <w:rsid w:val="00A07BB7"/>
    <w:rsid w:val="00A27E2E"/>
    <w:rsid w:val="00A36E6F"/>
    <w:rsid w:val="00A46C2E"/>
    <w:rsid w:val="00A52BFD"/>
    <w:rsid w:val="00A54315"/>
    <w:rsid w:val="00A5535A"/>
    <w:rsid w:val="00A62A51"/>
    <w:rsid w:val="00A66F06"/>
    <w:rsid w:val="00A73077"/>
    <w:rsid w:val="00A964E7"/>
    <w:rsid w:val="00AA58E1"/>
    <w:rsid w:val="00AB1617"/>
    <w:rsid w:val="00AC726F"/>
    <w:rsid w:val="00AC73B3"/>
    <w:rsid w:val="00AE0E37"/>
    <w:rsid w:val="00AF006D"/>
    <w:rsid w:val="00B04A1E"/>
    <w:rsid w:val="00B04CB4"/>
    <w:rsid w:val="00B14DEB"/>
    <w:rsid w:val="00B1671E"/>
    <w:rsid w:val="00B2748F"/>
    <w:rsid w:val="00B408DD"/>
    <w:rsid w:val="00B50911"/>
    <w:rsid w:val="00B55696"/>
    <w:rsid w:val="00B609CB"/>
    <w:rsid w:val="00B85989"/>
    <w:rsid w:val="00B876AA"/>
    <w:rsid w:val="00B94116"/>
    <w:rsid w:val="00BB7C67"/>
    <w:rsid w:val="00BC1121"/>
    <w:rsid w:val="00BC6AAC"/>
    <w:rsid w:val="00BD76E8"/>
    <w:rsid w:val="00BE00BD"/>
    <w:rsid w:val="00C03405"/>
    <w:rsid w:val="00C036A9"/>
    <w:rsid w:val="00C074F0"/>
    <w:rsid w:val="00C13D14"/>
    <w:rsid w:val="00C169B0"/>
    <w:rsid w:val="00C1715C"/>
    <w:rsid w:val="00C26A3A"/>
    <w:rsid w:val="00C32C3B"/>
    <w:rsid w:val="00C34B51"/>
    <w:rsid w:val="00C507E0"/>
    <w:rsid w:val="00C6191B"/>
    <w:rsid w:val="00C629AF"/>
    <w:rsid w:val="00C7753E"/>
    <w:rsid w:val="00C91D9F"/>
    <w:rsid w:val="00CA5DBE"/>
    <w:rsid w:val="00CA7BD4"/>
    <w:rsid w:val="00CB13C2"/>
    <w:rsid w:val="00CB3319"/>
    <w:rsid w:val="00CC2186"/>
    <w:rsid w:val="00CC4A72"/>
    <w:rsid w:val="00D120B9"/>
    <w:rsid w:val="00D150B1"/>
    <w:rsid w:val="00D26753"/>
    <w:rsid w:val="00D32E44"/>
    <w:rsid w:val="00D5177A"/>
    <w:rsid w:val="00D707BC"/>
    <w:rsid w:val="00D85F2A"/>
    <w:rsid w:val="00D95BAB"/>
    <w:rsid w:val="00DB1CB0"/>
    <w:rsid w:val="00DC5EB5"/>
    <w:rsid w:val="00DE2D47"/>
    <w:rsid w:val="00DE3323"/>
    <w:rsid w:val="00DF621D"/>
    <w:rsid w:val="00E1345F"/>
    <w:rsid w:val="00E14D90"/>
    <w:rsid w:val="00E225B0"/>
    <w:rsid w:val="00E2278E"/>
    <w:rsid w:val="00E23144"/>
    <w:rsid w:val="00E26903"/>
    <w:rsid w:val="00E2736D"/>
    <w:rsid w:val="00E3026F"/>
    <w:rsid w:val="00E31A10"/>
    <w:rsid w:val="00E53F70"/>
    <w:rsid w:val="00E552FC"/>
    <w:rsid w:val="00E65164"/>
    <w:rsid w:val="00E75888"/>
    <w:rsid w:val="00EA71E4"/>
    <w:rsid w:val="00EB7877"/>
    <w:rsid w:val="00EC0F64"/>
    <w:rsid w:val="00EC57B8"/>
    <w:rsid w:val="00EC6F96"/>
    <w:rsid w:val="00EE4697"/>
    <w:rsid w:val="00EF63E5"/>
    <w:rsid w:val="00EF6626"/>
    <w:rsid w:val="00F0673A"/>
    <w:rsid w:val="00F30194"/>
    <w:rsid w:val="00F545F9"/>
    <w:rsid w:val="00F66830"/>
    <w:rsid w:val="00F76FF9"/>
    <w:rsid w:val="00FA1C61"/>
    <w:rsid w:val="00FA4970"/>
    <w:rsid w:val="00FA62F1"/>
    <w:rsid w:val="00FA6864"/>
    <w:rsid w:val="00FC0054"/>
    <w:rsid w:val="00FD7842"/>
    <w:rsid w:val="00FE7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5A34"/>
  <w15:chartTrackingRefBased/>
  <w15:docId w15:val="{1478A24A-F960-4B61-9F03-169F05088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2736D"/>
    <w:pPr>
      <w:spacing w:after="159" w:line="256" w:lineRule="auto"/>
      <w:ind w:left="10" w:right="34" w:hanging="10"/>
      <w:jc w:val="both"/>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A1B46"/>
    <w:pPr>
      <w:autoSpaceDE w:val="0"/>
      <w:autoSpaceDN w:val="0"/>
      <w:adjustRightInd w:val="0"/>
      <w:spacing w:after="0" w:line="240" w:lineRule="auto"/>
    </w:pPr>
    <w:rPr>
      <w:rFonts w:ascii="Garamond" w:hAnsi="Garamond" w:cs="Garamond"/>
      <w:color w:val="000000"/>
      <w:sz w:val="24"/>
      <w:szCs w:val="24"/>
    </w:rPr>
  </w:style>
  <w:style w:type="character" w:customStyle="1" w:styleId="IGindeksgrny">
    <w:name w:val="_IG_ – indeks górny"/>
    <w:basedOn w:val="Domylnaczcionkaakapitu"/>
    <w:uiPriority w:val="2"/>
    <w:qFormat/>
    <w:rsid w:val="00523C47"/>
    <w:rPr>
      <w:b w:val="0"/>
      <w:i w:val="0"/>
      <w:vanish w:val="0"/>
      <w:spacing w:val="0"/>
      <w:vertAlign w:val="superscript"/>
    </w:rPr>
  </w:style>
  <w:style w:type="paragraph" w:customStyle="1" w:styleId="ARTartustawynprozporzdzenia">
    <w:name w:val="ART(§) – art. ustawy (§ np. rozporządzenia)"/>
    <w:uiPriority w:val="11"/>
    <w:qFormat/>
    <w:rsid w:val="009475E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Tekstdymka">
    <w:name w:val="Balloon Text"/>
    <w:basedOn w:val="Normalny"/>
    <w:link w:val="TekstdymkaZnak"/>
    <w:uiPriority w:val="99"/>
    <w:semiHidden/>
    <w:unhideWhenUsed/>
    <w:rsid w:val="00AE0E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0E37"/>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20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1260</Words>
  <Characters>7560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Olkowicz Agnieszka  (DLPC)</dc:creator>
  <cp:keywords/>
  <dc:description/>
  <cp:lastModifiedBy>Flisikowski Rafał  (DLPC)</cp:lastModifiedBy>
  <cp:revision>2</cp:revision>
  <dcterms:created xsi:type="dcterms:W3CDTF">2021-05-27T13:06:00Z</dcterms:created>
  <dcterms:modified xsi:type="dcterms:W3CDTF">2021-05-27T13:06:00Z</dcterms:modified>
</cp:coreProperties>
</file>