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CF" w:rsidRPr="002275AD" w:rsidRDefault="00EA0192" w:rsidP="003E02CF">
      <w:pPr>
        <w:spacing w:after="160" w:line="256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2275AD">
        <w:rPr>
          <w:rFonts w:asciiTheme="minorHAnsi" w:eastAsiaTheme="minorHAnsi" w:hAnsiTheme="minorHAnsi" w:cstheme="minorBidi"/>
          <w:lang w:eastAsia="en-US"/>
        </w:rPr>
        <w:t xml:space="preserve">Warszawa, </w:t>
      </w:r>
      <w:r w:rsidR="00FA464F">
        <w:rPr>
          <w:rFonts w:asciiTheme="minorHAnsi" w:eastAsiaTheme="minorHAnsi" w:hAnsiTheme="minorHAnsi" w:cstheme="minorBidi"/>
          <w:lang w:eastAsia="en-US"/>
        </w:rPr>
        <w:t>5</w:t>
      </w:r>
      <w:r w:rsidRPr="002275AD">
        <w:rPr>
          <w:rFonts w:asciiTheme="minorHAnsi" w:eastAsiaTheme="minorHAnsi" w:hAnsiTheme="minorHAnsi" w:cstheme="minorBidi"/>
          <w:lang w:eastAsia="en-US"/>
        </w:rPr>
        <w:t xml:space="preserve"> lutego</w:t>
      </w:r>
      <w:r w:rsidR="003E02CF" w:rsidRPr="002275AD">
        <w:rPr>
          <w:rFonts w:asciiTheme="minorHAnsi" w:eastAsiaTheme="minorHAnsi" w:hAnsiTheme="minorHAnsi" w:cstheme="minorBidi"/>
          <w:lang w:eastAsia="en-US"/>
        </w:rPr>
        <w:t xml:space="preserve"> 2019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3E02CF" w:rsidRPr="003E02CF" w:rsidTr="0010041D">
        <w:tc>
          <w:tcPr>
            <w:tcW w:w="4606" w:type="dxa"/>
            <w:hideMark/>
          </w:tcPr>
          <w:p w:rsidR="003E02CF" w:rsidRPr="003E02CF" w:rsidRDefault="003E02CF" w:rsidP="003E02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E02CF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3C7EEB21" wp14:editId="6C0F1612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2CF" w:rsidRPr="003E02CF" w:rsidRDefault="003E02CF" w:rsidP="003E02CF">
            <w:pPr>
              <w:keepNext/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3E02CF">
              <w:rPr>
                <w:rFonts w:asciiTheme="minorHAnsi" w:hAnsiTheme="minorHAnsi" w:cstheme="minorHAnsi"/>
                <w:b/>
              </w:rPr>
              <w:t>WOJEWODA MAZOWIECKI</w:t>
            </w:r>
          </w:p>
        </w:tc>
      </w:tr>
    </w:tbl>
    <w:p w:rsidR="003E02CF" w:rsidRPr="003E02CF" w:rsidRDefault="003E02CF" w:rsidP="003E02CF">
      <w:r w:rsidRPr="003E02CF">
        <w:t xml:space="preserve">       </w:t>
      </w:r>
    </w:p>
    <w:p w:rsidR="003E02CF" w:rsidRPr="003E02CF" w:rsidRDefault="003E02CF" w:rsidP="003E02CF">
      <w:pPr>
        <w:rPr>
          <w:rFonts w:asciiTheme="minorHAnsi" w:hAnsiTheme="minorHAnsi" w:cstheme="minorHAnsi"/>
        </w:rPr>
      </w:pPr>
      <w:r w:rsidRPr="003E02CF">
        <w:rPr>
          <w:rFonts w:asciiTheme="minorHAnsi" w:hAnsiTheme="minorHAnsi" w:cstheme="minorHAnsi"/>
        </w:rPr>
        <w:t xml:space="preserve"> </w:t>
      </w:r>
      <w:r w:rsidR="00E77575">
        <w:rPr>
          <w:rFonts w:asciiTheme="minorHAnsi" w:hAnsiTheme="minorHAnsi" w:cstheme="minorHAnsi"/>
        </w:rPr>
        <w:t xml:space="preserve">                  </w:t>
      </w:r>
      <w:r w:rsidR="001C5417">
        <w:rPr>
          <w:rFonts w:asciiTheme="minorHAnsi" w:hAnsiTheme="minorHAnsi" w:cstheme="minorHAnsi"/>
        </w:rPr>
        <w:t>WNP-R.4131.</w:t>
      </w:r>
      <w:r w:rsidR="009E1E52">
        <w:rPr>
          <w:rFonts w:asciiTheme="minorHAnsi" w:hAnsiTheme="minorHAnsi" w:cstheme="minorHAnsi"/>
        </w:rPr>
        <w:t>8</w:t>
      </w:r>
      <w:r w:rsidRPr="003E02CF">
        <w:rPr>
          <w:rFonts w:asciiTheme="minorHAnsi" w:hAnsiTheme="minorHAnsi" w:cstheme="minorHAnsi"/>
        </w:rPr>
        <w:t xml:space="preserve">.2019.MN </w:t>
      </w:r>
    </w:p>
    <w:p w:rsidR="003E02CF" w:rsidRPr="003E02CF" w:rsidRDefault="003E02CF" w:rsidP="003E02CF">
      <w:pPr>
        <w:rPr>
          <w:rFonts w:asciiTheme="minorHAnsi" w:hAnsiTheme="minorHAnsi" w:cstheme="minorHAnsi"/>
        </w:rPr>
      </w:pPr>
    </w:p>
    <w:p w:rsidR="003E02CF" w:rsidRDefault="003E02CF" w:rsidP="003E02CF">
      <w:pPr>
        <w:jc w:val="center"/>
        <w:rPr>
          <w:b/>
        </w:rPr>
      </w:pPr>
    </w:p>
    <w:p w:rsidR="003E02CF" w:rsidRDefault="003E02CF" w:rsidP="003E02CF">
      <w:pPr>
        <w:jc w:val="center"/>
        <w:rPr>
          <w:b/>
        </w:rPr>
      </w:pPr>
    </w:p>
    <w:p w:rsidR="001225F2" w:rsidRPr="001225F2" w:rsidRDefault="003E02CF" w:rsidP="001225F2">
      <w:pPr>
        <w:pStyle w:val="Nagwek3"/>
        <w:spacing w:line="360" w:lineRule="auto"/>
        <w:ind w:left="4248" w:firstLine="708"/>
        <w:rPr>
          <w:rFonts w:asciiTheme="minorHAnsi" w:hAnsiTheme="minorHAnsi" w:cstheme="minorHAnsi"/>
          <w:sz w:val="28"/>
          <w:szCs w:val="28"/>
        </w:rPr>
      </w:pPr>
      <w:r w:rsidRPr="001225F2">
        <w:rPr>
          <w:rFonts w:asciiTheme="minorHAnsi" w:hAnsiTheme="minorHAnsi" w:cstheme="minorHAnsi"/>
          <w:sz w:val="28"/>
          <w:szCs w:val="28"/>
        </w:rPr>
        <w:t>Rada Powiatu</w:t>
      </w:r>
      <w:r w:rsidR="001225F2" w:rsidRPr="001225F2">
        <w:rPr>
          <w:rFonts w:asciiTheme="minorHAnsi" w:hAnsiTheme="minorHAnsi" w:cstheme="minorHAnsi"/>
          <w:sz w:val="28"/>
          <w:szCs w:val="28"/>
        </w:rPr>
        <w:t xml:space="preserve"> </w:t>
      </w:r>
      <w:r w:rsidRPr="001225F2">
        <w:rPr>
          <w:rFonts w:asciiTheme="minorHAnsi" w:hAnsiTheme="minorHAnsi" w:cstheme="minorHAnsi"/>
          <w:sz w:val="28"/>
          <w:szCs w:val="28"/>
        </w:rPr>
        <w:t>Białobrze</w:t>
      </w:r>
      <w:r w:rsidR="001225F2" w:rsidRPr="001225F2">
        <w:rPr>
          <w:rFonts w:asciiTheme="minorHAnsi" w:hAnsiTheme="minorHAnsi" w:cstheme="minorHAnsi"/>
          <w:sz w:val="28"/>
          <w:szCs w:val="28"/>
        </w:rPr>
        <w:t>skiego</w:t>
      </w:r>
    </w:p>
    <w:p w:rsidR="003E02CF" w:rsidRPr="001225F2" w:rsidRDefault="003E02CF" w:rsidP="001225F2">
      <w:pPr>
        <w:pStyle w:val="Nagwek3"/>
        <w:spacing w:line="360" w:lineRule="auto"/>
        <w:ind w:left="4248" w:firstLine="708"/>
        <w:rPr>
          <w:rFonts w:asciiTheme="minorHAnsi" w:hAnsiTheme="minorHAnsi" w:cstheme="minorHAnsi"/>
          <w:b w:val="0"/>
          <w:sz w:val="28"/>
          <w:szCs w:val="28"/>
        </w:rPr>
      </w:pPr>
      <w:r w:rsidRPr="001225F2">
        <w:rPr>
          <w:rFonts w:asciiTheme="minorHAnsi" w:hAnsiTheme="minorHAnsi" w:cstheme="minorHAnsi"/>
          <w:sz w:val="28"/>
          <w:szCs w:val="28"/>
        </w:rPr>
        <w:t>Pl.</w:t>
      </w:r>
      <w:r w:rsidR="00006FDC" w:rsidRPr="001225F2">
        <w:rPr>
          <w:rFonts w:asciiTheme="minorHAnsi" w:hAnsiTheme="minorHAnsi" w:cstheme="minorHAnsi"/>
          <w:sz w:val="28"/>
          <w:szCs w:val="28"/>
        </w:rPr>
        <w:t xml:space="preserve"> </w:t>
      </w:r>
      <w:r w:rsidRPr="001225F2">
        <w:rPr>
          <w:rFonts w:asciiTheme="minorHAnsi" w:hAnsiTheme="minorHAnsi" w:cstheme="minorHAnsi"/>
          <w:sz w:val="28"/>
          <w:szCs w:val="28"/>
        </w:rPr>
        <w:t>Zygmunta Starego 9</w:t>
      </w:r>
    </w:p>
    <w:p w:rsidR="003E02CF" w:rsidRPr="001225F2" w:rsidRDefault="001225F2" w:rsidP="001225F2">
      <w:pPr>
        <w:spacing w:line="360" w:lineRule="auto"/>
        <w:ind w:left="4248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</w:t>
      </w:r>
      <w:r w:rsidR="003E02CF" w:rsidRPr="001225F2">
        <w:rPr>
          <w:rFonts w:asciiTheme="minorHAnsi" w:hAnsiTheme="minorHAnsi" w:cstheme="minorHAnsi"/>
          <w:b/>
          <w:sz w:val="28"/>
          <w:szCs w:val="28"/>
        </w:rPr>
        <w:t>6-800 Białobrzegi</w:t>
      </w:r>
    </w:p>
    <w:p w:rsidR="003E02CF" w:rsidRDefault="003E02CF" w:rsidP="003E02CF">
      <w:pPr>
        <w:spacing w:line="360" w:lineRule="auto"/>
        <w:rPr>
          <w:rFonts w:asciiTheme="minorHAnsi" w:hAnsiTheme="minorHAnsi" w:cstheme="minorHAnsi"/>
          <w:b/>
          <w:i/>
        </w:rPr>
      </w:pPr>
    </w:p>
    <w:p w:rsidR="00E77575" w:rsidRPr="00006FDC" w:rsidRDefault="00E77575" w:rsidP="003E02CF">
      <w:pPr>
        <w:spacing w:line="360" w:lineRule="auto"/>
        <w:rPr>
          <w:rFonts w:asciiTheme="minorHAnsi" w:hAnsiTheme="minorHAnsi" w:cstheme="minorHAnsi"/>
          <w:b/>
          <w:i/>
        </w:rPr>
      </w:pPr>
    </w:p>
    <w:p w:rsidR="003E02CF" w:rsidRPr="00006FDC" w:rsidRDefault="001225F2" w:rsidP="001225F2">
      <w:pPr>
        <w:pStyle w:val="Nagwek2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Rozstrzygnięcie nadzorcze</w:t>
      </w:r>
    </w:p>
    <w:p w:rsidR="00006FDC" w:rsidRPr="00020488" w:rsidRDefault="001225F2" w:rsidP="000204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3E02CF" w:rsidRPr="00020488">
        <w:rPr>
          <w:rFonts w:asciiTheme="minorHAnsi" w:hAnsiTheme="minorHAnsi" w:cstheme="minorHAnsi"/>
        </w:rPr>
        <w:t>a podstawie art. 76 ust.</w:t>
      </w:r>
      <w:r>
        <w:rPr>
          <w:rFonts w:asciiTheme="minorHAnsi" w:hAnsiTheme="minorHAnsi" w:cstheme="minorHAnsi"/>
        </w:rPr>
        <w:t xml:space="preserve"> </w:t>
      </w:r>
      <w:r w:rsidR="003E02CF" w:rsidRPr="00020488">
        <w:rPr>
          <w:rFonts w:asciiTheme="minorHAnsi" w:hAnsiTheme="minorHAnsi" w:cstheme="minorHAnsi"/>
        </w:rPr>
        <w:t>1 i art. 79 ust. 1 ustawy z dnia 5 czerwca 1998 r. o samorządzie powiatowym (Dz.</w:t>
      </w:r>
      <w:r w:rsidR="00E77575">
        <w:rPr>
          <w:rFonts w:asciiTheme="minorHAnsi" w:hAnsiTheme="minorHAnsi" w:cstheme="minorHAnsi"/>
        </w:rPr>
        <w:t xml:space="preserve"> </w:t>
      </w:r>
      <w:r w:rsidR="003E02CF" w:rsidRPr="00020488">
        <w:rPr>
          <w:rFonts w:asciiTheme="minorHAnsi" w:hAnsiTheme="minorHAnsi" w:cstheme="minorHAnsi"/>
        </w:rPr>
        <w:t>U. z 20</w:t>
      </w:r>
      <w:r w:rsidR="00006FDC" w:rsidRPr="00020488">
        <w:rPr>
          <w:rFonts w:asciiTheme="minorHAnsi" w:hAnsiTheme="minorHAnsi" w:cstheme="minorHAnsi"/>
        </w:rPr>
        <w:t>18 r</w:t>
      </w:r>
      <w:r>
        <w:rPr>
          <w:rFonts w:asciiTheme="minorHAnsi" w:hAnsiTheme="minorHAnsi" w:cstheme="minorHAnsi"/>
        </w:rPr>
        <w:t>.</w:t>
      </w:r>
      <w:r w:rsidR="003E02CF" w:rsidRPr="00020488">
        <w:rPr>
          <w:rFonts w:asciiTheme="minorHAnsi" w:hAnsiTheme="minorHAnsi" w:cstheme="minorHAnsi"/>
        </w:rPr>
        <w:t xml:space="preserve"> poz. </w:t>
      </w:r>
      <w:r w:rsidR="00006FDC" w:rsidRPr="00020488">
        <w:rPr>
          <w:rFonts w:asciiTheme="minorHAnsi" w:hAnsiTheme="minorHAnsi" w:cstheme="minorHAnsi"/>
        </w:rPr>
        <w:t>995)</w:t>
      </w:r>
    </w:p>
    <w:p w:rsidR="003E02CF" w:rsidRPr="00020488" w:rsidRDefault="003E02CF" w:rsidP="00020488">
      <w:pPr>
        <w:jc w:val="both"/>
        <w:rPr>
          <w:rFonts w:asciiTheme="minorHAnsi" w:hAnsiTheme="minorHAnsi" w:cstheme="minorHAnsi"/>
        </w:rPr>
      </w:pPr>
    </w:p>
    <w:p w:rsidR="003E02CF" w:rsidRPr="00020488" w:rsidRDefault="00006FDC" w:rsidP="00FA464F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20488">
        <w:rPr>
          <w:rFonts w:asciiTheme="minorHAnsi" w:hAnsiTheme="minorHAnsi" w:cstheme="minorHAnsi"/>
          <w:b/>
        </w:rPr>
        <w:t>stwierdzam nieważność</w:t>
      </w:r>
      <w:r w:rsidR="003E02CF" w:rsidRPr="00020488">
        <w:rPr>
          <w:rFonts w:asciiTheme="minorHAnsi" w:hAnsiTheme="minorHAnsi" w:cstheme="minorHAnsi"/>
          <w:b/>
        </w:rPr>
        <w:t>:</w:t>
      </w:r>
    </w:p>
    <w:p w:rsidR="003E02CF" w:rsidRPr="00020488" w:rsidRDefault="00006FDC" w:rsidP="00FA464F">
      <w:pPr>
        <w:spacing w:before="120" w:after="120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>uchwały</w:t>
      </w:r>
      <w:r w:rsidR="003E02CF" w:rsidRPr="00020488">
        <w:rPr>
          <w:rFonts w:asciiTheme="minorHAnsi" w:hAnsiTheme="minorHAnsi" w:cstheme="minorHAnsi"/>
        </w:rPr>
        <w:t xml:space="preserve"> Rady Powiatu Bi</w:t>
      </w:r>
      <w:r w:rsidRPr="00020488">
        <w:rPr>
          <w:rFonts w:asciiTheme="minorHAnsi" w:hAnsiTheme="minorHAnsi" w:cstheme="minorHAnsi"/>
        </w:rPr>
        <w:t>ałobrzeskiego z dnia 28 grudnia 2018 r</w:t>
      </w:r>
      <w:r w:rsidR="00E77575">
        <w:rPr>
          <w:rFonts w:asciiTheme="minorHAnsi" w:hAnsiTheme="minorHAnsi" w:cstheme="minorHAnsi"/>
        </w:rPr>
        <w:t>.</w:t>
      </w:r>
      <w:r w:rsidRPr="00020488">
        <w:rPr>
          <w:rFonts w:asciiTheme="minorHAnsi" w:hAnsiTheme="minorHAnsi" w:cstheme="minorHAnsi"/>
        </w:rPr>
        <w:t xml:space="preserve"> Nr III/28/2018</w:t>
      </w:r>
      <w:r w:rsidR="003E02CF" w:rsidRPr="00020488">
        <w:rPr>
          <w:rFonts w:asciiTheme="minorHAnsi" w:hAnsiTheme="minorHAnsi" w:cstheme="minorHAnsi"/>
        </w:rPr>
        <w:t xml:space="preserve">  w sprawie ustalenia rozkładu godzin pracy aptek ogólnodostępnych na terenie Powiatu Białobrzeskiego</w:t>
      </w:r>
      <w:r w:rsidRPr="00020488">
        <w:rPr>
          <w:rFonts w:asciiTheme="minorHAnsi" w:hAnsiTheme="minorHAnsi" w:cstheme="minorHAnsi"/>
        </w:rPr>
        <w:t xml:space="preserve"> na rok 2019.</w:t>
      </w:r>
    </w:p>
    <w:p w:rsidR="003E02CF" w:rsidRPr="00020488" w:rsidRDefault="003E02CF" w:rsidP="00FA464F">
      <w:pPr>
        <w:spacing w:before="120" w:after="120"/>
        <w:jc w:val="center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>Uzasadnienie</w:t>
      </w:r>
    </w:p>
    <w:p w:rsidR="00E03CA6" w:rsidRPr="00020488" w:rsidRDefault="00E03CA6" w:rsidP="00FA464F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>Dnia 28 grudnia 2018</w:t>
      </w:r>
      <w:r w:rsidR="003E02CF" w:rsidRPr="00020488">
        <w:rPr>
          <w:rFonts w:asciiTheme="minorHAnsi" w:hAnsiTheme="minorHAnsi" w:cstheme="minorHAnsi"/>
        </w:rPr>
        <w:t xml:space="preserve"> r</w:t>
      </w:r>
      <w:r w:rsidR="001225F2">
        <w:rPr>
          <w:rFonts w:asciiTheme="minorHAnsi" w:hAnsiTheme="minorHAnsi" w:cstheme="minorHAnsi"/>
        </w:rPr>
        <w:t>.</w:t>
      </w:r>
      <w:r w:rsidR="003E02CF" w:rsidRPr="00020488">
        <w:rPr>
          <w:rFonts w:asciiTheme="minorHAnsi" w:hAnsiTheme="minorHAnsi" w:cstheme="minorHAnsi"/>
        </w:rPr>
        <w:t xml:space="preserve"> Rada Powiatu Biało</w:t>
      </w:r>
      <w:r w:rsidRPr="00020488">
        <w:rPr>
          <w:rFonts w:asciiTheme="minorHAnsi" w:hAnsiTheme="minorHAnsi" w:cstheme="minorHAnsi"/>
        </w:rPr>
        <w:t>brzeskiego podjęła</w:t>
      </w:r>
      <w:r w:rsidR="003E02CF" w:rsidRPr="00020488">
        <w:rPr>
          <w:rFonts w:asciiTheme="minorHAnsi" w:hAnsiTheme="minorHAnsi" w:cstheme="minorHAnsi"/>
        </w:rPr>
        <w:t xml:space="preserve"> uchwałę</w:t>
      </w:r>
      <w:r w:rsidRPr="00020488">
        <w:rPr>
          <w:rFonts w:asciiTheme="minorHAnsi" w:hAnsiTheme="minorHAnsi" w:cstheme="minorHAnsi"/>
        </w:rPr>
        <w:t xml:space="preserve"> Nr III/28/2018 w sprawie ustalenia rozkładu godzin pracy aptek ogólnodostępnych na terenie Powiatu Białobrzeskiego </w:t>
      </w:r>
      <w:r w:rsidR="00FA464F">
        <w:rPr>
          <w:rFonts w:asciiTheme="minorHAnsi" w:hAnsiTheme="minorHAnsi" w:cstheme="minorHAnsi"/>
        </w:rPr>
        <w:br/>
      </w:r>
      <w:r w:rsidRPr="00020488">
        <w:rPr>
          <w:rFonts w:asciiTheme="minorHAnsi" w:hAnsiTheme="minorHAnsi" w:cstheme="minorHAnsi"/>
        </w:rPr>
        <w:t>na rok 2019.</w:t>
      </w:r>
    </w:p>
    <w:p w:rsidR="003E02CF" w:rsidRPr="00020488" w:rsidRDefault="003E02CF" w:rsidP="00FA464F">
      <w:pPr>
        <w:spacing w:before="120" w:after="120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>Jako podstawę prawną podjętej uchwały wskazano art. 12 pkt</w:t>
      </w:r>
      <w:r w:rsidR="001225F2">
        <w:rPr>
          <w:rFonts w:asciiTheme="minorHAnsi" w:hAnsiTheme="minorHAnsi" w:cstheme="minorHAnsi"/>
        </w:rPr>
        <w:t xml:space="preserve"> </w:t>
      </w:r>
      <w:r w:rsidRPr="00020488">
        <w:rPr>
          <w:rFonts w:asciiTheme="minorHAnsi" w:hAnsiTheme="minorHAnsi" w:cstheme="minorHAnsi"/>
        </w:rPr>
        <w:t>11 ustawy o samorządzie powiatowym oraz art. 94 ust.</w:t>
      </w:r>
      <w:r w:rsidR="001225F2">
        <w:rPr>
          <w:rFonts w:asciiTheme="minorHAnsi" w:hAnsiTheme="minorHAnsi" w:cstheme="minorHAnsi"/>
        </w:rPr>
        <w:t xml:space="preserve"> </w:t>
      </w:r>
      <w:r w:rsidRPr="00020488">
        <w:rPr>
          <w:rFonts w:asciiTheme="minorHAnsi" w:hAnsiTheme="minorHAnsi" w:cstheme="minorHAnsi"/>
        </w:rPr>
        <w:t>1 i 2 ustawy z dnia 6 września  2001 r</w:t>
      </w:r>
      <w:r w:rsidR="001225F2">
        <w:rPr>
          <w:rFonts w:asciiTheme="minorHAnsi" w:hAnsiTheme="minorHAnsi" w:cstheme="minorHAnsi"/>
        </w:rPr>
        <w:t>. P</w:t>
      </w:r>
      <w:r w:rsidRPr="00020488">
        <w:rPr>
          <w:rFonts w:asciiTheme="minorHAnsi" w:hAnsiTheme="minorHAnsi" w:cstheme="minorHAnsi"/>
        </w:rPr>
        <w:t>rawo f</w:t>
      </w:r>
      <w:r w:rsidR="001225F2">
        <w:rPr>
          <w:rFonts w:asciiTheme="minorHAnsi" w:hAnsiTheme="minorHAnsi" w:cstheme="minorHAnsi"/>
        </w:rPr>
        <w:t>armaceutyczne</w:t>
      </w:r>
      <w:r w:rsidR="00E03CA6" w:rsidRPr="00020488">
        <w:rPr>
          <w:rFonts w:asciiTheme="minorHAnsi" w:hAnsiTheme="minorHAnsi" w:cstheme="minorHAnsi"/>
        </w:rPr>
        <w:t xml:space="preserve"> </w:t>
      </w:r>
      <w:r w:rsidR="001225F2">
        <w:rPr>
          <w:rFonts w:asciiTheme="minorHAnsi" w:hAnsiTheme="minorHAnsi" w:cstheme="minorHAnsi"/>
        </w:rPr>
        <w:t>(</w:t>
      </w:r>
      <w:r w:rsidR="00E03CA6" w:rsidRPr="00020488">
        <w:rPr>
          <w:rFonts w:asciiTheme="minorHAnsi" w:hAnsiTheme="minorHAnsi" w:cstheme="minorHAnsi"/>
        </w:rPr>
        <w:t>Dz.</w:t>
      </w:r>
      <w:r w:rsidR="00E77575">
        <w:rPr>
          <w:rFonts w:asciiTheme="minorHAnsi" w:hAnsiTheme="minorHAnsi" w:cstheme="minorHAnsi"/>
        </w:rPr>
        <w:t xml:space="preserve"> </w:t>
      </w:r>
      <w:r w:rsidR="00E03CA6" w:rsidRPr="00020488">
        <w:rPr>
          <w:rFonts w:asciiTheme="minorHAnsi" w:hAnsiTheme="minorHAnsi" w:cstheme="minorHAnsi"/>
        </w:rPr>
        <w:t>U</w:t>
      </w:r>
      <w:r w:rsidR="001225F2">
        <w:rPr>
          <w:rFonts w:asciiTheme="minorHAnsi" w:hAnsiTheme="minorHAnsi" w:cstheme="minorHAnsi"/>
        </w:rPr>
        <w:t>.</w:t>
      </w:r>
      <w:r w:rsidR="00E03CA6" w:rsidRPr="00020488">
        <w:rPr>
          <w:rFonts w:asciiTheme="minorHAnsi" w:hAnsiTheme="minorHAnsi" w:cstheme="minorHAnsi"/>
        </w:rPr>
        <w:t xml:space="preserve"> z 2017 r</w:t>
      </w:r>
      <w:r w:rsidR="001225F2">
        <w:rPr>
          <w:rFonts w:asciiTheme="minorHAnsi" w:hAnsiTheme="minorHAnsi" w:cstheme="minorHAnsi"/>
        </w:rPr>
        <w:t>.</w:t>
      </w:r>
      <w:r w:rsidR="00E03CA6" w:rsidRPr="00020488">
        <w:rPr>
          <w:rFonts w:asciiTheme="minorHAnsi" w:hAnsiTheme="minorHAnsi" w:cstheme="minorHAnsi"/>
        </w:rPr>
        <w:t xml:space="preserve"> </w:t>
      </w:r>
      <w:r w:rsidR="000F5017">
        <w:rPr>
          <w:rFonts w:asciiTheme="minorHAnsi" w:hAnsiTheme="minorHAnsi" w:cstheme="minorHAnsi"/>
        </w:rPr>
        <w:br/>
      </w:r>
      <w:r w:rsidR="00E03CA6" w:rsidRPr="00020488">
        <w:rPr>
          <w:rFonts w:asciiTheme="minorHAnsi" w:hAnsiTheme="minorHAnsi" w:cstheme="minorHAnsi"/>
        </w:rPr>
        <w:t>poz.</w:t>
      </w:r>
      <w:r w:rsidR="001225F2">
        <w:rPr>
          <w:rFonts w:asciiTheme="minorHAnsi" w:hAnsiTheme="minorHAnsi" w:cstheme="minorHAnsi"/>
        </w:rPr>
        <w:t xml:space="preserve"> </w:t>
      </w:r>
      <w:r w:rsidR="00E03CA6" w:rsidRPr="00020488">
        <w:rPr>
          <w:rFonts w:asciiTheme="minorHAnsi" w:hAnsiTheme="minorHAnsi" w:cstheme="minorHAnsi"/>
        </w:rPr>
        <w:t>2211</w:t>
      </w:r>
      <w:r w:rsidR="00E77575">
        <w:rPr>
          <w:rFonts w:asciiTheme="minorHAnsi" w:hAnsiTheme="minorHAnsi" w:cstheme="minorHAnsi"/>
        </w:rPr>
        <w:t>,</w:t>
      </w:r>
      <w:r w:rsidR="00E03CA6" w:rsidRPr="00020488">
        <w:rPr>
          <w:rFonts w:asciiTheme="minorHAnsi" w:hAnsiTheme="minorHAnsi" w:cstheme="minorHAnsi"/>
        </w:rPr>
        <w:t xml:space="preserve"> z </w:t>
      </w:r>
      <w:proofErr w:type="spellStart"/>
      <w:r w:rsidR="00E03CA6" w:rsidRPr="00020488">
        <w:rPr>
          <w:rFonts w:asciiTheme="minorHAnsi" w:hAnsiTheme="minorHAnsi" w:cstheme="minorHAnsi"/>
        </w:rPr>
        <w:t>pó</w:t>
      </w:r>
      <w:r w:rsidR="001225F2">
        <w:rPr>
          <w:rFonts w:asciiTheme="minorHAnsi" w:hAnsiTheme="minorHAnsi" w:cstheme="minorHAnsi"/>
        </w:rPr>
        <w:t>ź</w:t>
      </w:r>
      <w:r w:rsidR="00E03CA6" w:rsidRPr="00020488">
        <w:rPr>
          <w:rFonts w:asciiTheme="minorHAnsi" w:hAnsiTheme="minorHAnsi" w:cstheme="minorHAnsi"/>
        </w:rPr>
        <w:t>n</w:t>
      </w:r>
      <w:proofErr w:type="spellEnd"/>
      <w:r w:rsidR="00E03CA6" w:rsidRPr="00020488">
        <w:rPr>
          <w:rFonts w:asciiTheme="minorHAnsi" w:hAnsiTheme="minorHAnsi" w:cstheme="minorHAnsi"/>
        </w:rPr>
        <w:t>.</w:t>
      </w:r>
      <w:r w:rsidRPr="00020488">
        <w:rPr>
          <w:rFonts w:asciiTheme="minorHAnsi" w:hAnsiTheme="minorHAnsi" w:cstheme="minorHAnsi"/>
        </w:rPr>
        <w:t xml:space="preserve"> zm</w:t>
      </w:r>
      <w:r w:rsidR="00E77575">
        <w:rPr>
          <w:rFonts w:asciiTheme="minorHAnsi" w:hAnsiTheme="minorHAnsi" w:cstheme="minorHAnsi"/>
        </w:rPr>
        <w:t>.</w:t>
      </w:r>
      <w:r w:rsidRPr="00020488">
        <w:rPr>
          <w:rFonts w:asciiTheme="minorHAnsi" w:hAnsiTheme="minorHAnsi" w:cstheme="minorHAnsi"/>
        </w:rPr>
        <w:t>).</w:t>
      </w:r>
    </w:p>
    <w:p w:rsidR="003E02CF" w:rsidRPr="00020488" w:rsidRDefault="003E02CF" w:rsidP="00FA464F">
      <w:pPr>
        <w:spacing w:before="120" w:after="120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 xml:space="preserve">W załącznikach Nr 1 i 2 </w:t>
      </w:r>
      <w:r w:rsidR="001225F2">
        <w:rPr>
          <w:rFonts w:asciiTheme="minorHAnsi" w:hAnsiTheme="minorHAnsi" w:cstheme="minorHAnsi"/>
        </w:rPr>
        <w:t xml:space="preserve">do uchwały </w:t>
      </w:r>
      <w:r w:rsidRPr="00020488">
        <w:rPr>
          <w:rFonts w:asciiTheme="minorHAnsi" w:hAnsiTheme="minorHAnsi" w:cstheme="minorHAnsi"/>
        </w:rPr>
        <w:t>ustalono rozkład pracy aptek, w tym w załączniku Nr 2 wskazano rozkład pracy aptek od poniedziałku do niedzieli cyklicznie</w:t>
      </w:r>
      <w:r w:rsidR="00E77575">
        <w:rPr>
          <w:rFonts w:asciiTheme="minorHAnsi" w:hAnsiTheme="minorHAnsi" w:cstheme="minorHAnsi"/>
        </w:rPr>
        <w:t xml:space="preserve"> w godz.</w:t>
      </w:r>
      <w:r w:rsidR="001225F2">
        <w:rPr>
          <w:rFonts w:asciiTheme="minorHAnsi" w:hAnsiTheme="minorHAnsi" w:cstheme="minorHAnsi"/>
        </w:rPr>
        <w:t xml:space="preserve"> </w:t>
      </w:r>
      <w:r w:rsidR="001607BD" w:rsidRPr="00020488">
        <w:rPr>
          <w:rFonts w:asciiTheme="minorHAnsi" w:hAnsiTheme="minorHAnsi" w:cstheme="minorHAnsi"/>
        </w:rPr>
        <w:t>8</w:t>
      </w:r>
      <w:r w:rsidR="00E77575" w:rsidRPr="00E77575">
        <w:rPr>
          <w:rFonts w:asciiTheme="minorHAnsi" w:hAnsiTheme="minorHAnsi" w:cstheme="minorHAnsi"/>
          <w:vertAlign w:val="superscript"/>
        </w:rPr>
        <w:t>00</w:t>
      </w:r>
      <w:r w:rsidR="001607BD" w:rsidRPr="00020488">
        <w:rPr>
          <w:rFonts w:asciiTheme="minorHAnsi" w:hAnsiTheme="minorHAnsi" w:cstheme="minorHAnsi"/>
        </w:rPr>
        <w:t xml:space="preserve"> </w:t>
      </w:r>
      <w:r w:rsidR="00D02BB0" w:rsidRPr="00020488">
        <w:rPr>
          <w:rFonts w:asciiTheme="minorHAnsi" w:hAnsiTheme="minorHAnsi" w:cstheme="minorHAnsi"/>
        </w:rPr>
        <w:t>do 23</w:t>
      </w:r>
      <w:r w:rsidR="00E77575" w:rsidRPr="00E77575">
        <w:rPr>
          <w:rFonts w:asciiTheme="minorHAnsi" w:hAnsiTheme="minorHAnsi" w:cstheme="minorHAnsi"/>
          <w:vertAlign w:val="superscript"/>
        </w:rPr>
        <w:t>00</w:t>
      </w:r>
      <w:r w:rsidR="00D02BB0" w:rsidRPr="00020488">
        <w:rPr>
          <w:rFonts w:asciiTheme="minorHAnsi" w:hAnsiTheme="minorHAnsi" w:cstheme="minorHAnsi"/>
        </w:rPr>
        <w:t>. J</w:t>
      </w:r>
      <w:r w:rsidR="001607BD" w:rsidRPr="00020488">
        <w:rPr>
          <w:rFonts w:asciiTheme="minorHAnsi" w:hAnsiTheme="minorHAnsi" w:cstheme="minorHAnsi"/>
        </w:rPr>
        <w:t xml:space="preserve">ak wynika </w:t>
      </w:r>
      <w:r w:rsidR="00FA464F">
        <w:rPr>
          <w:rFonts w:asciiTheme="minorHAnsi" w:hAnsiTheme="minorHAnsi" w:cstheme="minorHAnsi"/>
        </w:rPr>
        <w:br/>
      </w:r>
      <w:r w:rsidR="001607BD" w:rsidRPr="00020488">
        <w:rPr>
          <w:rFonts w:asciiTheme="minorHAnsi" w:hAnsiTheme="minorHAnsi" w:cstheme="minorHAnsi"/>
        </w:rPr>
        <w:t>z powyższego</w:t>
      </w:r>
      <w:r w:rsidR="001225F2">
        <w:rPr>
          <w:rFonts w:asciiTheme="minorHAnsi" w:hAnsiTheme="minorHAnsi" w:cstheme="minorHAnsi"/>
        </w:rPr>
        <w:t>,</w:t>
      </w:r>
      <w:r w:rsidR="001607BD" w:rsidRPr="00020488">
        <w:rPr>
          <w:rFonts w:asciiTheme="minorHAnsi" w:hAnsiTheme="minorHAnsi" w:cstheme="minorHAnsi"/>
        </w:rPr>
        <w:t xml:space="preserve"> uchwała nie przewiduje pracy aptek całodobowo, a jedynie w godzinach od 8</w:t>
      </w:r>
      <w:r w:rsidR="00E77575" w:rsidRPr="00E77575">
        <w:rPr>
          <w:rFonts w:asciiTheme="minorHAnsi" w:hAnsiTheme="minorHAnsi" w:cstheme="minorHAnsi"/>
          <w:vertAlign w:val="superscript"/>
        </w:rPr>
        <w:t>00</w:t>
      </w:r>
      <w:r w:rsidR="001607BD" w:rsidRPr="00020488">
        <w:rPr>
          <w:rFonts w:asciiTheme="minorHAnsi" w:hAnsiTheme="minorHAnsi" w:cstheme="minorHAnsi"/>
        </w:rPr>
        <w:t xml:space="preserve"> do 23</w:t>
      </w:r>
      <w:r w:rsidR="00E77575" w:rsidRPr="00E77575">
        <w:rPr>
          <w:rFonts w:asciiTheme="minorHAnsi" w:hAnsiTheme="minorHAnsi" w:cstheme="minorHAnsi"/>
          <w:vertAlign w:val="superscript"/>
        </w:rPr>
        <w:t>00</w:t>
      </w:r>
      <w:r w:rsidR="001607BD" w:rsidRPr="00020488">
        <w:rPr>
          <w:rFonts w:asciiTheme="minorHAnsi" w:hAnsiTheme="minorHAnsi" w:cstheme="minorHAnsi"/>
        </w:rPr>
        <w:t>.</w:t>
      </w:r>
      <w:r w:rsidR="00D02BB0" w:rsidRPr="00020488">
        <w:rPr>
          <w:rFonts w:asciiTheme="minorHAnsi" w:hAnsiTheme="minorHAnsi" w:cstheme="minorHAnsi"/>
        </w:rPr>
        <w:t xml:space="preserve"> Taka regulacja jest sprzeczna z </w:t>
      </w:r>
      <w:r w:rsidRPr="00020488">
        <w:rPr>
          <w:rFonts w:asciiTheme="minorHAnsi" w:hAnsiTheme="minorHAnsi" w:cstheme="minorHAnsi"/>
        </w:rPr>
        <w:t>art. 94 ust.</w:t>
      </w:r>
      <w:r w:rsidR="001225F2">
        <w:rPr>
          <w:rFonts w:asciiTheme="minorHAnsi" w:hAnsiTheme="minorHAnsi" w:cstheme="minorHAnsi"/>
        </w:rPr>
        <w:t xml:space="preserve"> </w:t>
      </w:r>
      <w:r w:rsidRPr="00020488">
        <w:rPr>
          <w:rFonts w:asciiTheme="minorHAnsi" w:hAnsiTheme="minorHAnsi" w:cstheme="minorHAnsi"/>
        </w:rPr>
        <w:t xml:space="preserve">1 i 2 </w:t>
      </w:r>
      <w:r w:rsidR="001225F2">
        <w:rPr>
          <w:rFonts w:asciiTheme="minorHAnsi" w:hAnsiTheme="minorHAnsi" w:cstheme="minorHAnsi"/>
        </w:rPr>
        <w:t>P</w:t>
      </w:r>
      <w:r w:rsidRPr="00020488">
        <w:rPr>
          <w:rFonts w:asciiTheme="minorHAnsi" w:hAnsiTheme="minorHAnsi" w:cstheme="minorHAnsi"/>
        </w:rPr>
        <w:t>rawa farmaceutycznego</w:t>
      </w:r>
      <w:r w:rsidR="00D02BB0" w:rsidRPr="00020488">
        <w:rPr>
          <w:rFonts w:asciiTheme="minorHAnsi" w:hAnsiTheme="minorHAnsi" w:cstheme="minorHAnsi"/>
        </w:rPr>
        <w:t>, z któr</w:t>
      </w:r>
      <w:r w:rsidR="001225F2">
        <w:rPr>
          <w:rFonts w:asciiTheme="minorHAnsi" w:hAnsiTheme="minorHAnsi" w:cstheme="minorHAnsi"/>
        </w:rPr>
        <w:t>ych</w:t>
      </w:r>
      <w:r w:rsidR="00D02BB0" w:rsidRPr="00020488">
        <w:rPr>
          <w:rFonts w:asciiTheme="minorHAnsi" w:hAnsiTheme="minorHAnsi" w:cstheme="minorHAnsi"/>
        </w:rPr>
        <w:t xml:space="preserve"> to wynika, </w:t>
      </w:r>
      <w:r w:rsidR="00FA464F">
        <w:rPr>
          <w:rFonts w:asciiTheme="minorHAnsi" w:hAnsiTheme="minorHAnsi" w:cstheme="minorHAnsi"/>
        </w:rPr>
        <w:br/>
      </w:r>
      <w:r w:rsidR="00D02BB0" w:rsidRPr="00020488">
        <w:rPr>
          <w:rFonts w:asciiTheme="minorHAnsi" w:hAnsiTheme="minorHAnsi" w:cstheme="minorHAnsi"/>
        </w:rPr>
        <w:t>że</w:t>
      </w:r>
      <w:r w:rsidRPr="00020488">
        <w:rPr>
          <w:rFonts w:asciiTheme="minorHAnsi" w:hAnsiTheme="minorHAnsi" w:cstheme="minorHAnsi"/>
        </w:rPr>
        <w:t xml:space="preserve"> godziny pracy aptek ogólnodostępnych powinny być dostosowane do potrzeb ludności i zapewnić dostępność do świadczeń również w porze nocnej, w niedzielę, święta i inne dni wolne od pracy.</w:t>
      </w:r>
    </w:p>
    <w:p w:rsidR="003E02CF" w:rsidRPr="00020488" w:rsidRDefault="00D02BB0" w:rsidP="00FA464F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 xml:space="preserve">Takie stanowisko zostało zawarte </w:t>
      </w:r>
      <w:r w:rsidR="001225F2">
        <w:rPr>
          <w:rFonts w:asciiTheme="minorHAnsi" w:hAnsiTheme="minorHAnsi" w:cstheme="minorHAnsi"/>
        </w:rPr>
        <w:t xml:space="preserve">również </w:t>
      </w:r>
      <w:r w:rsidRPr="00020488">
        <w:rPr>
          <w:rFonts w:asciiTheme="minorHAnsi" w:hAnsiTheme="minorHAnsi" w:cstheme="minorHAnsi"/>
        </w:rPr>
        <w:t>w</w:t>
      </w:r>
      <w:r w:rsidR="003E02CF" w:rsidRPr="00020488">
        <w:rPr>
          <w:rFonts w:asciiTheme="minorHAnsi" w:hAnsiTheme="minorHAnsi" w:cstheme="minorHAnsi"/>
        </w:rPr>
        <w:t xml:space="preserve"> wyroku Naczelnego Sądu Administracyjnego </w:t>
      </w:r>
      <w:r w:rsidR="00FA464F">
        <w:rPr>
          <w:rFonts w:asciiTheme="minorHAnsi" w:hAnsiTheme="minorHAnsi" w:cstheme="minorHAnsi"/>
        </w:rPr>
        <w:br/>
      </w:r>
      <w:r w:rsidR="003E02CF" w:rsidRPr="00020488">
        <w:rPr>
          <w:rFonts w:asciiTheme="minorHAnsi" w:hAnsiTheme="minorHAnsi" w:cstheme="minorHAnsi"/>
        </w:rPr>
        <w:t>w Warszawie z dnia 9 grudnia 2011 r</w:t>
      </w:r>
      <w:r w:rsidR="001225F2">
        <w:rPr>
          <w:rFonts w:asciiTheme="minorHAnsi" w:hAnsiTheme="minorHAnsi" w:cstheme="minorHAnsi"/>
        </w:rPr>
        <w:t>.</w:t>
      </w:r>
      <w:r w:rsidR="003E02CF" w:rsidRPr="00020488">
        <w:rPr>
          <w:rFonts w:asciiTheme="minorHAnsi" w:hAnsiTheme="minorHAnsi" w:cstheme="minorHAnsi"/>
        </w:rPr>
        <w:t xml:space="preserve"> </w:t>
      </w:r>
      <w:r w:rsidR="001225F2">
        <w:rPr>
          <w:rFonts w:asciiTheme="minorHAnsi" w:hAnsiTheme="minorHAnsi" w:cstheme="minorHAnsi"/>
        </w:rPr>
        <w:t>sygn.</w:t>
      </w:r>
      <w:r w:rsidR="003E02CF" w:rsidRPr="00020488">
        <w:rPr>
          <w:rFonts w:asciiTheme="minorHAnsi" w:hAnsiTheme="minorHAnsi" w:cstheme="minorHAnsi"/>
        </w:rPr>
        <w:t xml:space="preserve"> akt II GSK 1338/</w:t>
      </w:r>
      <w:r w:rsidR="001607BD" w:rsidRPr="00020488">
        <w:rPr>
          <w:rFonts w:asciiTheme="minorHAnsi" w:hAnsiTheme="minorHAnsi" w:cstheme="minorHAnsi"/>
        </w:rPr>
        <w:t>10, w uzasadnieniu którego Sąd stwierdza</w:t>
      </w:r>
      <w:r w:rsidR="003E02CF" w:rsidRPr="00020488">
        <w:rPr>
          <w:rFonts w:asciiTheme="minorHAnsi" w:hAnsiTheme="minorHAnsi" w:cstheme="minorHAnsi"/>
        </w:rPr>
        <w:t xml:space="preserve">: </w:t>
      </w:r>
    </w:p>
    <w:p w:rsidR="003E02CF" w:rsidRPr="00020488" w:rsidRDefault="003E02CF" w:rsidP="00FA464F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Theme="minorHAnsi" w:hAnsiTheme="minorHAnsi" w:cstheme="minorHAnsi"/>
          <w:i/>
        </w:rPr>
      </w:pPr>
      <w:r w:rsidRPr="00020488">
        <w:rPr>
          <w:rFonts w:asciiTheme="minorHAnsi" w:hAnsiTheme="minorHAnsi" w:cstheme="minorHAnsi"/>
          <w:i/>
        </w:rPr>
        <w:t xml:space="preserve">„Z redakcji art. 94 ust. 1 Prawa farmaceutycznego wynika, że rozkład godzin pracy aptek ogólnodostępnych powinien "być dostosowany do potrzeb ludności" oraz "zapewniać dostępność </w:t>
      </w:r>
      <w:r w:rsidRPr="00020488">
        <w:rPr>
          <w:rFonts w:asciiTheme="minorHAnsi" w:hAnsiTheme="minorHAnsi" w:cstheme="minorHAnsi"/>
          <w:i/>
        </w:rPr>
        <w:lastRenderedPageBreak/>
        <w:t>świadczeń również w porze nocnej, w niedzielę, święta i inne dni wolne od pracy". W orzecznictwie sądów administracyjnych (por. wyrok WSA we Wrocławiu z 3 października 2006 r., sygn. akt III SA/</w:t>
      </w:r>
      <w:proofErr w:type="spellStart"/>
      <w:r w:rsidRPr="00020488">
        <w:rPr>
          <w:rFonts w:asciiTheme="minorHAnsi" w:hAnsiTheme="minorHAnsi" w:cstheme="minorHAnsi"/>
          <w:i/>
        </w:rPr>
        <w:t>Wr</w:t>
      </w:r>
      <w:proofErr w:type="spellEnd"/>
      <w:r w:rsidRPr="00020488">
        <w:rPr>
          <w:rFonts w:asciiTheme="minorHAnsi" w:hAnsiTheme="minorHAnsi" w:cstheme="minorHAnsi"/>
          <w:i/>
        </w:rPr>
        <w:t xml:space="preserve"> 185/06, wyrok WSA w Kielcach z 30 września 2008 r., sygn. akt II SA/</w:t>
      </w:r>
      <w:proofErr w:type="spellStart"/>
      <w:r w:rsidRPr="00020488">
        <w:rPr>
          <w:rFonts w:asciiTheme="minorHAnsi" w:hAnsiTheme="minorHAnsi" w:cstheme="minorHAnsi"/>
          <w:i/>
        </w:rPr>
        <w:t>Ke</w:t>
      </w:r>
      <w:proofErr w:type="spellEnd"/>
      <w:r w:rsidRPr="00020488">
        <w:rPr>
          <w:rFonts w:asciiTheme="minorHAnsi" w:hAnsiTheme="minorHAnsi" w:cstheme="minorHAnsi"/>
          <w:i/>
        </w:rPr>
        <w:t xml:space="preserve"> 388/08, wyrok WSA w Gdańsku z 9 września 2010 r., sygn. akt III SA/Gd 254/10, wyrok WSA we Wrocławiu z 20 kwietnia 2011 r., sygn. akt IV SA/</w:t>
      </w:r>
      <w:proofErr w:type="spellStart"/>
      <w:r w:rsidRPr="00020488">
        <w:rPr>
          <w:rFonts w:asciiTheme="minorHAnsi" w:hAnsiTheme="minorHAnsi" w:cstheme="minorHAnsi"/>
          <w:i/>
        </w:rPr>
        <w:t>Wr</w:t>
      </w:r>
      <w:proofErr w:type="spellEnd"/>
      <w:r w:rsidRPr="00020488">
        <w:rPr>
          <w:rFonts w:asciiTheme="minorHAnsi" w:hAnsiTheme="minorHAnsi" w:cstheme="minorHAnsi"/>
          <w:i/>
        </w:rPr>
        <w:t xml:space="preserve"> 342/10 - Centralna Baza Orzeczeń Sądów Administracyjnych, www.orzeczenia.nsa.gov.pl) wyrażany jest pogląd, że rozkład godzin pracy powinien zarówno być dostosowany do bieżących, codziennych potrzeb ludności na powszechne wykonywane przez apteki ogólnodostępne usługi, świadczone </w:t>
      </w:r>
      <w:r w:rsidR="00E77575">
        <w:rPr>
          <w:rFonts w:asciiTheme="minorHAnsi" w:hAnsiTheme="minorHAnsi" w:cstheme="minorHAnsi"/>
          <w:i/>
        </w:rPr>
        <w:br/>
      </w:r>
      <w:r w:rsidRPr="00020488">
        <w:rPr>
          <w:rFonts w:asciiTheme="minorHAnsi" w:hAnsiTheme="minorHAnsi" w:cstheme="minorHAnsi"/>
          <w:i/>
        </w:rPr>
        <w:t>w zwykłych warunkach</w:t>
      </w:r>
      <w:r w:rsidR="001225F2">
        <w:rPr>
          <w:rFonts w:asciiTheme="minorHAnsi" w:hAnsiTheme="minorHAnsi" w:cstheme="minorHAnsi"/>
          <w:i/>
        </w:rPr>
        <w:t>,</w:t>
      </w:r>
      <w:r w:rsidRPr="00020488">
        <w:rPr>
          <w:rFonts w:asciiTheme="minorHAnsi" w:hAnsiTheme="minorHAnsi" w:cstheme="minorHAnsi"/>
          <w:i/>
        </w:rPr>
        <w:t xml:space="preserve"> jak i nie może pomijać sytuacji nadzwyczajnych, których częstotliwości występowania nie sposób przewidzieć. Wspomniany rozkład powinien uwzględniać także przypadki szczególne, niezwiązane bezpośrednio z zaspokajaniem zwykłych, codziennych potrzeb w zakresie zaopatrzenia w leki, w tym zapewniać jak najlepszą dostępność świadczeń aptecznych w porze nocnej, w niedzielę, święta i inne dni wolne od pracy, gdy nie funkcjonują ogólnodostępne apteki.</w:t>
      </w:r>
    </w:p>
    <w:p w:rsidR="003E02CF" w:rsidRPr="00020488" w:rsidRDefault="003E02CF" w:rsidP="00FA464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</w:rPr>
      </w:pPr>
      <w:r w:rsidRPr="00020488">
        <w:rPr>
          <w:rFonts w:asciiTheme="minorHAnsi" w:hAnsiTheme="minorHAnsi" w:cstheme="minorHAnsi"/>
          <w:i/>
        </w:rPr>
        <w:t xml:space="preserve">Analiza art. 94 ust. 1 Prawa farmaceutycznego prowadzi do wniosku, że należy rozróżnić rozkład godzin pracy aptek ogólnodostępnych w zwykłych warunkach oraz w sytuacjach nadzwyczajnych. </w:t>
      </w:r>
      <w:r w:rsidR="00FA464F">
        <w:rPr>
          <w:rFonts w:asciiTheme="minorHAnsi" w:hAnsiTheme="minorHAnsi" w:cstheme="minorHAnsi"/>
          <w:i/>
        </w:rPr>
        <w:br/>
      </w:r>
      <w:r w:rsidRPr="00020488">
        <w:rPr>
          <w:rFonts w:asciiTheme="minorHAnsi" w:hAnsiTheme="minorHAnsi" w:cstheme="minorHAnsi"/>
          <w:i/>
        </w:rPr>
        <w:t>W pierwszym przypadku zastosowanie ma kryterium potrzeb ludności, które należy uwzględniać przy ustalaniu godzin pracy aptek, tak by możliwe było zaspokojenia oczekiwań społeczności lokalnej. Z kolei w przypadkach wymienionych w drugiej części zdania zawartego w art. 94 ust. 1 Prawa farmaceutycznego, najistotniejszym kryterium przy ustalaniu rozkładu godzin pracy aptek ogólnodostępnych staje się zapewnienie dostępności świadczeń aptecznych w tych szczególnych warunkach. Przy ustalaniu rozkładu godzin pracy aptek ogólnodostępnych w porze nocnej i dni wolne od pracy nie sposób uwzględniać potrzeby ludności, gdyż nie można przewidzieć prawdopodobieństwa pojawienia się zdarzeń zagrażających zdrowiu lub życiu człowieka. W tym wypadku chodzi o ustalenie takiego rozkładu godzin pracy aptek ogólnodostępnych, który będzie stwarzał możliwość jak najlepszego i najszybszego skorzystania z niezbędnej pomocy wówczas, gdy nie obowiązuje powszedni czas pracy aptek, a zaistnieje nadzwyczajna, trudna do przewidzenia potrzeba podania leku. Natomiast to, czy i w jakim zakresie możliwość ta będzie wykorzystywana nie może mieć tutaj istotnego znaczenia.</w:t>
      </w:r>
    </w:p>
    <w:p w:rsidR="003E02CF" w:rsidRPr="00020488" w:rsidRDefault="003E02CF" w:rsidP="00FA464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</w:rPr>
      </w:pPr>
      <w:r w:rsidRPr="00020488">
        <w:rPr>
          <w:rFonts w:asciiTheme="minorHAnsi" w:hAnsiTheme="minorHAnsi" w:cstheme="minorHAnsi"/>
          <w:i/>
        </w:rPr>
        <w:t xml:space="preserve">W związku z tym za chybione należało uznać stanowisko skarżącej, że brak zainteresowania ludności Powiatu G. funkcjonowaniem apteki w porze nocnej i dni wolne od pracy uzasadniał rezygnację </w:t>
      </w:r>
      <w:r w:rsidR="000F5017">
        <w:rPr>
          <w:rFonts w:asciiTheme="minorHAnsi" w:hAnsiTheme="minorHAnsi" w:cstheme="minorHAnsi"/>
          <w:i/>
        </w:rPr>
        <w:br/>
      </w:r>
      <w:r w:rsidRPr="00020488">
        <w:rPr>
          <w:rFonts w:asciiTheme="minorHAnsi" w:hAnsiTheme="minorHAnsi" w:cstheme="minorHAnsi"/>
          <w:i/>
        </w:rPr>
        <w:t xml:space="preserve">z ustalenia, w tym zakresie, rozkładu godzin pracy aptek ogólnodostępnych. Postulat skarżącej, </w:t>
      </w:r>
      <w:r w:rsidR="000F5017">
        <w:rPr>
          <w:rFonts w:asciiTheme="minorHAnsi" w:hAnsiTheme="minorHAnsi" w:cstheme="minorHAnsi"/>
          <w:i/>
        </w:rPr>
        <w:br/>
      </w:r>
      <w:r w:rsidRPr="00020488">
        <w:rPr>
          <w:rFonts w:asciiTheme="minorHAnsi" w:hAnsiTheme="minorHAnsi" w:cstheme="minorHAnsi"/>
          <w:i/>
        </w:rPr>
        <w:t>by apteki ogólnodostępne na terenie Powiatu G. funkcjonowały w godzinach 8</w:t>
      </w:r>
      <w:r w:rsidRPr="00E77575">
        <w:rPr>
          <w:rFonts w:asciiTheme="minorHAnsi" w:hAnsiTheme="minorHAnsi" w:cstheme="minorHAnsi"/>
          <w:i/>
          <w:vertAlign w:val="superscript"/>
        </w:rPr>
        <w:t>:00</w:t>
      </w:r>
      <w:r w:rsidRPr="00020488">
        <w:rPr>
          <w:rFonts w:asciiTheme="minorHAnsi" w:hAnsiTheme="minorHAnsi" w:cstheme="minorHAnsi"/>
          <w:i/>
        </w:rPr>
        <w:t xml:space="preserve"> - 22</w:t>
      </w:r>
      <w:r w:rsidRPr="00E77575">
        <w:rPr>
          <w:rFonts w:asciiTheme="minorHAnsi" w:hAnsiTheme="minorHAnsi" w:cstheme="minorHAnsi"/>
          <w:i/>
          <w:vertAlign w:val="superscript"/>
        </w:rPr>
        <w:t>:00</w:t>
      </w:r>
      <w:r w:rsidRPr="00020488">
        <w:rPr>
          <w:rFonts w:asciiTheme="minorHAnsi" w:hAnsiTheme="minorHAnsi" w:cstheme="minorHAnsi"/>
          <w:i/>
        </w:rPr>
        <w:t>, prowadziłby w istocie do naruszenia ustawowego obowiązku zapewnienia dostępności świadczeń również w porze nocnej.”</w:t>
      </w:r>
    </w:p>
    <w:p w:rsidR="00D02BB0" w:rsidRPr="00020488" w:rsidRDefault="00D02BB0" w:rsidP="00FA464F">
      <w:pPr>
        <w:autoSpaceDE w:val="0"/>
        <w:autoSpaceDN w:val="0"/>
        <w:adjustRightInd w:val="0"/>
        <w:spacing w:before="120" w:after="120"/>
        <w:ind w:firstLine="425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 xml:space="preserve">Podobne rozstrzygnięcie zawarto w wyroku  Wojewódzkiego Sądu Administracyjnego </w:t>
      </w:r>
      <w:r w:rsidR="00FA464F">
        <w:rPr>
          <w:rFonts w:asciiTheme="minorHAnsi" w:hAnsiTheme="minorHAnsi" w:cstheme="minorHAnsi"/>
        </w:rPr>
        <w:br/>
      </w:r>
      <w:r w:rsidRPr="00020488">
        <w:rPr>
          <w:rFonts w:asciiTheme="minorHAnsi" w:hAnsiTheme="minorHAnsi" w:cstheme="minorHAnsi"/>
        </w:rPr>
        <w:t>w Bydgoszczy z dnia 17 października 2012 r</w:t>
      </w:r>
      <w:r w:rsidR="002275AD">
        <w:rPr>
          <w:rFonts w:asciiTheme="minorHAnsi" w:hAnsiTheme="minorHAnsi" w:cstheme="minorHAnsi"/>
        </w:rPr>
        <w:t>.</w:t>
      </w:r>
      <w:r w:rsidR="005C65AA" w:rsidRPr="00020488">
        <w:rPr>
          <w:rFonts w:asciiTheme="minorHAnsi" w:hAnsiTheme="minorHAnsi" w:cstheme="minorHAnsi"/>
        </w:rPr>
        <w:t>,</w:t>
      </w:r>
      <w:r w:rsidRPr="00020488">
        <w:rPr>
          <w:rFonts w:asciiTheme="minorHAnsi" w:hAnsiTheme="minorHAnsi" w:cstheme="minorHAnsi"/>
        </w:rPr>
        <w:t xml:space="preserve"> </w:t>
      </w:r>
      <w:r w:rsidR="002275AD">
        <w:rPr>
          <w:rFonts w:asciiTheme="minorHAnsi" w:hAnsiTheme="minorHAnsi" w:cstheme="minorHAnsi"/>
        </w:rPr>
        <w:t>sygn.</w:t>
      </w:r>
      <w:r w:rsidRPr="00020488">
        <w:rPr>
          <w:rFonts w:asciiTheme="minorHAnsi" w:hAnsiTheme="minorHAnsi" w:cstheme="minorHAnsi"/>
        </w:rPr>
        <w:t xml:space="preserve"> akt II SA/</w:t>
      </w:r>
      <w:proofErr w:type="spellStart"/>
      <w:r w:rsidRPr="00020488">
        <w:rPr>
          <w:rFonts w:asciiTheme="minorHAnsi" w:hAnsiTheme="minorHAnsi" w:cstheme="minorHAnsi"/>
        </w:rPr>
        <w:t>Bd</w:t>
      </w:r>
      <w:proofErr w:type="spellEnd"/>
      <w:r w:rsidRPr="00020488">
        <w:rPr>
          <w:rFonts w:asciiTheme="minorHAnsi" w:hAnsiTheme="minorHAnsi" w:cstheme="minorHAnsi"/>
        </w:rPr>
        <w:t xml:space="preserve"> 632/12.</w:t>
      </w:r>
      <w:r w:rsidR="005C65AA" w:rsidRPr="00020488">
        <w:rPr>
          <w:rFonts w:asciiTheme="minorHAnsi" w:hAnsiTheme="minorHAnsi" w:cstheme="minorHAnsi"/>
        </w:rPr>
        <w:t xml:space="preserve"> </w:t>
      </w:r>
      <w:r w:rsidR="002275AD">
        <w:rPr>
          <w:rFonts w:asciiTheme="minorHAnsi" w:hAnsiTheme="minorHAnsi" w:cstheme="minorHAnsi"/>
        </w:rPr>
        <w:t xml:space="preserve">Także w </w:t>
      </w:r>
      <w:r w:rsidR="005C65AA" w:rsidRPr="00020488">
        <w:rPr>
          <w:rFonts w:asciiTheme="minorHAnsi" w:hAnsiTheme="minorHAnsi" w:cstheme="minorHAnsi"/>
        </w:rPr>
        <w:t xml:space="preserve">wyroku z dnia </w:t>
      </w:r>
      <w:r w:rsidR="00FA464F">
        <w:rPr>
          <w:rFonts w:asciiTheme="minorHAnsi" w:hAnsiTheme="minorHAnsi" w:cstheme="minorHAnsi"/>
        </w:rPr>
        <w:br/>
      </w:r>
      <w:r w:rsidR="005C65AA" w:rsidRPr="00020488">
        <w:rPr>
          <w:rFonts w:asciiTheme="minorHAnsi" w:hAnsiTheme="minorHAnsi" w:cstheme="minorHAnsi"/>
        </w:rPr>
        <w:t>14 kwietnia 2015 r</w:t>
      </w:r>
      <w:r w:rsidR="002275AD">
        <w:rPr>
          <w:rFonts w:asciiTheme="minorHAnsi" w:hAnsiTheme="minorHAnsi" w:cstheme="minorHAnsi"/>
        </w:rPr>
        <w:t>.</w:t>
      </w:r>
      <w:r w:rsidR="005C65AA" w:rsidRPr="00020488">
        <w:rPr>
          <w:rFonts w:asciiTheme="minorHAnsi" w:hAnsiTheme="minorHAnsi" w:cstheme="minorHAnsi"/>
        </w:rPr>
        <w:t xml:space="preserve"> sygnatura akt II GSK 1765/14</w:t>
      </w:r>
      <w:r w:rsidR="002275AD">
        <w:rPr>
          <w:rFonts w:asciiTheme="minorHAnsi" w:hAnsiTheme="minorHAnsi" w:cstheme="minorHAnsi"/>
        </w:rPr>
        <w:t>,</w:t>
      </w:r>
      <w:r w:rsidR="005C65AA" w:rsidRPr="00020488">
        <w:rPr>
          <w:rFonts w:asciiTheme="minorHAnsi" w:hAnsiTheme="minorHAnsi" w:cstheme="minorHAnsi"/>
        </w:rPr>
        <w:t xml:space="preserve"> </w:t>
      </w:r>
      <w:r w:rsidR="002275AD" w:rsidRPr="00020488">
        <w:rPr>
          <w:rFonts w:asciiTheme="minorHAnsi" w:hAnsiTheme="minorHAnsi" w:cstheme="minorHAnsi"/>
        </w:rPr>
        <w:t xml:space="preserve">Naczelny Sąd Administracyjny </w:t>
      </w:r>
      <w:r w:rsidR="005C65AA" w:rsidRPr="00020488">
        <w:rPr>
          <w:rFonts w:asciiTheme="minorHAnsi" w:hAnsiTheme="minorHAnsi" w:cstheme="minorHAnsi"/>
        </w:rPr>
        <w:t>stwierdził:</w:t>
      </w:r>
    </w:p>
    <w:p w:rsidR="005C65AA" w:rsidRPr="00020488" w:rsidRDefault="005C65AA" w:rsidP="00FA464F">
      <w:pPr>
        <w:autoSpaceDE w:val="0"/>
        <w:autoSpaceDN w:val="0"/>
        <w:adjustRightInd w:val="0"/>
        <w:spacing w:before="120" w:after="120"/>
        <w:ind w:firstLine="425"/>
        <w:jc w:val="both"/>
        <w:rPr>
          <w:rFonts w:asciiTheme="minorHAnsi" w:hAnsiTheme="minorHAnsi" w:cstheme="minorHAnsi"/>
          <w:i/>
        </w:rPr>
      </w:pPr>
      <w:r w:rsidRPr="00020488">
        <w:rPr>
          <w:rFonts w:asciiTheme="minorHAnsi" w:hAnsiTheme="minorHAnsi" w:cstheme="minorHAnsi"/>
          <w:i/>
        </w:rPr>
        <w:t>„Rozkład godzin pracy aptek powinien być zarówno dostosowany do bieżących, codziennych potrzeb ludności na powszechne wykonywane przez apteki ogólnodostępne usługi, świadczone</w:t>
      </w:r>
      <w:r w:rsidR="000F5017">
        <w:rPr>
          <w:rFonts w:asciiTheme="minorHAnsi" w:hAnsiTheme="minorHAnsi" w:cstheme="minorHAnsi"/>
          <w:i/>
        </w:rPr>
        <w:br/>
      </w:r>
      <w:r w:rsidRPr="00020488">
        <w:rPr>
          <w:rFonts w:asciiTheme="minorHAnsi" w:hAnsiTheme="minorHAnsi" w:cstheme="minorHAnsi"/>
          <w:i/>
        </w:rPr>
        <w:t xml:space="preserve">w zwykłych warunkach, jak i nie może pomijać sytuacji nadzwyczajnych, których częstotliwości występowania nie sposób przewidzieć. Chodzi o ustalenie takiego rozkładu godzin pracy aptek ogólnodostępnych, który będzie stwarzał możliwość jak najlepszego i najszybszego skorzystania </w:t>
      </w:r>
      <w:r w:rsidR="000F5017">
        <w:rPr>
          <w:rFonts w:asciiTheme="minorHAnsi" w:hAnsiTheme="minorHAnsi" w:cstheme="minorHAnsi"/>
          <w:i/>
        </w:rPr>
        <w:br/>
      </w:r>
      <w:r w:rsidRPr="00020488">
        <w:rPr>
          <w:rFonts w:asciiTheme="minorHAnsi" w:hAnsiTheme="minorHAnsi" w:cstheme="minorHAnsi"/>
          <w:i/>
        </w:rPr>
        <w:t>z niezbędnej pomocy wówczas, gdy nie obowiązuje powszedni czas pracy aptek, a zaistnieje nadzwyczajna, trudna do przewidzenia potrzeba podania leku. Ponieważ ustawodawca posłużył się pojęciem "również w porze nocnej" - dostępność powinna być całodobowa, bowiem jedynie wówczas powstanie pożądany z punktu widzenia społecznego stan najlepszego i najszybszego skorzystania</w:t>
      </w:r>
      <w:r w:rsidR="000F5017">
        <w:rPr>
          <w:rFonts w:asciiTheme="minorHAnsi" w:hAnsiTheme="minorHAnsi" w:cstheme="minorHAnsi"/>
          <w:i/>
        </w:rPr>
        <w:br/>
      </w:r>
      <w:bookmarkStart w:id="0" w:name="_GoBack"/>
      <w:bookmarkEnd w:id="0"/>
      <w:r w:rsidRPr="00020488">
        <w:rPr>
          <w:rFonts w:asciiTheme="minorHAnsi" w:hAnsiTheme="minorHAnsi" w:cstheme="minorHAnsi"/>
          <w:i/>
        </w:rPr>
        <w:lastRenderedPageBreak/>
        <w:t>z niezbędnej pomocy, gdy nie obowiązuje powszedni czas pracy aptek, a zaistnieje nadzwyczajna, trudna do przewidzenia potrzeba podania leku.”</w:t>
      </w:r>
    </w:p>
    <w:p w:rsidR="005C65AA" w:rsidRPr="00020488" w:rsidRDefault="005C65AA" w:rsidP="00FA464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>Z kolei w wyroku z dnia 22 maja 2018 roku sygnatura akt III SA/Kr 168/18 Wojewódzki Sąd Administracyjny w Krakowie stwierdził:</w:t>
      </w:r>
    </w:p>
    <w:p w:rsidR="00C31B72" w:rsidRDefault="005C65AA" w:rsidP="00FA464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</w:rPr>
      </w:pPr>
      <w:r w:rsidRPr="00020488">
        <w:rPr>
          <w:rFonts w:asciiTheme="minorHAnsi" w:hAnsiTheme="minorHAnsi" w:cstheme="minorHAnsi"/>
          <w:i/>
        </w:rPr>
        <w:t xml:space="preserve">„Każdy podmiot decydujący się na prowadzenie regulowanej działalności aptekarskiej, powinien mieć świadomość, że taką działalność należy prowadzić również zgodnie z przepisami prawa miejscowego, w tym uchwałami podejmowanymi na podstawie art. 94 ust. 2 </w:t>
      </w:r>
      <w:proofErr w:type="spellStart"/>
      <w:r w:rsidRPr="00020488">
        <w:rPr>
          <w:rFonts w:asciiTheme="minorHAnsi" w:hAnsiTheme="minorHAnsi" w:cstheme="minorHAnsi"/>
          <w:i/>
        </w:rPr>
        <w:t>u.p.f</w:t>
      </w:r>
      <w:proofErr w:type="spellEnd"/>
      <w:r w:rsidRPr="00020488">
        <w:rPr>
          <w:rFonts w:asciiTheme="minorHAnsi" w:hAnsiTheme="minorHAnsi" w:cstheme="minorHAnsi"/>
          <w:i/>
        </w:rPr>
        <w:t>. Jednym z takich obowiązków może być obowiązek pełnienia dyżurów w porze nocnej lub w dni wolne od pracy. Z tego obowiązku nie mogą zwolnić szczególne warunki pracy konkretnej apteki, np. liczba zatrudnionych w niej osób lub kwestia osiąganego w takich porach pracy apteki wyniku ekonomicznego.”</w:t>
      </w:r>
      <w:r w:rsidR="00B551AF">
        <w:rPr>
          <w:rFonts w:asciiTheme="minorHAnsi" w:hAnsiTheme="minorHAnsi" w:cstheme="minorHAnsi"/>
          <w:i/>
        </w:rPr>
        <w:t>.</w:t>
      </w:r>
    </w:p>
    <w:p w:rsidR="00B551AF" w:rsidRPr="00B551AF" w:rsidRDefault="00B551AF" w:rsidP="00FA464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 nadzoru podziela stanowisko sądów w przedmiotowej kwestii. Wskazane powyżej orzeczenie WSA w Krakowie odnosi się bezpośrednio do argumentacji zawartej w uzasadnieniu uchwały.</w:t>
      </w:r>
    </w:p>
    <w:p w:rsidR="00C31B72" w:rsidRPr="00020488" w:rsidRDefault="00C31B72" w:rsidP="00FA464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 xml:space="preserve">W związku z tym, że uchwała Rady Powiatu Białobrzeskiego nie przewiduje całodobowych dyżurów aptek, a jedynie dyżury w godzinach od 8 do 23, należy stwierdzić, że została podjęta z naruszeniem art. 94 </w:t>
      </w:r>
      <w:r w:rsidR="00602A62">
        <w:rPr>
          <w:rFonts w:asciiTheme="minorHAnsi" w:hAnsiTheme="minorHAnsi" w:cstheme="minorHAnsi"/>
        </w:rPr>
        <w:t xml:space="preserve">ust. 1 </w:t>
      </w:r>
      <w:r w:rsidR="002275AD">
        <w:rPr>
          <w:rFonts w:asciiTheme="minorHAnsi" w:hAnsiTheme="minorHAnsi" w:cstheme="minorHAnsi"/>
        </w:rPr>
        <w:t>P</w:t>
      </w:r>
      <w:r w:rsidRPr="00020488">
        <w:rPr>
          <w:rFonts w:asciiTheme="minorHAnsi" w:hAnsiTheme="minorHAnsi" w:cstheme="minorHAnsi"/>
        </w:rPr>
        <w:t xml:space="preserve">rawa farmaceutycznego, co powoduje konieczność stwierdzenia jej nieważności </w:t>
      </w:r>
      <w:r w:rsidR="00FA464F">
        <w:rPr>
          <w:rFonts w:asciiTheme="minorHAnsi" w:hAnsiTheme="minorHAnsi" w:cstheme="minorHAnsi"/>
        </w:rPr>
        <w:br/>
      </w:r>
      <w:r w:rsidRPr="00020488">
        <w:rPr>
          <w:rFonts w:asciiTheme="minorHAnsi" w:hAnsiTheme="minorHAnsi" w:cstheme="minorHAnsi"/>
        </w:rPr>
        <w:t>i wyeliminowania z  obrotu prawnego.</w:t>
      </w:r>
    </w:p>
    <w:p w:rsidR="00751B49" w:rsidRPr="00751B49" w:rsidRDefault="00751B49" w:rsidP="00FA464F">
      <w:pPr>
        <w:spacing w:before="120" w:after="120"/>
        <w:jc w:val="both"/>
        <w:rPr>
          <w:rFonts w:asciiTheme="minorHAnsi" w:hAnsiTheme="minorHAnsi" w:cstheme="minorHAnsi"/>
        </w:rPr>
      </w:pPr>
      <w:r w:rsidRPr="00751B49">
        <w:rPr>
          <w:rFonts w:asciiTheme="minorHAnsi" w:hAnsiTheme="minorHAnsi" w:cstheme="minorHAnsi"/>
        </w:rPr>
        <w:t xml:space="preserve">Na niniejsze rozstrzygnięcie nadzorcze Powiatowi przysługuje skarga do Wojewódzkiego Sądu Administracyjnego w Warszawie w terminie 30 dni od daty doręczenia, wnoszona za moim pośrednictwem. </w:t>
      </w:r>
    </w:p>
    <w:p w:rsidR="00751B49" w:rsidRPr="00751B49" w:rsidRDefault="00751B49" w:rsidP="00FA464F">
      <w:pPr>
        <w:spacing w:before="120" w:after="120"/>
        <w:jc w:val="both"/>
        <w:rPr>
          <w:rFonts w:asciiTheme="minorHAnsi" w:hAnsiTheme="minorHAnsi" w:cstheme="minorHAnsi"/>
        </w:rPr>
      </w:pPr>
      <w:r w:rsidRPr="00751B49">
        <w:rPr>
          <w:rFonts w:asciiTheme="minorHAnsi" w:hAnsiTheme="minorHAnsi" w:cstheme="minorHAnsi"/>
        </w:rPr>
        <w:t>Informuję, że rozstrzygnięcie nadzorcze wstrzymuje wykonanie uchwały z mocy prawa z dniem jego doręczenia.</w:t>
      </w:r>
    </w:p>
    <w:p w:rsidR="00751B49" w:rsidRPr="00020488" w:rsidRDefault="00751B49" w:rsidP="00FA464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</w:p>
    <w:p w:rsidR="00FA464F" w:rsidRPr="00020488" w:rsidRDefault="00FA464F" w:rsidP="00FA464F">
      <w:pPr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Wojewoda Mazowiecki:</w:t>
      </w:r>
      <w:r>
        <w:rPr>
          <w:rFonts w:asciiTheme="minorHAnsi" w:hAnsiTheme="minorHAnsi" w:cstheme="minorHAnsi"/>
        </w:rPr>
        <w:br/>
      </w:r>
      <w:r w:rsidRPr="00FA464F">
        <w:rPr>
          <w:rFonts w:asciiTheme="minorHAnsi" w:hAnsiTheme="minorHAnsi" w:cstheme="minorHAnsi"/>
          <w:i/>
        </w:rPr>
        <w:t>wz. Sylwester Dąbrowski</w:t>
      </w:r>
      <w:r w:rsidRPr="00FA464F"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</w:rPr>
        <w:t>I Wicewojewoda Mazowiecki</w:t>
      </w:r>
    </w:p>
    <w:p w:rsidR="003E02CF" w:rsidRPr="00020488" w:rsidRDefault="003E02CF" w:rsidP="00FA464F">
      <w:pPr>
        <w:spacing w:before="120" w:after="120"/>
        <w:jc w:val="both"/>
        <w:rPr>
          <w:rFonts w:asciiTheme="minorHAnsi" w:hAnsiTheme="minorHAnsi" w:cstheme="minorHAnsi"/>
        </w:rPr>
      </w:pPr>
    </w:p>
    <w:p w:rsidR="003E02CF" w:rsidRPr="00006FDC" w:rsidRDefault="003E02CF" w:rsidP="00FA464F">
      <w:pPr>
        <w:spacing w:before="120" w:after="120"/>
        <w:jc w:val="both"/>
        <w:rPr>
          <w:rFonts w:asciiTheme="minorHAnsi" w:hAnsiTheme="minorHAnsi" w:cstheme="minorHAnsi"/>
        </w:rPr>
      </w:pPr>
    </w:p>
    <w:p w:rsidR="003E02CF" w:rsidRPr="00006FDC" w:rsidRDefault="003E02CF" w:rsidP="00FA464F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</w:rPr>
      </w:pPr>
    </w:p>
    <w:p w:rsidR="0086036D" w:rsidRDefault="0086036D" w:rsidP="00FA464F">
      <w:pPr>
        <w:spacing w:before="120" w:after="120"/>
      </w:pPr>
    </w:p>
    <w:sectPr w:rsidR="0086036D" w:rsidSect="00FA464F">
      <w:footerReference w:type="default" r:id="rId8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97" w:rsidRDefault="00F00D97" w:rsidP="00751B49">
      <w:r>
        <w:separator/>
      </w:r>
    </w:p>
  </w:endnote>
  <w:endnote w:type="continuationSeparator" w:id="0">
    <w:p w:rsidR="00F00D97" w:rsidRDefault="00F00D97" w:rsidP="0075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470689"/>
      <w:docPartObj>
        <w:docPartGallery w:val="Page Numbers (Bottom of Page)"/>
        <w:docPartUnique/>
      </w:docPartObj>
    </w:sdtPr>
    <w:sdtEndPr/>
    <w:sdtContent>
      <w:p w:rsidR="00751B49" w:rsidRDefault="00751B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17">
          <w:rPr>
            <w:noProof/>
          </w:rPr>
          <w:t>3</w:t>
        </w:r>
        <w:r>
          <w:fldChar w:fldCharType="end"/>
        </w:r>
      </w:p>
    </w:sdtContent>
  </w:sdt>
  <w:p w:rsidR="00751B49" w:rsidRDefault="00751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97" w:rsidRDefault="00F00D97" w:rsidP="00751B49">
      <w:r>
        <w:separator/>
      </w:r>
    </w:p>
  </w:footnote>
  <w:footnote w:type="continuationSeparator" w:id="0">
    <w:p w:rsidR="00F00D97" w:rsidRDefault="00F00D97" w:rsidP="0075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CF"/>
    <w:rsid w:val="00006FDC"/>
    <w:rsid w:val="00020488"/>
    <w:rsid w:val="000F5017"/>
    <w:rsid w:val="001225F2"/>
    <w:rsid w:val="001607BD"/>
    <w:rsid w:val="001C5417"/>
    <w:rsid w:val="001F6BEA"/>
    <w:rsid w:val="002275AD"/>
    <w:rsid w:val="0027069A"/>
    <w:rsid w:val="00346D0E"/>
    <w:rsid w:val="003E02CF"/>
    <w:rsid w:val="004C0B55"/>
    <w:rsid w:val="005219F9"/>
    <w:rsid w:val="005C65AA"/>
    <w:rsid w:val="00602A62"/>
    <w:rsid w:val="006D3A9F"/>
    <w:rsid w:val="00751B49"/>
    <w:rsid w:val="0086036D"/>
    <w:rsid w:val="0089565E"/>
    <w:rsid w:val="008A1261"/>
    <w:rsid w:val="009E1E52"/>
    <w:rsid w:val="009E21CA"/>
    <w:rsid w:val="00B551AF"/>
    <w:rsid w:val="00C31B72"/>
    <w:rsid w:val="00D02BB0"/>
    <w:rsid w:val="00D56D63"/>
    <w:rsid w:val="00DC758B"/>
    <w:rsid w:val="00E03CA6"/>
    <w:rsid w:val="00E77575"/>
    <w:rsid w:val="00E90D3F"/>
    <w:rsid w:val="00EA0192"/>
    <w:rsid w:val="00F00D97"/>
    <w:rsid w:val="00F44A82"/>
    <w:rsid w:val="00F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0C69"/>
  <w15:docId w15:val="{80C59F37-8959-4119-95E7-179C81DB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02CF"/>
    <w:pPr>
      <w:keepNext/>
      <w:jc w:val="center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3E02CF"/>
    <w:pPr>
      <w:keepNext/>
      <w:ind w:firstLine="5670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02C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2C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1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B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1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B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5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9187-B2D9-4FB2-8121-515B3480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4</cp:revision>
  <dcterms:created xsi:type="dcterms:W3CDTF">2019-09-02T11:14:00Z</dcterms:created>
  <dcterms:modified xsi:type="dcterms:W3CDTF">2019-09-09T10:42:00Z</dcterms:modified>
</cp:coreProperties>
</file>