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45CBE227" w:rsidR="008A332F" w:rsidRDefault="00AF6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55E344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06CC4">
        <w:rPr>
          <w:rFonts w:ascii="Arial" w:hAnsi="Arial" w:cs="Arial"/>
          <w:b/>
          <w:color w:val="auto"/>
          <w:sz w:val="24"/>
          <w:szCs w:val="24"/>
        </w:rPr>
        <w:t>I</w:t>
      </w:r>
      <w:r w:rsidR="008F3B98">
        <w:rPr>
          <w:rFonts w:ascii="Arial" w:hAnsi="Arial" w:cs="Arial"/>
          <w:b/>
          <w:color w:val="auto"/>
          <w:sz w:val="24"/>
          <w:szCs w:val="24"/>
        </w:rPr>
        <w:t>V</w:t>
      </w:r>
      <w:r w:rsidR="00006CC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F69CD">
        <w:rPr>
          <w:rFonts w:ascii="Arial" w:hAnsi="Arial" w:cs="Arial"/>
          <w:b/>
          <w:color w:val="auto"/>
          <w:sz w:val="24"/>
          <w:szCs w:val="24"/>
        </w:rPr>
        <w:t>202</w:t>
      </w:r>
      <w:r w:rsidR="00A57A0D">
        <w:rPr>
          <w:rFonts w:ascii="Arial" w:hAnsi="Arial" w:cs="Arial"/>
          <w:b/>
          <w:color w:val="auto"/>
          <w:sz w:val="24"/>
          <w:szCs w:val="24"/>
        </w:rPr>
        <w:t>1</w:t>
      </w:r>
      <w:r w:rsidR="00AF69C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35254F" w:rsidR="00CA516B" w:rsidRPr="007B7825" w:rsidRDefault="007B7825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3916E6">
              <w:rPr>
                <w:rFonts w:ascii="Arial" w:hAnsi="Arial" w:cs="Arial"/>
              </w:rPr>
              <w:t xml:space="preserve">EZD RP – elektroniczne zarządzanie dokumentacją </w:t>
            </w:r>
            <w:r w:rsidRPr="003916E6">
              <w:rPr>
                <w:rFonts w:ascii="Arial" w:hAnsi="Arial" w:cs="Arial"/>
              </w:rPr>
              <w:br/>
              <w:t>w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F01AF2" w:rsidR="00CA516B" w:rsidRPr="00141A92" w:rsidRDefault="007B782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Minister Cyfryzacji</w:t>
            </w:r>
          </w:p>
        </w:tc>
      </w:tr>
      <w:tr w:rsidR="007B7825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B7825" w:rsidRPr="00725708" w:rsidRDefault="007B7825" w:rsidP="007B78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FD3B40" w:rsidR="007B7825" w:rsidRPr="006822BC" w:rsidRDefault="007B7825" w:rsidP="007B782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A2FC2">
              <w:rPr>
                <w:rFonts w:ascii="Arial" w:hAnsi="Arial" w:cs="Arial"/>
              </w:rPr>
              <w:t>Naukowa i Akademicka Sieć Komputerowa – Państwowy Instytut Badawczy</w:t>
            </w:r>
          </w:p>
        </w:tc>
      </w:tr>
      <w:tr w:rsidR="007B782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B7825" w:rsidRPr="008A332F" w:rsidRDefault="007B7825" w:rsidP="007B78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D700E9" w:rsidR="007B7825" w:rsidRPr="00141A92" w:rsidRDefault="007B7825" w:rsidP="007B782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DA2FC2">
              <w:rPr>
                <w:rFonts w:ascii="Arial" w:eastAsia="Times New Roman" w:hAnsi="Arial" w:cs="Arial"/>
                <w:szCs w:val="20"/>
              </w:rPr>
              <w:t>Podlaski Urząd Wojewódzki w Białymstoku</w:t>
            </w:r>
          </w:p>
        </w:tc>
      </w:tr>
      <w:tr w:rsidR="007B782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B7825" w:rsidRPr="008A332F" w:rsidRDefault="007B7825" w:rsidP="007B78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C0972" w14:textId="2C4DFD2D" w:rsidR="007B7825" w:rsidRPr="007B7825" w:rsidRDefault="007B7825" w:rsidP="007B7825">
            <w:pPr>
              <w:suppressAutoHyphens/>
              <w:spacing w:after="60"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7825">
              <w:rPr>
                <w:rFonts w:ascii="Arial" w:hAnsi="Arial" w:cs="Arial"/>
              </w:rPr>
              <w:t xml:space="preserve">Budżet państwa: część budżetowa 27 – </w:t>
            </w:r>
            <w:r w:rsidRPr="007B7825">
              <w:rPr>
                <w:rFonts w:ascii="Arial" w:hAnsi="Arial" w:cs="Arial"/>
                <w:iCs/>
              </w:rPr>
              <w:t>Informatyzacja</w:t>
            </w:r>
          </w:p>
          <w:p w14:paraId="55582688" w14:textId="16E42C5E" w:rsidR="007B7825" w:rsidRPr="00141A92" w:rsidRDefault="007B7825" w:rsidP="007B782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16E6">
              <w:rPr>
                <w:rFonts w:ascii="Arial" w:hAnsi="Arial" w:cs="Arial"/>
              </w:rPr>
              <w:t xml:space="preserve">Środki UE: Program Operacyjny Polska Cyfrowa </w:t>
            </w:r>
            <w:r w:rsidRPr="003916E6">
              <w:rPr>
                <w:rFonts w:ascii="Arial" w:hAnsi="Arial" w:cs="Arial"/>
              </w:rPr>
              <w:br/>
              <w:t xml:space="preserve">na lata 2014-2020, II oś priorytetowa „E-administracja </w:t>
            </w:r>
            <w:r w:rsidRPr="003916E6">
              <w:rPr>
                <w:rFonts w:ascii="Arial" w:hAnsi="Arial" w:cs="Arial"/>
              </w:rPr>
              <w:br/>
              <w:t xml:space="preserve">i otwarty rząd”, Działanie 2.2 „Cyfryzacja procesów </w:t>
            </w:r>
            <w:proofErr w:type="spellStart"/>
            <w:r w:rsidRPr="003916E6">
              <w:rPr>
                <w:rFonts w:ascii="Arial" w:hAnsi="Arial" w:cs="Arial"/>
              </w:rPr>
              <w:t>back-office</w:t>
            </w:r>
            <w:proofErr w:type="spellEnd"/>
            <w:r w:rsidRPr="003916E6">
              <w:rPr>
                <w:rFonts w:ascii="Arial" w:hAnsi="Arial" w:cs="Arial"/>
              </w:rPr>
              <w:t xml:space="preserve"> w administracji rządowej” – środki pochodzące </w:t>
            </w:r>
            <w:r w:rsidRPr="003916E6">
              <w:rPr>
                <w:rFonts w:ascii="Arial" w:hAnsi="Arial" w:cs="Arial"/>
              </w:rPr>
              <w:br/>
              <w:t>z Europejskiego Funduszu Rozwoju Regionalnego</w:t>
            </w:r>
          </w:p>
        </w:tc>
      </w:tr>
      <w:tr w:rsidR="007B782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7B7825" w:rsidRDefault="007B7825" w:rsidP="007B78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B7825" w:rsidRPr="008A332F" w:rsidRDefault="007B7825" w:rsidP="007B78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DA5F8E" w14:textId="3C423F03" w:rsidR="002270C4" w:rsidRDefault="00751D53" w:rsidP="002270C4">
            <w:pPr>
              <w:spacing w:line="276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49</w:t>
            </w:r>
            <w:r w:rsidR="000B476E">
              <w:rPr>
                <w:rFonts w:ascii="Arial" w:eastAsia="Times New Roman" w:hAnsi="Arial" w:cs="Arial"/>
                <w:szCs w:val="20"/>
              </w:rPr>
              <w:t> 895 390,98</w:t>
            </w:r>
            <w:r w:rsidR="007B7825" w:rsidRPr="003916E6">
              <w:rPr>
                <w:rFonts w:ascii="Arial" w:eastAsia="Times New Roman" w:hAnsi="Arial" w:cs="Arial"/>
                <w:szCs w:val="20"/>
              </w:rPr>
              <w:t> zł brutto</w:t>
            </w:r>
            <w:r w:rsidR="0042694C">
              <w:rPr>
                <w:rFonts w:ascii="Arial" w:eastAsia="Times New Roman" w:hAnsi="Arial" w:cs="Arial"/>
                <w:szCs w:val="20"/>
              </w:rPr>
              <w:t xml:space="preserve"> </w:t>
            </w:r>
          </w:p>
          <w:p w14:paraId="50F2AAAE" w14:textId="77777777" w:rsidR="0042694C" w:rsidRPr="0042694C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13 sierpnia 2020 r. zawarto Aneks nr 3 do Umowy o</w:t>
            </w:r>
          </w:p>
          <w:p w14:paraId="088AC083" w14:textId="77777777" w:rsidR="0042694C" w:rsidRPr="0042694C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Dofinansowanie zwiększający wartość i zakres projektu o</w:t>
            </w:r>
          </w:p>
          <w:p w14:paraId="4E081943" w14:textId="77777777" w:rsidR="0042694C" w:rsidRPr="0042694C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dodatkowe moduły systemu EZD RP w obszarach sztucznej</w:t>
            </w:r>
          </w:p>
          <w:p w14:paraId="27BDF79B" w14:textId="77777777" w:rsidR="0042694C" w:rsidRPr="0042694C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inteligencji oraz podpisów elektronicznych (POPC.02.02.00-00-</w:t>
            </w:r>
          </w:p>
          <w:p w14:paraId="3DD0CE19" w14:textId="77777777" w:rsidR="0042694C" w:rsidRPr="0042694C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0016/18-03). Przed zmianą wartość projektu wynosiła 45 113</w:t>
            </w:r>
          </w:p>
          <w:p w14:paraId="18484459" w14:textId="0E7F784A" w:rsidR="0042694C" w:rsidRPr="00193FBE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42694C">
              <w:rPr>
                <w:rFonts w:ascii="Arial" w:eastAsia="Times New Roman" w:hAnsi="Arial" w:cs="Arial"/>
                <w:szCs w:val="20"/>
              </w:rPr>
              <w:t>838,48 zł brutto.</w:t>
            </w:r>
          </w:p>
        </w:tc>
      </w:tr>
      <w:tr w:rsidR="007B782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7B7825" w:rsidRPr="008A332F" w:rsidRDefault="007B7825" w:rsidP="007B78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0DEDA" w14:textId="77777777" w:rsidR="007B7825" w:rsidRDefault="00193FBE" w:rsidP="00DA2FC2">
            <w:pPr>
              <w:spacing w:line="276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49 871 865,64</w:t>
            </w:r>
            <w:r w:rsidRPr="003916E6">
              <w:rPr>
                <w:rFonts w:ascii="Arial" w:eastAsia="Times New Roman" w:hAnsi="Arial" w:cs="Arial"/>
                <w:szCs w:val="20"/>
              </w:rPr>
              <w:t> zł brutto</w:t>
            </w:r>
          </w:p>
          <w:p w14:paraId="3E35A37E" w14:textId="48559FDD" w:rsidR="000B01E6" w:rsidRPr="000B01E6" w:rsidRDefault="000B01E6" w:rsidP="000B01E6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0B01E6">
              <w:rPr>
                <w:rFonts w:ascii="Arial" w:eastAsia="Times New Roman" w:hAnsi="Arial" w:cs="Arial"/>
                <w:szCs w:val="20"/>
              </w:rPr>
              <w:t>1</w:t>
            </w:r>
            <w:r>
              <w:rPr>
                <w:rFonts w:ascii="Arial" w:eastAsia="Times New Roman" w:hAnsi="Arial" w:cs="Arial"/>
                <w:szCs w:val="20"/>
              </w:rPr>
              <w:t>7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>marca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202</w:t>
            </w:r>
            <w:r>
              <w:rPr>
                <w:rFonts w:ascii="Arial" w:eastAsia="Times New Roman" w:hAnsi="Arial" w:cs="Arial"/>
                <w:szCs w:val="20"/>
              </w:rPr>
              <w:t>1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r. zawarto Aneks nr </w:t>
            </w:r>
            <w:r>
              <w:rPr>
                <w:rFonts w:ascii="Arial" w:eastAsia="Times New Roman" w:hAnsi="Arial" w:cs="Arial"/>
                <w:szCs w:val="20"/>
              </w:rPr>
              <w:t>4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do Umowy o</w:t>
            </w:r>
          </w:p>
          <w:p w14:paraId="6BC12C95" w14:textId="3451BF20" w:rsidR="000B476E" w:rsidRPr="00193FBE" w:rsidRDefault="000B01E6" w:rsidP="000B01E6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0B01E6">
              <w:rPr>
                <w:rFonts w:ascii="Arial" w:eastAsia="Times New Roman" w:hAnsi="Arial" w:cs="Arial"/>
                <w:szCs w:val="20"/>
              </w:rPr>
              <w:t>Dofinansowanie</w:t>
            </w:r>
            <w:r>
              <w:rPr>
                <w:rFonts w:ascii="Arial" w:eastAsia="Times New Roman" w:hAnsi="Arial" w:cs="Arial"/>
                <w:szCs w:val="20"/>
              </w:rPr>
              <w:t xml:space="preserve"> którym zmniejszono całkowite wydatki kwalifikowalne Projektu. 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Przed zmianą wartość </w:t>
            </w:r>
            <w:r>
              <w:rPr>
                <w:rFonts w:ascii="Arial" w:eastAsia="Times New Roman" w:hAnsi="Arial" w:cs="Arial"/>
                <w:szCs w:val="20"/>
              </w:rPr>
              <w:t xml:space="preserve">wydatków 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wynosiła </w:t>
            </w:r>
            <w:r>
              <w:rPr>
                <w:rFonts w:ascii="Arial" w:eastAsia="Times New Roman" w:hAnsi="Arial" w:cs="Arial"/>
                <w:szCs w:val="20"/>
              </w:rPr>
              <w:t>49 895 390,98</w:t>
            </w:r>
            <w:r w:rsidRPr="003916E6">
              <w:rPr>
                <w:rFonts w:ascii="Arial" w:eastAsia="Times New Roman" w:hAnsi="Arial" w:cs="Arial"/>
                <w:szCs w:val="20"/>
              </w:rPr>
              <w:t> </w:t>
            </w:r>
            <w:r w:rsidRPr="000B01E6">
              <w:rPr>
                <w:rFonts w:ascii="Arial" w:eastAsia="Times New Roman" w:hAnsi="Arial" w:cs="Arial"/>
                <w:szCs w:val="20"/>
              </w:rPr>
              <w:t>zł brutto.</w:t>
            </w:r>
            <w:r w:rsidR="005212F1"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</w:tr>
      <w:tr w:rsidR="007B782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B7825" w:rsidRDefault="007B7825" w:rsidP="007B78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B7825" w:rsidRPr="008A332F" w:rsidRDefault="007B7825" w:rsidP="007B78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D2F9D" w14:textId="199FC3E8" w:rsidR="007B7825" w:rsidRPr="007B7825" w:rsidRDefault="007B7825" w:rsidP="007B7825">
            <w:pPr>
              <w:suppressAutoHyphens/>
              <w:spacing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7825">
              <w:rPr>
                <w:rFonts w:ascii="Arial" w:hAnsi="Arial" w:cs="Arial"/>
              </w:rPr>
              <w:t>Data rozpoczęcia realizacji projektu: 01.01.2019 r.</w:t>
            </w:r>
          </w:p>
          <w:p w14:paraId="6D94E90B" w14:textId="77777777" w:rsidR="007B7825" w:rsidRDefault="007B7825" w:rsidP="007B782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7825">
              <w:rPr>
                <w:rFonts w:ascii="Arial" w:hAnsi="Arial" w:cs="Arial"/>
              </w:rPr>
              <w:t xml:space="preserve">Data zakończenia realizacji projektu: </w:t>
            </w:r>
            <w:r w:rsidRPr="00DA2FC2">
              <w:rPr>
                <w:rFonts w:ascii="Arial" w:hAnsi="Arial" w:cs="Arial"/>
              </w:rPr>
              <w:t>31.</w:t>
            </w:r>
            <w:r w:rsidR="00193FBE">
              <w:rPr>
                <w:rFonts w:ascii="Arial" w:hAnsi="Arial" w:cs="Arial"/>
              </w:rPr>
              <w:t>03</w:t>
            </w:r>
            <w:r w:rsidRPr="00DA2FC2">
              <w:rPr>
                <w:rFonts w:ascii="Arial" w:hAnsi="Arial" w:cs="Arial"/>
              </w:rPr>
              <w:t>.202</w:t>
            </w:r>
            <w:r w:rsidR="00193FBE">
              <w:rPr>
                <w:rFonts w:ascii="Arial" w:hAnsi="Arial" w:cs="Arial"/>
              </w:rPr>
              <w:t>2</w:t>
            </w:r>
            <w:r w:rsidRPr="00DA2FC2">
              <w:rPr>
                <w:rFonts w:ascii="Arial" w:hAnsi="Arial" w:cs="Arial"/>
              </w:rPr>
              <w:t xml:space="preserve"> r.</w:t>
            </w:r>
          </w:p>
          <w:p w14:paraId="6A409466" w14:textId="77777777" w:rsidR="002D368E" w:rsidRDefault="002D368E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Pierwotna data zakończenia realizacji projektu: 31.12.2021 r.</w:t>
            </w:r>
          </w:p>
          <w:p w14:paraId="5B558CD2" w14:textId="283DE9D7" w:rsidR="0042694C" w:rsidRPr="000B01E6" w:rsidRDefault="0042694C" w:rsidP="0042694C">
            <w:pPr>
              <w:spacing w:after="0" w:line="276" w:lineRule="auto"/>
              <w:rPr>
                <w:rFonts w:ascii="Arial" w:eastAsia="Times New Roman" w:hAnsi="Arial" w:cs="Arial"/>
                <w:szCs w:val="20"/>
              </w:rPr>
            </w:pPr>
            <w:r w:rsidRPr="000B01E6">
              <w:rPr>
                <w:rFonts w:ascii="Arial" w:eastAsia="Times New Roman" w:hAnsi="Arial" w:cs="Arial"/>
                <w:szCs w:val="20"/>
              </w:rPr>
              <w:t>1</w:t>
            </w:r>
            <w:r>
              <w:rPr>
                <w:rFonts w:ascii="Arial" w:eastAsia="Times New Roman" w:hAnsi="Arial" w:cs="Arial"/>
                <w:szCs w:val="20"/>
              </w:rPr>
              <w:t>7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>marca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202</w:t>
            </w:r>
            <w:r>
              <w:rPr>
                <w:rFonts w:ascii="Arial" w:eastAsia="Times New Roman" w:hAnsi="Arial" w:cs="Arial"/>
                <w:szCs w:val="20"/>
              </w:rPr>
              <w:t>1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r. zawarto Aneks nr </w:t>
            </w:r>
            <w:r>
              <w:rPr>
                <w:rFonts w:ascii="Arial" w:eastAsia="Times New Roman" w:hAnsi="Arial" w:cs="Arial"/>
                <w:szCs w:val="20"/>
              </w:rPr>
              <w:t>4</w:t>
            </w:r>
            <w:r w:rsidRPr="000B01E6">
              <w:rPr>
                <w:rFonts w:ascii="Arial" w:eastAsia="Times New Roman" w:hAnsi="Arial" w:cs="Arial"/>
                <w:szCs w:val="20"/>
              </w:rPr>
              <w:t xml:space="preserve"> do Umowy o</w:t>
            </w:r>
          </w:p>
          <w:p w14:paraId="55CE9679" w14:textId="4F032F58" w:rsidR="0042694C" w:rsidRPr="007B7825" w:rsidRDefault="0042694C" w:rsidP="0042694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B01E6">
              <w:rPr>
                <w:rFonts w:ascii="Arial" w:eastAsia="Times New Roman" w:hAnsi="Arial" w:cs="Arial"/>
                <w:szCs w:val="20"/>
              </w:rPr>
              <w:t>Dofinansowanie</w:t>
            </w:r>
            <w:r>
              <w:rPr>
                <w:rFonts w:ascii="Arial" w:eastAsia="Times New Roman" w:hAnsi="Arial" w:cs="Arial"/>
                <w:szCs w:val="20"/>
              </w:rPr>
              <w:t xml:space="preserve"> którym wydłużono okres realizacji projektu do 31.03.2022 r. </w:t>
            </w:r>
          </w:p>
        </w:tc>
      </w:tr>
    </w:tbl>
    <w:p w14:paraId="77C4453B" w14:textId="58068ED7" w:rsidR="007B7825" w:rsidRPr="007B7825" w:rsidRDefault="004C1D48" w:rsidP="007B7825">
      <w:pPr>
        <w:pStyle w:val="Nagwek2"/>
        <w:numPr>
          <w:ilvl w:val="0"/>
          <w:numId w:val="19"/>
        </w:numPr>
        <w:suppressAutoHyphens/>
        <w:spacing w:before="360"/>
        <w:ind w:left="284" w:right="282" w:hanging="284"/>
        <w:jc w:val="both"/>
        <w:rPr>
          <w:rFonts w:ascii="Arial" w:hAnsi="Arial" w:cs="Arial"/>
        </w:rPr>
      </w:pPr>
      <w:r w:rsidRPr="007B7825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7B7825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7B782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B7825">
        <w:rPr>
          <w:rFonts w:ascii="Arial" w:hAnsi="Arial" w:cs="Arial"/>
        </w:rPr>
        <w:t xml:space="preserve"> </w:t>
      </w:r>
    </w:p>
    <w:p w14:paraId="6FC4554D" w14:textId="3E846284" w:rsidR="007B7825" w:rsidRPr="00E13683" w:rsidRDefault="007B7825" w:rsidP="007B7825">
      <w:pPr>
        <w:suppressAutoHyphens/>
        <w:jc w:val="both"/>
        <w:rPr>
          <w:rFonts w:ascii="Arial" w:eastAsiaTheme="majorEastAsia" w:hAnsi="Arial" w:cs="Arial"/>
          <w:sz w:val="20"/>
        </w:rPr>
      </w:pPr>
      <w:r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>
        <w:rPr>
          <w:rFonts w:ascii="Arial" w:eastAsiaTheme="majorEastAsia" w:hAnsi="Arial" w:cs="Arial"/>
          <w:sz w:val="20"/>
        </w:rPr>
        <w:t xml:space="preserve"> </w:t>
      </w:r>
      <w:r w:rsidRPr="00E13683">
        <w:rPr>
          <w:rFonts w:ascii="Arial" w:eastAsiaTheme="majorEastAsia" w:hAnsi="Arial" w:cs="Arial"/>
          <w:sz w:val="20"/>
        </w:rPr>
        <w:t>zakresie realizowanego projektu. Projekt może zostać zrealizowany w obecnym stanie prawnym.</w:t>
      </w:r>
    </w:p>
    <w:p w14:paraId="147B986C" w14:textId="217B3583" w:rsidR="003C7325" w:rsidRPr="00141A92" w:rsidRDefault="00E35401" w:rsidP="003D518E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B7825" w:rsidRPr="002B50C0" w14:paraId="59735F91" w14:textId="77777777" w:rsidTr="00795AFA">
        <w:tc>
          <w:tcPr>
            <w:tcW w:w="2972" w:type="dxa"/>
          </w:tcPr>
          <w:p w14:paraId="077C8D26" w14:textId="2F7EA24B" w:rsidR="007B7825" w:rsidRPr="00ED0698" w:rsidRDefault="009B3D4F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92,31</w:t>
            </w:r>
            <w:r w:rsidR="00A86B49" w:rsidRPr="00ED06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1E6B2277" w14:textId="02E6D4E3" w:rsidR="00A86B49" w:rsidRPr="00ED0698" w:rsidRDefault="00A86B49" w:rsidP="00A86B49">
            <w:pPr>
              <w:rPr>
                <w:rFonts w:ascii="Arial" w:hAnsi="Arial" w:cs="Arial"/>
                <w:sz w:val="18"/>
                <w:szCs w:val="18"/>
              </w:rPr>
            </w:pPr>
            <w:r w:rsidRPr="00ED0698">
              <w:rPr>
                <w:rFonts w:ascii="Arial" w:hAnsi="Arial" w:cs="Arial"/>
                <w:sz w:val="18"/>
                <w:szCs w:val="18"/>
              </w:rPr>
              <w:t xml:space="preserve">1.  wartość wydatków poniesionych w projekcie w stosunku do całkowitego kosztu projektu – </w:t>
            </w:r>
            <w:r w:rsidR="009B3D4F">
              <w:rPr>
                <w:rFonts w:ascii="Arial" w:hAnsi="Arial" w:cs="Arial"/>
                <w:sz w:val="18"/>
                <w:szCs w:val="18"/>
              </w:rPr>
              <w:t>61,85</w:t>
            </w:r>
            <w:r w:rsidRPr="00ED069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F15FAB0" w14:textId="77777777" w:rsidR="00A86B49" w:rsidRPr="00ED0698" w:rsidRDefault="00A86B49" w:rsidP="00A86B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EE20A" w14:textId="0DFEB2DD" w:rsidR="00A86B49" w:rsidRPr="00ED0698" w:rsidRDefault="00A86B49" w:rsidP="00A86B49">
            <w:pPr>
              <w:rPr>
                <w:rFonts w:ascii="Arial" w:hAnsi="Arial" w:cs="Arial"/>
                <w:sz w:val="18"/>
                <w:szCs w:val="18"/>
              </w:rPr>
            </w:pPr>
            <w:r w:rsidRPr="00ED0698">
              <w:rPr>
                <w:rFonts w:ascii="Arial" w:hAnsi="Arial" w:cs="Arial"/>
                <w:sz w:val="18"/>
                <w:szCs w:val="18"/>
              </w:rPr>
              <w:t xml:space="preserve">2. wartość wydatków kwalifikowalnych wykazanych w zatwierdzonych wnioskach o płatność w stosunku do wartości umowy/porozumienia o dofinansowanie w części środków kwalifikowalnych – </w:t>
            </w:r>
            <w:r w:rsidR="009B3D4F">
              <w:rPr>
                <w:rFonts w:ascii="Arial" w:hAnsi="Arial" w:cs="Arial"/>
                <w:sz w:val="18"/>
                <w:szCs w:val="18"/>
              </w:rPr>
              <w:t>51,34</w:t>
            </w:r>
            <w:r w:rsidRPr="00ED069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5C728AFF" w14:textId="77777777" w:rsidR="00A86B49" w:rsidRPr="00ED0698" w:rsidRDefault="00A86B49" w:rsidP="00A86B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9DAC9" w14:textId="188C5A11" w:rsidR="007B7825" w:rsidRPr="00ED0698" w:rsidRDefault="00A86B49" w:rsidP="00A86B4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0698">
              <w:rPr>
                <w:rFonts w:ascii="Arial" w:hAnsi="Arial" w:cs="Arial"/>
                <w:sz w:val="18"/>
                <w:szCs w:val="18"/>
              </w:rPr>
              <w:t xml:space="preserve">3.  wartość wydatkowanych kwalifikowalnych poniesionych w projekcie w stosunku do wartości umowy o dofinansowanie w części środków kwalifikowalnych – </w:t>
            </w:r>
            <w:r w:rsidR="009B3D4F">
              <w:rPr>
                <w:rFonts w:ascii="Arial" w:hAnsi="Arial" w:cs="Arial"/>
                <w:sz w:val="18"/>
                <w:szCs w:val="18"/>
              </w:rPr>
              <w:t>61,83</w:t>
            </w:r>
            <w:r w:rsidRPr="00ED06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65BB31D3" w14:textId="4889C4DE" w:rsidR="007B7825" w:rsidRPr="00ED0698" w:rsidRDefault="00A86B49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0698">
              <w:rPr>
                <w:rFonts w:ascii="Arial" w:hAnsi="Arial" w:cs="Arial"/>
                <w:sz w:val="18"/>
                <w:szCs w:val="18"/>
              </w:rPr>
              <w:t xml:space="preserve">wartość środków zaangażowanych w projekcie w stosunku do całkowitego kosztu projektu – </w:t>
            </w:r>
            <w:r w:rsidR="009B3D4F">
              <w:rPr>
                <w:rFonts w:ascii="Arial" w:hAnsi="Arial" w:cs="Arial"/>
                <w:sz w:val="18"/>
                <w:szCs w:val="18"/>
              </w:rPr>
              <w:t>67,80</w:t>
            </w:r>
            <w:r w:rsidRPr="00ED06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56C0C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082"/>
        <w:gridCol w:w="1289"/>
        <w:gridCol w:w="1914"/>
        <w:gridCol w:w="2802"/>
      </w:tblGrid>
      <w:tr w:rsidR="004350B8" w:rsidRPr="002B50C0" w14:paraId="55961592" w14:textId="77777777" w:rsidTr="00DF1986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7825" w:rsidRPr="002B50C0" w14:paraId="6AC3DB07" w14:textId="77777777" w:rsidTr="00DF1986">
        <w:tc>
          <w:tcPr>
            <w:tcW w:w="2552" w:type="dxa"/>
          </w:tcPr>
          <w:p w14:paraId="79C67474" w14:textId="258FC4E6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Zamknięta lista funkcjonalności systemu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816C38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2CF1DEEA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914" w:type="dxa"/>
          </w:tcPr>
          <w:p w14:paraId="2F14513F" w14:textId="11C32D2D" w:rsidR="007B7825" w:rsidRPr="00141A92" w:rsidRDefault="007B7825" w:rsidP="007B782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802" w:type="dxa"/>
          </w:tcPr>
          <w:p w14:paraId="66AF3652" w14:textId="7217EB35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7B7825" w:rsidRPr="002B50C0" w14:paraId="6F0CAB02" w14:textId="77777777" w:rsidTr="00DF1986">
        <w:tc>
          <w:tcPr>
            <w:tcW w:w="2552" w:type="dxa"/>
          </w:tcPr>
          <w:p w14:paraId="146BF76B" w14:textId="1AA75388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pierwsza wersja prototypu systemu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8E6E" w14:textId="77777777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7BB2C" w14:textId="203C44E0" w:rsidR="007B7825" w:rsidRPr="001B6667" w:rsidRDefault="007B7825" w:rsidP="007B782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914" w:type="dxa"/>
          </w:tcPr>
          <w:p w14:paraId="1AA45D14" w14:textId="432B0F41" w:rsidR="007B7825" w:rsidRPr="001B6667" w:rsidRDefault="007B7825" w:rsidP="007B782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2E9396CB" w14:textId="65F50E32" w:rsidR="007B7825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7B7825" w:rsidRPr="002B50C0" w14:paraId="3BD6E2F1" w14:textId="77777777" w:rsidTr="00DF1986">
        <w:tc>
          <w:tcPr>
            <w:tcW w:w="2552" w:type="dxa"/>
          </w:tcPr>
          <w:p w14:paraId="62985DD7" w14:textId="052E8F5A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Przygotowany i przetestowany prototyp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E3A4" w14:textId="77777777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5ADB895" w14:textId="663E147C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48F1A33" w14:textId="6C8F127A" w:rsidR="007B7825" w:rsidRPr="00AC1367" w:rsidRDefault="00DA2FC2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802" w:type="dxa"/>
          </w:tcPr>
          <w:p w14:paraId="20ECE9ED" w14:textId="33F3BB40" w:rsidR="007B7825" w:rsidRPr="006E50B4" w:rsidRDefault="00DA2FC2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7B7825" w:rsidRPr="002B50C0" w14:paraId="529D2741" w14:textId="77777777" w:rsidTr="00DF1986">
        <w:tc>
          <w:tcPr>
            <w:tcW w:w="2552" w:type="dxa"/>
          </w:tcPr>
          <w:p w14:paraId="58B0EB61" w14:textId="3A9A04F8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Zakończony pilotaż systemu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D1F7" w14:textId="77777777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1C7DAF86" w14:textId="41BD6979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CC36366" w14:textId="4081050D" w:rsidR="007B7825" w:rsidRPr="00AC1367" w:rsidRDefault="0042694C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694C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802" w:type="dxa"/>
          </w:tcPr>
          <w:p w14:paraId="0EC910FB" w14:textId="4BAA7788" w:rsidR="007B7825" w:rsidRPr="006E50B4" w:rsidRDefault="00F40D87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7B7825" w:rsidRPr="002B50C0" w14:paraId="5DEFE68B" w14:textId="77777777" w:rsidTr="00DF1986">
        <w:tc>
          <w:tcPr>
            <w:tcW w:w="2552" w:type="dxa"/>
          </w:tcPr>
          <w:p w14:paraId="71F7B9AF" w14:textId="585E55A1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Zatwierdzony raport z pilotażu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i zmian wprowadzonych do systemu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5CF2" w14:textId="77777777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2E4978D2" w14:textId="3607D423" w:rsidR="007B7825" w:rsidRPr="00AC1367" w:rsidRDefault="007B7825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53ACE003" w14:textId="24FC8313" w:rsidR="007B7825" w:rsidRPr="00AC1367" w:rsidRDefault="00650627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90D62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802" w:type="dxa"/>
          </w:tcPr>
          <w:p w14:paraId="2A1AB71F" w14:textId="094419BE" w:rsidR="007B7825" w:rsidRPr="006E50B4" w:rsidRDefault="00153949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FE70B0" w:rsidRPr="002B50C0" w14:paraId="7345B7A9" w14:textId="77777777" w:rsidTr="00DF1986">
        <w:tc>
          <w:tcPr>
            <w:tcW w:w="2552" w:type="dxa"/>
          </w:tcPr>
          <w:p w14:paraId="52D0A1B7" w14:textId="22E78FE9" w:rsidR="00FE70B0" w:rsidRPr="00567C42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Przygotowana i przetestowana infrastruktura sprzętowo-programowa chmury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DA79" w14:textId="77777777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22422A80" w14:textId="28889C23" w:rsidR="00FE70B0" w:rsidRPr="008A7C8E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50B4">
              <w:rPr>
                <w:rFonts w:ascii="Arial" w:hAnsi="Arial" w:cs="Arial"/>
                <w:sz w:val="18"/>
                <w:szCs w:val="18"/>
                <w:lang w:eastAsia="pl-PL"/>
              </w:rPr>
              <w:t>09-202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5F654278" w14:textId="1BDAB0ED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C1367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802" w:type="dxa"/>
          </w:tcPr>
          <w:p w14:paraId="2FC22F24" w14:textId="77777777" w:rsidR="00FE70B0" w:rsidRPr="008A7C8E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A7C8E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  <w:p w14:paraId="47975703" w14:textId="77777777" w:rsidR="00FE70B0" w:rsidRPr="008A7C8E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B3EADB" w14:textId="77777777" w:rsidR="00FE70B0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E70B0" w:rsidRPr="002B50C0" w14:paraId="4256CC3A" w14:textId="77777777" w:rsidTr="00DF1986">
        <w:tc>
          <w:tcPr>
            <w:tcW w:w="2552" w:type="dxa"/>
          </w:tcPr>
          <w:p w14:paraId="6D18165C" w14:textId="7C311052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Przygotowana i przetestowana docelowa wersja systemu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BAD0" w14:textId="77777777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45F18CE9" w14:textId="411C4F4E" w:rsidR="00FE70B0" w:rsidRPr="00AC1367" w:rsidRDefault="00602D21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commentRangeStart w:id="0"/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FE70B0" w:rsidRPr="008A7C8E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commentRangeEnd w:id="0"/>
            <w:r w:rsidR="007E39D7">
              <w:rPr>
                <w:rStyle w:val="Odwoaniedokomentarza"/>
              </w:rPr>
              <w:commentReference w:id="0"/>
            </w:r>
          </w:p>
        </w:tc>
        <w:tc>
          <w:tcPr>
            <w:tcW w:w="1914" w:type="dxa"/>
          </w:tcPr>
          <w:p w14:paraId="5EB7AE32" w14:textId="77777777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64301A8" w14:textId="6EE1A7C6" w:rsidR="00D24F8C" w:rsidRPr="00D24F8C" w:rsidRDefault="00D24F8C" w:rsidP="00D24F8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53A34752" w14:textId="77777777" w:rsidR="00D24F8C" w:rsidRPr="00D24F8C" w:rsidRDefault="00D24F8C" w:rsidP="00D24F8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F404F5" w14:textId="61EE5B1A" w:rsidR="00D24F8C" w:rsidRPr="00D24F8C" w:rsidRDefault="00D24F8C" w:rsidP="00D24F8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>trwa opracowanie raportów z testów i audytów technicznych</w:t>
            </w:r>
          </w:p>
          <w:p w14:paraId="47A28F0D" w14:textId="600B3DD7" w:rsidR="00F22254" w:rsidRPr="001C7F83" w:rsidRDefault="00D24F8C" w:rsidP="00D24F8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odbiór kamienia milowego nastąpi w terminie rezerwowym (zgodnie z </w:t>
            </w:r>
            <w:proofErr w:type="spellStart"/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>UoD</w:t>
            </w:r>
            <w:proofErr w:type="spellEnd"/>
            <w:r w:rsidR="004E624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CPPC</w:t>
            </w: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termin ostateczny to 31 stycznia 2022 r.)</w:t>
            </w:r>
          </w:p>
        </w:tc>
      </w:tr>
      <w:tr w:rsidR="00FE70B0" w:rsidRPr="002B50C0" w14:paraId="2A9B7E95" w14:textId="77777777" w:rsidTr="00DF1986">
        <w:tc>
          <w:tcPr>
            <w:tcW w:w="2552" w:type="dxa"/>
          </w:tcPr>
          <w:p w14:paraId="16E59322" w14:textId="7376F192" w:rsidR="00FE70B0" w:rsidRPr="00437A04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Uruchomiona infrastruktura sprzętowo-programowa SaaS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2C76" w14:textId="77777777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38986BAE" w14:textId="677003E6" w:rsidR="00FE70B0" w:rsidRPr="00AC1367" w:rsidRDefault="00884A12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commentRangeStart w:id="1"/>
            <w:r w:rsidR="00FE70B0" w:rsidRPr="006E50B4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commentRangeEnd w:id="1"/>
            <w:r w:rsidR="007E39D7">
              <w:rPr>
                <w:rStyle w:val="Odwoaniedokomentarza"/>
              </w:rPr>
              <w:commentReference w:id="1"/>
            </w:r>
          </w:p>
        </w:tc>
        <w:tc>
          <w:tcPr>
            <w:tcW w:w="1914" w:type="dxa"/>
          </w:tcPr>
          <w:p w14:paraId="4A67D09F" w14:textId="77777777" w:rsidR="00FE70B0" w:rsidRPr="00AC1367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A2440D4" w14:textId="77777777" w:rsidR="00FE70B0" w:rsidRDefault="00FE70B0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094F7A4" w14:textId="77777777" w:rsidR="00F22254" w:rsidRDefault="00F22254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C2E183" w14:textId="1029E9B6" w:rsidR="00F22254" w:rsidRPr="00D24F8C" w:rsidRDefault="00884A12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trwa opracowanie raportów z </w:t>
            </w:r>
            <w:r w:rsidR="00D24F8C" w:rsidRPr="00D24F8C">
              <w:rPr>
                <w:rFonts w:ascii="Arial" w:hAnsi="Arial" w:cs="Arial"/>
                <w:sz w:val="18"/>
                <w:szCs w:val="18"/>
                <w:lang w:eastAsia="pl-PL"/>
              </w:rPr>
              <w:t>testów i audytów technicznych</w:t>
            </w:r>
          </w:p>
          <w:p w14:paraId="0BBB46E5" w14:textId="75EC81F9" w:rsidR="00D24F8C" w:rsidRPr="006E50B4" w:rsidRDefault="00D24F8C" w:rsidP="00AC136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odbiór kamienia milowego nastąpi w terminie rezerwowym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(</w:t>
            </w:r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zgodnie z </w:t>
            </w:r>
            <w:proofErr w:type="spellStart"/>
            <w:r w:rsidRPr="00D24F8C">
              <w:rPr>
                <w:rFonts w:ascii="Arial" w:hAnsi="Arial" w:cs="Arial"/>
                <w:sz w:val="18"/>
                <w:szCs w:val="18"/>
                <w:lang w:eastAsia="pl-PL"/>
              </w:rPr>
              <w:t>UoD</w:t>
            </w:r>
            <w:proofErr w:type="spellEnd"/>
            <w:r w:rsidR="004E624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CPPC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termin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ostateczny to 31 stycznia 2022 r.)</w:t>
            </w:r>
          </w:p>
        </w:tc>
      </w:tr>
      <w:tr w:rsidR="00FE70B0" w:rsidRPr="002B50C0" w14:paraId="592CED65" w14:textId="77777777" w:rsidTr="00DF1986">
        <w:tc>
          <w:tcPr>
            <w:tcW w:w="2552" w:type="dxa"/>
          </w:tcPr>
          <w:p w14:paraId="2A53E73B" w14:textId="3B7DB0EF" w:rsidR="00FE70B0" w:rsidRPr="00141A92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lastRenderedPageBreak/>
              <w:t>Zakończona realizacja warsztatów i szkoleń użytkowników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8E13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KPI3 – 3,00</w:t>
            </w:r>
          </w:p>
          <w:p w14:paraId="03CC5329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– 1,00</w:t>
            </w:r>
          </w:p>
          <w:p w14:paraId="509F00B8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2,00</w:t>
            </w:r>
          </w:p>
          <w:p w14:paraId="7EEB6EDA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261,00</w:t>
            </w:r>
          </w:p>
          <w:p w14:paraId="2908A37F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183,00</w:t>
            </w:r>
          </w:p>
          <w:p w14:paraId="6FDA98C0" w14:textId="4B75142E" w:rsidR="00FE70B0" w:rsidRPr="00141A92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KPI8 – 78,00</w:t>
            </w:r>
          </w:p>
        </w:tc>
        <w:tc>
          <w:tcPr>
            <w:tcW w:w="1289" w:type="dxa"/>
          </w:tcPr>
          <w:p w14:paraId="3022E12E" w14:textId="449CA269" w:rsidR="00FE70B0" w:rsidRPr="001B6667" w:rsidRDefault="00FE70B0" w:rsidP="00FE70B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45257D0C" w14:textId="77777777" w:rsidR="00FE70B0" w:rsidRPr="001B6667" w:rsidRDefault="00FE70B0" w:rsidP="00FE70B0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E0E4CCD" w14:textId="6215CD2C" w:rsidR="00FE70B0" w:rsidRDefault="00D24F8C" w:rsidP="00FE70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E70B0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9DF664E" w14:textId="77777777" w:rsidR="00FE70B0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3B1F4F" w14:textId="351E63D4" w:rsidR="00FE70B0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70B0" w:rsidRPr="002B50C0" w14:paraId="7923640E" w14:textId="77777777" w:rsidTr="00DF1986">
        <w:tc>
          <w:tcPr>
            <w:tcW w:w="2552" w:type="dxa"/>
          </w:tcPr>
          <w:p w14:paraId="2B9C1169" w14:textId="45F3FB82" w:rsidR="00FE70B0" w:rsidRPr="00141A92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Uruchomiony system EZD RP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712F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1,00</w:t>
            </w:r>
          </w:p>
          <w:p w14:paraId="1176F271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1,00 </w:t>
            </w:r>
          </w:p>
          <w:p w14:paraId="1B3F8EC7" w14:textId="77777777" w:rsidR="00FE70B0" w:rsidRDefault="00FE70B0" w:rsidP="00FE70B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KPI9 – 1,00</w:t>
            </w:r>
          </w:p>
          <w:p w14:paraId="1D54BB32" w14:textId="705524D5" w:rsidR="00FE70B0" w:rsidRPr="00141A92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KPI10 – 16,00</w:t>
            </w:r>
          </w:p>
        </w:tc>
        <w:tc>
          <w:tcPr>
            <w:tcW w:w="1289" w:type="dxa"/>
          </w:tcPr>
          <w:p w14:paraId="569E1CAB" w14:textId="16BCC9FE" w:rsidR="00FE70B0" w:rsidRPr="001B6667" w:rsidRDefault="00FE70B0" w:rsidP="00FE70B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0ABEAC1C" w14:textId="77777777" w:rsidR="00FE70B0" w:rsidRPr="001B6667" w:rsidRDefault="00FE70B0" w:rsidP="00FE70B0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76793E0" w14:textId="515A2AB3" w:rsidR="00FE70B0" w:rsidRDefault="00FE70B0" w:rsidP="00FE70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A854B15" w14:textId="77777777" w:rsidR="00FE70B0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DD556F" w14:textId="69E8842B" w:rsidR="00FE70B0" w:rsidRDefault="00FE70B0" w:rsidP="00FE70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994"/>
        <w:gridCol w:w="1418"/>
        <w:gridCol w:w="2409"/>
        <w:gridCol w:w="2268"/>
      </w:tblGrid>
      <w:tr w:rsidR="00047D9D" w:rsidRPr="002B50C0" w14:paraId="2D861F35" w14:textId="77777777" w:rsidTr="0042694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7825" w:rsidRPr="002B50C0" w14:paraId="060EEE52" w14:textId="77777777" w:rsidTr="0042694C">
        <w:tc>
          <w:tcPr>
            <w:tcW w:w="2545" w:type="dxa"/>
          </w:tcPr>
          <w:p w14:paraId="37C9F5F0" w14:textId="77777777" w:rsidR="007B7825" w:rsidRPr="00AD0735" w:rsidRDefault="007B7825" w:rsidP="007B7825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urzędów, które wdrożyły katalog</w:t>
            </w:r>
          </w:p>
          <w:p w14:paraId="0D680A0D" w14:textId="59ECD792" w:rsidR="007B7825" w:rsidRPr="00AA45B2" w:rsidRDefault="007B7825" w:rsidP="007B78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5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</w:tc>
        <w:tc>
          <w:tcPr>
            <w:tcW w:w="994" w:type="dxa"/>
          </w:tcPr>
          <w:p w14:paraId="6B56475F" w14:textId="6E16DEA4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7E683B47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2409" w:type="dxa"/>
          </w:tcPr>
          <w:p w14:paraId="0BDC01B7" w14:textId="150C4D6D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7B7825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6FE75731" w14:textId="182362C1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908EA3D" w14:textId="2A0DB8AA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D07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7B7825" w:rsidRPr="002B50C0" w14:paraId="2AF906A9" w14:textId="77777777" w:rsidTr="0042694C">
        <w:tc>
          <w:tcPr>
            <w:tcW w:w="2545" w:type="dxa"/>
          </w:tcPr>
          <w:p w14:paraId="6B722A65" w14:textId="77777777" w:rsidR="007B7825" w:rsidRPr="00AD0735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uruchomionych systemów</w:t>
            </w:r>
          </w:p>
          <w:p w14:paraId="312841D3" w14:textId="15D16053" w:rsidR="007B7825" w:rsidRPr="00AA45B2" w:rsidRDefault="007B7825" w:rsidP="00AA45B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5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teleinformatycznych w podmiotach wykonujących zadania publiczne</w:t>
            </w:r>
          </w:p>
        </w:tc>
        <w:tc>
          <w:tcPr>
            <w:tcW w:w="994" w:type="dxa"/>
          </w:tcPr>
          <w:p w14:paraId="70721484" w14:textId="1C691EE8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8" w:type="dxa"/>
          </w:tcPr>
          <w:p w14:paraId="6389F620" w14:textId="07D35A17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2409" w:type="dxa"/>
          </w:tcPr>
          <w:p w14:paraId="701ABF15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3EB4124D" w14:textId="209046A1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D2EE44C" w14:textId="29451F8E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5802F449" w14:textId="77777777" w:rsidTr="0042694C">
        <w:tc>
          <w:tcPr>
            <w:tcW w:w="2545" w:type="dxa"/>
          </w:tcPr>
          <w:p w14:paraId="3566163C" w14:textId="5BD84674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3. Liczba pracowników IT podmiotów wykonujących zadania publiczne objętych wsparciem szkoleniowym</w:t>
            </w:r>
          </w:p>
        </w:tc>
        <w:tc>
          <w:tcPr>
            <w:tcW w:w="994" w:type="dxa"/>
          </w:tcPr>
          <w:p w14:paraId="286FD3EA" w14:textId="1313AF01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652182DC" w14:textId="752D6B30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2409" w:type="dxa"/>
          </w:tcPr>
          <w:p w14:paraId="37745209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51A61D5E" w14:textId="59F25106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C18B1E" w14:textId="4D35A316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7276A48C" w14:textId="77777777" w:rsidTr="0042694C">
        <w:tc>
          <w:tcPr>
            <w:tcW w:w="2545" w:type="dxa"/>
          </w:tcPr>
          <w:p w14:paraId="04626E10" w14:textId="1DBE6F57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4. Liczba pracowników IT podmiotów wykonujących zadania publiczne objętych wsparciem szkoleniowym – kobiety</w:t>
            </w:r>
          </w:p>
        </w:tc>
        <w:tc>
          <w:tcPr>
            <w:tcW w:w="994" w:type="dxa"/>
          </w:tcPr>
          <w:p w14:paraId="4F25119C" w14:textId="2DC2291C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5C21778B" w14:textId="0CAFDC1C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2409" w:type="dxa"/>
          </w:tcPr>
          <w:p w14:paraId="1CF8676A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0AF40297" w14:textId="401B3868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E140E55" w14:textId="626797BC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70229EA7" w14:textId="77777777" w:rsidTr="0042694C">
        <w:tc>
          <w:tcPr>
            <w:tcW w:w="2545" w:type="dxa"/>
          </w:tcPr>
          <w:p w14:paraId="40226CBF" w14:textId="3B34E016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5. Liczba pracowników IT podmiotów wykonujących zadania publiczne objętych wsparciem szkoleniowym – mężczyźni</w:t>
            </w:r>
          </w:p>
        </w:tc>
        <w:tc>
          <w:tcPr>
            <w:tcW w:w="994" w:type="dxa"/>
          </w:tcPr>
          <w:p w14:paraId="03B2C2CB" w14:textId="76858F32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7BE78C55" w14:textId="7CD35DE2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2409" w:type="dxa"/>
          </w:tcPr>
          <w:p w14:paraId="4C79F2E8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7CFF879F" w14:textId="6F4FD6D4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202CA95" w14:textId="5E2C4A0D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2E3B2038" w14:textId="77777777" w:rsidTr="0042694C">
        <w:tc>
          <w:tcPr>
            <w:tcW w:w="2545" w:type="dxa"/>
          </w:tcPr>
          <w:p w14:paraId="7B2D557D" w14:textId="6421B77A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6. Liczba pracowników podmiotów wykonujących zadania publiczne nie będących pracownikami IT, objętych wsparciem szkoleniowym</w:t>
            </w:r>
          </w:p>
        </w:tc>
        <w:tc>
          <w:tcPr>
            <w:tcW w:w="994" w:type="dxa"/>
          </w:tcPr>
          <w:p w14:paraId="1535A11C" w14:textId="7C88AC97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45727D06" w14:textId="225224ED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261,00</w:t>
            </w:r>
          </w:p>
        </w:tc>
        <w:tc>
          <w:tcPr>
            <w:tcW w:w="2409" w:type="dxa"/>
          </w:tcPr>
          <w:p w14:paraId="770AB99D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54331E74" w14:textId="64F1762E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82428B9" w14:textId="1BD3DF2C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7F663725" w14:textId="77777777" w:rsidTr="002D368E">
        <w:trPr>
          <w:trHeight w:val="1319"/>
        </w:trPr>
        <w:tc>
          <w:tcPr>
            <w:tcW w:w="2545" w:type="dxa"/>
          </w:tcPr>
          <w:p w14:paraId="2D4FC41C" w14:textId="2A256A2F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7. Liczba pracowników podmiotów wykonujących zadania publiczne nie będących pracownikami IT, objętych wsparciem szkoleniowym – kobiety</w:t>
            </w:r>
          </w:p>
        </w:tc>
        <w:tc>
          <w:tcPr>
            <w:tcW w:w="994" w:type="dxa"/>
          </w:tcPr>
          <w:p w14:paraId="68232FC0" w14:textId="786766AF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28EBC0D4" w14:textId="31DB5112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183,00</w:t>
            </w:r>
          </w:p>
        </w:tc>
        <w:tc>
          <w:tcPr>
            <w:tcW w:w="2409" w:type="dxa"/>
          </w:tcPr>
          <w:p w14:paraId="7F9D9B26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775143F4" w14:textId="1E4FA398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3A8D7AA" w14:textId="3994FD6F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7D7361A0" w14:textId="77777777" w:rsidTr="0042694C">
        <w:tc>
          <w:tcPr>
            <w:tcW w:w="2545" w:type="dxa"/>
          </w:tcPr>
          <w:p w14:paraId="0F5E94F5" w14:textId="23CB5D86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8. Liczba pracowników podmiotów wykonujących zadania publiczne nie będących pracownikami IT, objętych wsparciem szkoleniowym – mężczyźni</w:t>
            </w:r>
          </w:p>
        </w:tc>
        <w:tc>
          <w:tcPr>
            <w:tcW w:w="994" w:type="dxa"/>
          </w:tcPr>
          <w:p w14:paraId="3A854110" w14:textId="4BCF9B1F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418" w:type="dxa"/>
          </w:tcPr>
          <w:p w14:paraId="251DD649" w14:textId="767ECC00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78,00</w:t>
            </w:r>
          </w:p>
        </w:tc>
        <w:tc>
          <w:tcPr>
            <w:tcW w:w="2409" w:type="dxa"/>
          </w:tcPr>
          <w:p w14:paraId="0CC8B9AC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04B26F56" w14:textId="7AE82647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C65EE4A" w14:textId="353FFC80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50FB3050" w14:textId="77777777" w:rsidTr="0042694C">
        <w:tc>
          <w:tcPr>
            <w:tcW w:w="2545" w:type="dxa"/>
          </w:tcPr>
          <w:p w14:paraId="31F6D854" w14:textId="72C68C3E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>9. Liczba podmiotów, które usprawniły funkcjonowanie w zakresie objętym katalogiem rekomendacji dotyczących awansu cyfrowego</w:t>
            </w:r>
          </w:p>
        </w:tc>
        <w:tc>
          <w:tcPr>
            <w:tcW w:w="994" w:type="dxa"/>
          </w:tcPr>
          <w:p w14:paraId="65D5E907" w14:textId="45FF2D3F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8" w:type="dxa"/>
          </w:tcPr>
          <w:p w14:paraId="5A599B91" w14:textId="69779423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2409" w:type="dxa"/>
          </w:tcPr>
          <w:p w14:paraId="0F1FBF75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3AB1E457" w14:textId="37117C1D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591AF34" w14:textId="293462A8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7B7825" w:rsidRPr="002B50C0" w14:paraId="7F0A841A" w14:textId="77777777" w:rsidTr="0042694C">
        <w:tc>
          <w:tcPr>
            <w:tcW w:w="2545" w:type="dxa"/>
          </w:tcPr>
          <w:p w14:paraId="4F793F68" w14:textId="59B9940E" w:rsidR="007B7825" w:rsidRPr="00AA45B2" w:rsidRDefault="007B7825" w:rsidP="00AA45B2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A45B2">
              <w:rPr>
                <w:rFonts w:cs="Arial"/>
                <w:sz w:val="18"/>
                <w:szCs w:val="18"/>
                <w:lang w:val="pl-PL" w:eastAsia="pl-PL"/>
              </w:rPr>
              <w:t xml:space="preserve">10. Liczba urzędów korzystających z systemu </w:t>
            </w:r>
            <w:r w:rsidRPr="00AA45B2">
              <w:rPr>
                <w:rFonts w:cs="Arial"/>
                <w:sz w:val="18"/>
                <w:szCs w:val="18"/>
                <w:lang w:val="pl-PL" w:eastAsia="pl-PL"/>
              </w:rPr>
              <w:br/>
              <w:t>EZD RP</w:t>
            </w:r>
          </w:p>
        </w:tc>
        <w:tc>
          <w:tcPr>
            <w:tcW w:w="994" w:type="dxa"/>
          </w:tcPr>
          <w:p w14:paraId="79826A85" w14:textId="3F71D2CC" w:rsidR="007B7825" w:rsidRPr="006334BF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8" w:type="dxa"/>
          </w:tcPr>
          <w:p w14:paraId="1B3D662E" w14:textId="0CB0C3AA" w:rsidR="007B7825" w:rsidRPr="009F1DC8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2409" w:type="dxa"/>
          </w:tcPr>
          <w:p w14:paraId="00E8F9B6" w14:textId="77777777" w:rsidR="007B7825" w:rsidRDefault="000B476E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1D85C1EA" w14:textId="34D32400" w:rsidR="0042694C" w:rsidRPr="0042694C" w:rsidRDefault="0042694C" w:rsidP="007B782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F6CE143" w14:textId="168A81A9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2A7939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A9CF674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3FE993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1D6AEDA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985"/>
        <w:gridCol w:w="1701"/>
        <w:gridCol w:w="3543"/>
      </w:tblGrid>
      <w:tr w:rsidR="004C1D48" w:rsidRPr="002B50C0" w14:paraId="6B0B045E" w14:textId="77777777" w:rsidTr="00F4319B">
        <w:trPr>
          <w:tblHeader/>
        </w:trPr>
        <w:tc>
          <w:tcPr>
            <w:tcW w:w="2405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7825" w:rsidRPr="002B50C0" w14:paraId="50A66C72" w14:textId="77777777" w:rsidTr="00F4319B">
        <w:tc>
          <w:tcPr>
            <w:tcW w:w="2405" w:type="dxa"/>
          </w:tcPr>
          <w:p w14:paraId="20B36869" w14:textId="7E92C008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>System EZD RP (z aplikacją migracyjną)</w:t>
            </w:r>
          </w:p>
        </w:tc>
        <w:tc>
          <w:tcPr>
            <w:tcW w:w="1985" w:type="dxa"/>
          </w:tcPr>
          <w:p w14:paraId="31107AC1" w14:textId="77777777" w:rsidR="007B7825" w:rsidRDefault="000B476E" w:rsidP="007B782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</w:t>
            </w:r>
            <w:r w:rsidR="007B7825" w:rsidRPr="00427635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2</w:t>
            </w:r>
          </w:p>
          <w:p w14:paraId="1DB94B1B" w14:textId="2318E812" w:rsidR="00F4319B" w:rsidRPr="00141A92" w:rsidRDefault="00F4319B" w:rsidP="00F4319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82FECF" w14:textId="1B959642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C83F736" w14:textId="509F5ED5" w:rsidR="00F16D1A" w:rsidRPr="00DE2537" w:rsidRDefault="007B7825" w:rsidP="007B782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Planowana jest integracja EZD RP </w:t>
            </w: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z następującymi istniejącymi i planowanymi do realizacji </w:t>
            </w:r>
            <w:r w:rsidR="00F16D1A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e-usługami</w:t>
            </w:r>
            <w:r w:rsidR="00BC7641">
              <w:rPr>
                <w:rFonts w:ascii="Arial" w:hAnsi="Arial" w:cs="Arial"/>
                <w:color w:val="000000" w:themeColor="text1"/>
                <w:sz w:val="18"/>
                <w:szCs w:val="18"/>
              </w:rPr>
              <w:t>, systemami i rejestrami</w:t>
            </w: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46B45EF8" w14:textId="085EE22C" w:rsidR="00F16D1A" w:rsidRPr="00DE2537" w:rsidRDefault="007B7825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Węzeł Identyfikacji Elektronicznej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(KWIE)</w:t>
            </w:r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dostawca tożsamości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uwierzytelnianie</w:t>
            </w:r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; </w:t>
            </w:r>
            <w:r w:rsidR="002C38B0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3980B419" w14:textId="6408F39B" w:rsidR="00F16D1A" w:rsidRPr="00DE2537" w:rsidRDefault="007B7825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Profil Zaufany (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PZ, </w:t>
            </w:r>
            <w:proofErr w:type="spellStart"/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proofErr w:type="spellEnd"/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), </w:t>
            </w:r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dostawca tożsamości oraz wykorzystanie tzw. podpisu zaufanego;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A7C8E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D00C3AE" w14:textId="495D0359" w:rsidR="00F16D1A" w:rsidRPr="00DE2537" w:rsidRDefault="007B7825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ePUAP</w:t>
            </w:r>
            <w:proofErr w:type="spellEnd"/>
            <w:r w:rsidR="0092268B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wysyłanie i pobieranie dokumentów w trybie UPP oraz UPD; </w:t>
            </w:r>
            <w:r w:rsidR="00667CC9">
              <w:rPr>
                <w:rFonts w:ascii="Arial" w:hAnsi="Arial" w:cs="Arial"/>
                <w:color w:val="000000" w:themeColor="text1"/>
                <w:sz w:val="18"/>
                <w:szCs w:val="18"/>
              </w:rPr>
              <w:t>eksploatowany</w:t>
            </w:r>
            <w:r w:rsidR="00FC3781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0A08E7C2" w14:textId="3D8133C7" w:rsidR="00F16D1A" w:rsidRPr="00DE2537" w:rsidRDefault="00DD0B71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Platforma </w:t>
            </w:r>
            <w:r w:rsidR="007B7825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7B7825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Doręczenia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; wymiana dokumentów elektronicznych, wykorzystanie bazy adresó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elektronicznych BAE; </w:t>
            </w:r>
            <w:r w:rsidR="00667CC9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  <w:r w:rsidR="007B7825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AF03D9E" w14:textId="3D3121B1" w:rsidR="00F16D1A" w:rsidRPr="00DE2537" w:rsidRDefault="00FC3781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Platforma Elektronicznego Fakturowania (PEF); przekazywanie faktur; </w:t>
            </w:r>
            <w:r w:rsidR="00667CC9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  <w:r w:rsidR="007B7825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DF7DB90" w14:textId="54BB8116" w:rsidR="00DD0B71" w:rsidRDefault="007B7825" w:rsidP="00CD42BA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</w:t>
            </w:r>
            <w:r w:rsidR="00DD0B71">
              <w:t xml:space="preserve"> </w:t>
            </w:r>
            <w:r w:rsidR="00DD0B71" w:rsidRPr="00DD0B71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r w:rsidR="00DD0B7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; wymiana dokumentów; </w:t>
            </w:r>
            <w:r w:rsidR="00C707C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projektowanie</w:t>
            </w:r>
            <w:r w:rsidR="00DD0B71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1BAE38B1" w14:textId="4D0A6F8F" w:rsidR="00F16D1A" w:rsidRPr="00DE2537" w:rsidRDefault="007B7825" w:rsidP="00DE2537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widok.gov.p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l; publikacja statystyk z e-usług; </w:t>
            </w:r>
            <w:r w:rsidR="00667CC9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75EBB78D" w14:textId="4587BDCE" w:rsidR="007B7825" w:rsidRPr="00DE2537" w:rsidRDefault="00FC3781" w:rsidP="00CD42BA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Otwarte dane (</w:t>
            </w:r>
            <w:r w:rsidR="007B7825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danepubliczne.gov.pl</w:t>
            </w: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); publikacja danych publicznych; </w:t>
            </w:r>
            <w:r w:rsidR="00C707C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projektowanie</w:t>
            </w: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5AB303EF" w14:textId="3244ED41" w:rsidR="00FC3781" w:rsidRDefault="00FC3781" w:rsidP="00CD42BA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Archiwum Dokumentów Elektronicznych ADE; </w:t>
            </w:r>
            <w:r w:rsidR="00CD42BA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archiw</w:t>
            </w:r>
            <w:r w:rsidR="00DD0B71">
              <w:rPr>
                <w:rFonts w:ascii="Arial" w:hAnsi="Arial" w:cs="Arial"/>
                <w:color w:val="000000" w:themeColor="text1"/>
                <w:sz w:val="18"/>
                <w:szCs w:val="18"/>
              </w:rPr>
              <w:t>alnych</w:t>
            </w:r>
            <w:r w:rsidR="00CD42BA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elektronicznych; </w:t>
            </w:r>
            <w:r w:rsidR="00C707CD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</w:t>
            </w:r>
            <w:r w:rsidR="00C707CD">
              <w:rPr>
                <w:rFonts w:ascii="Arial" w:hAnsi="Arial" w:cs="Arial"/>
                <w:color w:val="000000" w:themeColor="text1"/>
                <w:sz w:val="18"/>
                <w:szCs w:val="18"/>
              </w:rPr>
              <w:t>owanie</w:t>
            </w:r>
            <w:r w:rsidR="00CD42BA" w:rsidRPr="00DE253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43CDFE6D" w14:textId="73D1B22B" w:rsidR="00DD0B71" w:rsidRPr="00F4319B" w:rsidRDefault="00DD0B71" w:rsidP="00F4319B">
            <w:pPr>
              <w:pStyle w:val="Akapitzlist"/>
              <w:numPr>
                <w:ilvl w:val="0"/>
                <w:numId w:val="22"/>
              </w:numPr>
              <w:ind w:left="176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Katalogi Administracji Publiczne</w:t>
            </w:r>
            <w:r w:rsidR="00B0686F">
              <w:rPr>
                <w:rFonts w:ascii="Arial" w:hAnsi="Arial" w:cs="Arial"/>
                <w:color w:val="000000" w:themeColor="text1"/>
                <w:sz w:val="18"/>
                <w:szCs w:val="18"/>
              </w:rPr>
              <w:t>j (KAP)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; wykorzystanie KPP oraz KWD; pro</w:t>
            </w:r>
            <w:r w:rsidR="00B1149C">
              <w:rPr>
                <w:rFonts w:ascii="Arial" w:hAnsi="Arial" w:cs="Arial"/>
                <w:color w:val="000000" w:themeColor="text1"/>
                <w:sz w:val="18"/>
                <w:szCs w:val="18"/>
              </w:rPr>
              <w:t>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ektowanie</w:t>
            </w:r>
            <w:r w:rsidR="00F4319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7B7825" w:rsidRPr="002B50C0" w14:paraId="41C05C62" w14:textId="77777777" w:rsidTr="00F4319B">
        <w:tc>
          <w:tcPr>
            <w:tcW w:w="2405" w:type="dxa"/>
          </w:tcPr>
          <w:p w14:paraId="7BB2BB78" w14:textId="7EA03C76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lastRenderedPageBreak/>
              <w:t xml:space="preserve">Infrastruktura chmurowa, udostępniająca EZD RP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27635">
              <w:rPr>
                <w:rFonts w:ascii="Arial" w:hAnsi="Arial" w:cs="Arial"/>
                <w:sz w:val="18"/>
                <w:szCs w:val="18"/>
              </w:rPr>
              <w:t>(w modelu SaaS)</w:t>
            </w:r>
          </w:p>
        </w:tc>
        <w:tc>
          <w:tcPr>
            <w:tcW w:w="1985" w:type="dxa"/>
          </w:tcPr>
          <w:p w14:paraId="04091CF5" w14:textId="77777777" w:rsidR="007B7825" w:rsidRDefault="000B476E" w:rsidP="007B782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</w:t>
            </w:r>
            <w:r w:rsidRPr="00427635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2</w:t>
            </w:r>
          </w:p>
          <w:p w14:paraId="12CEE418" w14:textId="0D8BCCBD" w:rsidR="00F4319B" w:rsidRPr="00141A92" w:rsidRDefault="00F4319B" w:rsidP="00F4319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112165" w14:textId="77777777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3AEDC3" w14:textId="77777777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B7825" w:rsidRPr="002B50C0" w14:paraId="3897D7DF" w14:textId="77777777" w:rsidTr="00B2087D">
        <w:tc>
          <w:tcPr>
            <w:tcW w:w="3265" w:type="dxa"/>
          </w:tcPr>
          <w:p w14:paraId="25374FF2" w14:textId="1FF0C31A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Problemy z integracją systemu EZD RP z innymi systemami </w:t>
            </w:r>
          </w:p>
        </w:tc>
        <w:tc>
          <w:tcPr>
            <w:tcW w:w="1697" w:type="dxa"/>
          </w:tcPr>
          <w:p w14:paraId="5602BE9F" w14:textId="352FF3BA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BA6097B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BC65E2A" w14:textId="3325F4EB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Przygotowanie i udostępnienie dokumentacji technicznej EZD RP niezbędnej do integracji z innymi systemami. Zapewnienie zgodności EZD z ustawą o informatyzacji (w tym rozporządzeniem KRI). Współpraca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z resortami i urzędami centralnymi, dysponentami tych systemów.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4177117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125A2E57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pozwolą na redukowanie ryzyka lub też jego współdzielenie – system będzie posiadał odpowiedni zestaw API umożliwiający integrację z innymi systemami bez udziału twórcy systemu. </w:t>
            </w:r>
          </w:p>
          <w:p w14:paraId="28B06ED0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4257AD15" w14:textId="1397E5AD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7B7825" w:rsidRPr="002B50C0" w14:paraId="3B9CD8B9" w14:textId="77777777" w:rsidTr="00B2087D">
        <w:tc>
          <w:tcPr>
            <w:tcW w:w="3265" w:type="dxa"/>
          </w:tcPr>
          <w:p w14:paraId="13384A6B" w14:textId="4552D598" w:rsidR="007B7825" w:rsidRPr="00D470C4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 xml:space="preserve">Rotacja personelu uczestniczącego </w:t>
            </w:r>
            <w:r w:rsidRPr="00D470C4">
              <w:rPr>
                <w:rFonts w:ascii="Arial" w:hAnsi="Arial" w:cs="Arial"/>
                <w:sz w:val="18"/>
                <w:szCs w:val="20"/>
              </w:rPr>
              <w:br/>
              <w:t>w projekcie</w:t>
            </w:r>
          </w:p>
        </w:tc>
        <w:tc>
          <w:tcPr>
            <w:tcW w:w="1697" w:type="dxa"/>
          </w:tcPr>
          <w:p w14:paraId="718BB51F" w14:textId="39F62659" w:rsidR="007B7825" w:rsidRPr="00D470C4" w:rsidRDefault="002D368E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7B066B1" w14:textId="40A98529" w:rsidR="007B7825" w:rsidRPr="00D470C4" w:rsidRDefault="00D470C4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BBB05C8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Zapewnienie odpowiedniej liczby pracowników wnioskodawcy zaangażowanych w </w:t>
            </w: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realizację projektu. Zabezpieczenie w budżecie projektu odpowiednich wydatków na wynagrodzenia osób zaangażowanych w projekt. Odpowiednia motywacja pracowników.</w:t>
            </w:r>
          </w:p>
          <w:p w14:paraId="20D98C7F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4EF9883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działań jest zmniejszenia prawdopodobieństwa wystąpienia zjawiska rotacji lub zmniejszenie wpływu poprzez  długookresowe i trwałe zaangażowanie pracowników przy realizacji zadań w projekcie oraz  dostosowywanie poziomu zatrudnienia oraz dopasowywanie czynników motywacyjnych do bieżącej sytuacji.</w:t>
            </w:r>
          </w:p>
          <w:p w14:paraId="06BAB229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656054AA" w14:textId="435176D5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7B7825" w:rsidRPr="002B50C0" w14:paraId="0AEA6D84" w14:textId="77777777" w:rsidTr="00B2087D">
        <w:tc>
          <w:tcPr>
            <w:tcW w:w="3265" w:type="dxa"/>
          </w:tcPr>
          <w:p w14:paraId="5CDFD53F" w14:textId="27489C1A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Zmiany w otoczeniu prawnym</w:t>
            </w:r>
          </w:p>
        </w:tc>
        <w:tc>
          <w:tcPr>
            <w:tcW w:w="1697" w:type="dxa"/>
          </w:tcPr>
          <w:p w14:paraId="1204A882" w14:textId="2799594E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C135CD" w14:textId="4103C03B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7F2686E" w14:textId="44246F93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Monitorowanie planów legislacyjnych, uzgodnienia z </w:t>
            </w:r>
            <w:r w:rsidR="002D368E">
              <w:rPr>
                <w:rFonts w:ascii="Arial" w:hAnsi="Arial" w:cs="Arial"/>
                <w:sz w:val="18"/>
                <w:szCs w:val="20"/>
              </w:rPr>
              <w:t>KPRM-cyfryzacja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 w:rsidRPr="00606269">
              <w:rPr>
                <w:rFonts w:ascii="Arial" w:hAnsi="Arial" w:cs="Arial"/>
                <w:sz w:val="18"/>
                <w:szCs w:val="20"/>
              </w:rPr>
              <w:t>MIiR</w:t>
            </w:r>
            <w:proofErr w:type="spellEnd"/>
            <w:r w:rsidRPr="00606269">
              <w:rPr>
                <w:rFonts w:ascii="Arial" w:hAnsi="Arial" w:cs="Arial"/>
                <w:sz w:val="18"/>
                <w:szCs w:val="20"/>
              </w:rPr>
              <w:t xml:space="preserve"> i KRMC.</w:t>
            </w:r>
          </w:p>
          <w:p w14:paraId="399D2B5D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D955BBC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Powyższe działania mają na celu redukcję ryzyka poprzez dostosowywanie produktów projektu do zmian wprowadzanych w obowiązujących przepisach prawa.</w:t>
            </w:r>
          </w:p>
          <w:p w14:paraId="45ED2A0A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A39EA9E" w14:textId="3672AD4E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7B7825" w:rsidRPr="002B50C0" w14:paraId="55EF1B2B" w14:textId="77777777" w:rsidTr="00B2087D">
        <w:tc>
          <w:tcPr>
            <w:tcW w:w="3265" w:type="dxa"/>
          </w:tcPr>
          <w:p w14:paraId="5E782AAE" w14:textId="686F63D9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Niestabilne otoczenie techniczne – część systemów integrowanych jest dopiero planowana, nieznane lub zmieniane interfejsy</w:t>
            </w:r>
          </w:p>
        </w:tc>
        <w:tc>
          <w:tcPr>
            <w:tcW w:w="1697" w:type="dxa"/>
          </w:tcPr>
          <w:p w14:paraId="430A4B39" w14:textId="145665DC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CF4A6C4" w14:textId="15760204" w:rsidR="007B7825" w:rsidRPr="00141A92" w:rsidRDefault="00C707CD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D9B254D" w14:textId="336E1028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zmian na etapie ich planowania, uzgodnienia z podmiotami planującymi lub dokonującymi modyfikacji.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Zastąpienie referencyjności kopiowaniem danych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odniesieniu do systemów planowanych i niestabilnych (technicznie lub prawnie).</w:t>
            </w:r>
          </w:p>
          <w:p w14:paraId="24725A32" w14:textId="77777777" w:rsidR="00F90D62" w:rsidRDefault="00F90D62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3F8C7250" w14:textId="2B37426C" w:rsidR="00753C1B" w:rsidRDefault="00753C1B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753C1B">
              <w:rPr>
                <w:rFonts w:ascii="Arial" w:hAnsi="Arial" w:cs="Arial"/>
                <w:sz w:val="18"/>
                <w:szCs w:val="20"/>
              </w:rPr>
              <w:t>System EZD RP umożliwi wykonanie dedykowanych metod wymiany</w:t>
            </w:r>
            <w:r>
              <w:rPr>
                <w:rFonts w:ascii="Arial" w:hAnsi="Arial" w:cs="Arial"/>
                <w:sz w:val="18"/>
                <w:szCs w:val="20"/>
              </w:rPr>
              <w:t xml:space="preserve"> danych</w:t>
            </w:r>
            <w:r w:rsidRPr="00753C1B">
              <w:rPr>
                <w:rFonts w:ascii="Arial" w:hAnsi="Arial" w:cs="Arial"/>
                <w:sz w:val="18"/>
                <w:szCs w:val="20"/>
              </w:rPr>
              <w:t xml:space="preserve"> z innymi systemami z wykorzystaniem standardowego API systemu EZD RP.</w:t>
            </w:r>
          </w:p>
          <w:p w14:paraId="46E729E6" w14:textId="77777777" w:rsidR="00753C1B" w:rsidRDefault="00753C1B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06E9185" w14:textId="720AA4FB" w:rsidR="00F90D62" w:rsidRDefault="00F90D62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Ponadto, z</w:t>
            </w:r>
            <w:r w:rsidRPr="00F90D62">
              <w:rPr>
                <w:rFonts w:ascii="Arial" w:hAnsi="Arial" w:cs="Arial"/>
                <w:sz w:val="18"/>
                <w:szCs w:val="20"/>
              </w:rPr>
              <w:t xml:space="preserve"> uwagi na</w:t>
            </w:r>
            <w:r>
              <w:rPr>
                <w:rFonts w:ascii="Arial" w:hAnsi="Arial" w:cs="Arial"/>
                <w:sz w:val="18"/>
                <w:szCs w:val="20"/>
              </w:rPr>
              <w:t xml:space="preserve"> zbliżający się </w:t>
            </w:r>
            <w:r w:rsidRPr="00F90D62">
              <w:rPr>
                <w:rFonts w:ascii="Arial" w:hAnsi="Arial" w:cs="Arial"/>
                <w:sz w:val="18"/>
                <w:szCs w:val="20"/>
              </w:rPr>
              <w:t xml:space="preserve">czas </w:t>
            </w:r>
            <w:r>
              <w:rPr>
                <w:rFonts w:ascii="Arial" w:hAnsi="Arial" w:cs="Arial"/>
                <w:sz w:val="18"/>
                <w:szCs w:val="20"/>
              </w:rPr>
              <w:t xml:space="preserve">zakończenia </w:t>
            </w:r>
            <w:r w:rsidRPr="00F90D62">
              <w:rPr>
                <w:rFonts w:ascii="Arial" w:hAnsi="Arial" w:cs="Arial"/>
                <w:sz w:val="18"/>
                <w:szCs w:val="20"/>
              </w:rPr>
              <w:t>realizacji projektu EZD RP</w:t>
            </w:r>
            <w:r>
              <w:rPr>
                <w:rFonts w:ascii="Arial" w:hAnsi="Arial" w:cs="Arial"/>
                <w:sz w:val="18"/>
                <w:szCs w:val="20"/>
              </w:rPr>
              <w:t xml:space="preserve"> oraz wobec</w:t>
            </w:r>
            <w:r w:rsidRPr="00F90D62">
              <w:rPr>
                <w:rFonts w:ascii="Arial" w:hAnsi="Arial" w:cs="Arial"/>
                <w:sz w:val="18"/>
                <w:szCs w:val="20"/>
              </w:rPr>
              <w:t xml:space="preserve"> przesunięcia terminów realizacji innych projektów i ich produktów</w:t>
            </w:r>
            <w:r>
              <w:rPr>
                <w:rFonts w:ascii="Arial" w:hAnsi="Arial" w:cs="Arial"/>
                <w:sz w:val="18"/>
                <w:szCs w:val="20"/>
              </w:rPr>
              <w:t xml:space="preserve">, część zaplanowanych </w:t>
            </w:r>
            <w:r w:rsidR="004F2396">
              <w:rPr>
                <w:rFonts w:ascii="Arial" w:hAnsi="Arial" w:cs="Arial"/>
                <w:sz w:val="18"/>
                <w:szCs w:val="20"/>
              </w:rPr>
              <w:t xml:space="preserve">specjalistycznych </w:t>
            </w:r>
            <w:r>
              <w:rPr>
                <w:rFonts w:ascii="Arial" w:hAnsi="Arial" w:cs="Arial"/>
                <w:sz w:val="18"/>
                <w:szCs w:val="20"/>
              </w:rPr>
              <w:t>integracji zostanie z</w:t>
            </w:r>
            <w:r w:rsidRPr="00F90D62">
              <w:rPr>
                <w:rFonts w:ascii="Arial" w:hAnsi="Arial" w:cs="Arial"/>
                <w:sz w:val="18"/>
                <w:szCs w:val="20"/>
              </w:rPr>
              <w:t>realizowan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F90D62">
              <w:rPr>
                <w:rFonts w:ascii="Arial" w:hAnsi="Arial" w:cs="Arial"/>
                <w:sz w:val="18"/>
                <w:szCs w:val="20"/>
              </w:rPr>
              <w:t xml:space="preserve"> w okresie utrzymania i eksploatacji systemu.</w:t>
            </w:r>
          </w:p>
          <w:p w14:paraId="23F2F3C2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3A7E2BD3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mają na celu redukcję ryzyka poprzez dostosowywanie produktów projektu do wprowadzanych nowych usług lub zmian w usługach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eAdministracji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5640908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0AE9DF8" w14:textId="59F0F50F" w:rsidR="007B7825" w:rsidRPr="00141A92" w:rsidRDefault="004F2396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7B7825" w:rsidRPr="002B50C0" w14:paraId="39F8D584" w14:textId="77777777" w:rsidTr="00B2087D">
        <w:tc>
          <w:tcPr>
            <w:tcW w:w="3265" w:type="dxa"/>
          </w:tcPr>
          <w:p w14:paraId="2E87DA3C" w14:textId="49D4AE21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Przekroczenie planowanego budżetu inwestycji w związku ze zmianami cen rynkowych w czasie realizacji projektu (poziom inflacji, zmiana stóp procentowych, zmiany kursów walutowych)</w:t>
            </w:r>
          </w:p>
        </w:tc>
        <w:tc>
          <w:tcPr>
            <w:tcW w:w="1697" w:type="dxa"/>
          </w:tcPr>
          <w:p w14:paraId="2CCBECB7" w14:textId="3BCDA9EE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644F5CF" w14:textId="5BFCD059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CD1CBB7" w14:textId="77777777" w:rsidR="007B7825" w:rsidRDefault="007B7825" w:rsidP="007B782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Stały monitoring finansowy postępów realizacji projektu. Śledzenie trendów rynkowych.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Zabezpieczenie rezerwy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>w budżecie projektu.</w:t>
            </w:r>
          </w:p>
          <w:p w14:paraId="6780D5BD" w14:textId="77777777" w:rsidR="007B7825" w:rsidRPr="00C66BB7" w:rsidRDefault="007B7825" w:rsidP="007B7825"/>
          <w:p w14:paraId="54949E95" w14:textId="77777777" w:rsidR="007B7825" w:rsidRPr="00CC7D91" w:rsidRDefault="007B7825" w:rsidP="007B7825">
            <w:pPr>
              <w:suppressAutoHyphens/>
            </w:pPr>
            <w:r>
              <w:rPr>
                <w:rFonts w:ascii="Arial" w:hAnsi="Arial" w:cs="Arial"/>
                <w:sz w:val="18"/>
                <w:szCs w:val="20"/>
              </w:rPr>
              <w:t>Powyższe działania zapewnią realizację projektu w ramach zabezpieczonych środków finansowych.</w:t>
            </w:r>
          </w:p>
          <w:p w14:paraId="64949BAF" w14:textId="77777777" w:rsidR="007B7825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3E96CB0F" w14:textId="34257572" w:rsidR="007B7825" w:rsidRPr="00141A92" w:rsidRDefault="007B7825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7B7825" w:rsidRPr="002B50C0" w14:paraId="1D19BDD9" w14:textId="77777777" w:rsidTr="00B2087D">
        <w:tc>
          <w:tcPr>
            <w:tcW w:w="3265" w:type="dxa"/>
          </w:tcPr>
          <w:p w14:paraId="1A240558" w14:textId="645D267F" w:rsidR="007B7825" w:rsidRPr="00141A92" w:rsidRDefault="007B7825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Przesunięcia</w:t>
            </w:r>
            <w:r w:rsidR="00AF69C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/przekroczenia terminów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harmonogramie realizacji projektu skutkujące nieukończeniem realizacji inwestycji w terminie</w:t>
            </w:r>
          </w:p>
        </w:tc>
        <w:tc>
          <w:tcPr>
            <w:tcW w:w="1697" w:type="dxa"/>
          </w:tcPr>
          <w:p w14:paraId="72EDB305" w14:textId="49CA2454" w:rsidR="007B7825" w:rsidRPr="00D470C4" w:rsidRDefault="007B7825" w:rsidP="007B7825">
            <w:pPr>
              <w:rPr>
                <w:rFonts w:ascii="Arial" w:hAnsi="Arial" w:cs="Arial"/>
                <w:color w:val="0070C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3F9AD8C" w14:textId="5A6CC40A" w:rsidR="007B7825" w:rsidRPr="00D470C4" w:rsidRDefault="00D470C4" w:rsidP="007B78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347FCF6" w14:textId="77777777" w:rsidR="007B7825" w:rsidRPr="00D470C4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 xml:space="preserve">Bieżący monitoring postępu prac </w:t>
            </w:r>
            <w:r w:rsidRPr="00D470C4">
              <w:rPr>
                <w:rFonts w:ascii="Arial" w:hAnsi="Arial" w:cs="Arial"/>
                <w:sz w:val="18"/>
                <w:szCs w:val="20"/>
              </w:rPr>
              <w:br/>
              <w:t>i ujawniających się czynników zagrożenia oraz efektywne podejmowanie decyzji przez osoby zarządzające projektem.</w:t>
            </w:r>
          </w:p>
          <w:p w14:paraId="3BC04B73" w14:textId="77777777" w:rsidR="007B7825" w:rsidRPr="00D470C4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B1B4BB3" w14:textId="77777777" w:rsidR="007B7825" w:rsidRPr="00D470C4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470C4">
              <w:rPr>
                <w:rFonts w:ascii="Arial" w:hAnsi="Arial" w:cs="Arial"/>
                <w:sz w:val="18"/>
                <w:szCs w:val="20"/>
              </w:rPr>
              <w:t>Powyższe działania mają na celu redukcję ryzyka poprzez ciągłe identyfikowanie opóźnień zagrażających terminowi końcowemu, opracowywanie i wdrażanie planów naprawczych.</w:t>
            </w:r>
          </w:p>
          <w:p w14:paraId="4133F276" w14:textId="77777777" w:rsidR="007B7825" w:rsidRPr="00D470C4" w:rsidRDefault="007B7825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3C838889" w14:textId="73277AF9" w:rsidR="007B7825" w:rsidRPr="00D470C4" w:rsidRDefault="0010382A" w:rsidP="007B782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C06B8C" w:rsidRPr="002B50C0" w14:paraId="6DD8E958" w14:textId="77777777" w:rsidTr="00B2087D">
        <w:tc>
          <w:tcPr>
            <w:tcW w:w="3265" w:type="dxa"/>
          </w:tcPr>
          <w:p w14:paraId="0641FC28" w14:textId="1D32271E" w:rsidR="00C06B8C" w:rsidRPr="00606269" w:rsidRDefault="00C06B8C" w:rsidP="007B7825">
            <w:pPr>
              <w:rPr>
                <w:rFonts w:ascii="Arial" w:hAnsi="Arial" w:cs="Arial"/>
                <w:sz w:val="18"/>
                <w:szCs w:val="20"/>
              </w:rPr>
            </w:pPr>
            <w:r w:rsidRPr="00C06B8C">
              <w:rPr>
                <w:rFonts w:ascii="Arial" w:hAnsi="Arial" w:cs="Arial"/>
                <w:sz w:val="18"/>
                <w:szCs w:val="20"/>
              </w:rPr>
              <w:lastRenderedPageBreak/>
              <w:t>Ograniczone możliwości zaangażowania niektórych jednostek pilotażowych w pilotaż</w:t>
            </w:r>
            <w:r w:rsidR="00DE2163">
              <w:rPr>
                <w:rFonts w:ascii="Arial" w:hAnsi="Arial" w:cs="Arial"/>
                <w:sz w:val="18"/>
                <w:szCs w:val="20"/>
              </w:rPr>
              <w:t xml:space="preserve"> systemu</w:t>
            </w:r>
            <w:r w:rsidRPr="00C06B8C">
              <w:rPr>
                <w:rFonts w:ascii="Arial" w:hAnsi="Arial" w:cs="Arial"/>
                <w:sz w:val="18"/>
                <w:szCs w:val="20"/>
              </w:rPr>
              <w:t xml:space="preserve"> - ze względu na priorytetowe inne obowiązki związane z pandemią COVID-19.</w:t>
            </w:r>
          </w:p>
        </w:tc>
        <w:tc>
          <w:tcPr>
            <w:tcW w:w="1697" w:type="dxa"/>
          </w:tcPr>
          <w:p w14:paraId="2C7340DB" w14:textId="228E422B" w:rsidR="00C06B8C" w:rsidRPr="00D470C4" w:rsidRDefault="00C06B8C" w:rsidP="007B782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C8BDF7C" w14:textId="08F967DE" w:rsidR="00C06B8C" w:rsidRPr="00D470C4" w:rsidRDefault="00C06B8C" w:rsidP="007B782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2FCE81" w14:textId="4BE4B7ED" w:rsidR="00C06B8C" w:rsidRDefault="00C06B8C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C06B8C">
              <w:rPr>
                <w:rFonts w:ascii="Arial" w:hAnsi="Arial" w:cs="Arial"/>
                <w:sz w:val="18"/>
                <w:szCs w:val="20"/>
              </w:rPr>
              <w:t>Dodatkowe wsparcie, dostosowywanie się do terminów proponowanych przez jednostkę pilotażową. Zaplanowanie dodatkowych szkoleń i realizacja zadań w dodatkowych terminach.</w:t>
            </w:r>
          </w:p>
          <w:p w14:paraId="20296EA8" w14:textId="77777777" w:rsidR="00C06B8C" w:rsidRDefault="00C06B8C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4591FB3" w14:textId="77777777" w:rsidR="00C06B8C" w:rsidRDefault="00C06B8C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D096E49" w14:textId="3373C97F" w:rsidR="00C06B8C" w:rsidRPr="00D470C4" w:rsidRDefault="00F4319B" w:rsidP="007B7825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 zakresie ryzyka nie nastąpiła zmiana w stosunku do poprzedniego okresu sprawozdawczego</w:t>
            </w:r>
            <w:r w:rsidR="00C06B8C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649AB12C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51F00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7382F82" w:rsidR="00D51F00" w:rsidRPr="0091332C" w:rsidRDefault="00D51F00" w:rsidP="00D51F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Zmiana przepisów regulujących procedury realizowane przez system EZD RP</w:t>
            </w:r>
          </w:p>
        </w:tc>
        <w:tc>
          <w:tcPr>
            <w:tcW w:w="1701" w:type="dxa"/>
            <w:shd w:val="clear" w:color="auto" w:fill="FFFFFF"/>
          </w:tcPr>
          <w:p w14:paraId="2F0B777F" w14:textId="11834899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484DC29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27FF1525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Bieżące monitorowanie zmian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w przepisach prawnych. Projektowanie systemu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 sposób umożliwiający wprowadzanie zmian poprzez rekonfigurację.</w:t>
            </w:r>
          </w:p>
        </w:tc>
      </w:tr>
      <w:tr w:rsidR="00D51F00" w:rsidRPr="001B6667" w14:paraId="554CBF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C8DBA1A" w14:textId="7FDAF6D7" w:rsidR="00D51F00" w:rsidRPr="0091332C" w:rsidRDefault="00D51F00" w:rsidP="00D51F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Utrata bezpieczeństwa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stabilności systemu EZD RP udostępnionego jako usługa chmurowa</w:t>
            </w:r>
          </w:p>
        </w:tc>
        <w:tc>
          <w:tcPr>
            <w:tcW w:w="1701" w:type="dxa"/>
            <w:shd w:val="clear" w:color="auto" w:fill="FFFFFF"/>
          </w:tcPr>
          <w:p w14:paraId="34293004" w14:textId="0E3CA479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B23E89D" w14:textId="477E6DEE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B9F9CBD" w14:textId="584C113C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Analiza głównych przyczyn dotychczasowych problemów. Uwzględnienie historycznych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i potencjalnych scenariuszy zagrażających bezpieczeństwu systemu. Doświadczenie, wiedza i narzędzia NASK odpowiedzialnego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przedsięwzięciu za bezpieczeństwo. </w:t>
            </w:r>
          </w:p>
        </w:tc>
      </w:tr>
      <w:tr w:rsidR="00D51F00" w:rsidRPr="001B6667" w14:paraId="4B175C2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6BC0E1" w14:textId="793E1976" w:rsidR="00D51F00" w:rsidRPr="0091332C" w:rsidRDefault="00D51F00" w:rsidP="00D51F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Ryzyko rotacji personelu 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39D35AA5" w14:textId="5E63CEEF" w:rsidR="00D51F00" w:rsidRPr="0091332C" w:rsidRDefault="00D51F00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C493CC9" w14:textId="33A906EE" w:rsidR="00D51F00" w:rsidRPr="0091332C" w:rsidRDefault="00E07D45" w:rsidP="00D51F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6844829" w14:textId="77777777" w:rsidR="00D51F00" w:rsidRDefault="00D51F00" w:rsidP="00D51F0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Zapewnienie odpowiedniej liczby pracowników wnioskodawcy zaangażowanych w utrzymanie produktów projektu. Zabezpieczenie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budżecie projektu odpowiednich wydatków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na wynagrodzenia osób zaangażowanych w utrzymanie produktów projektu. Odpowiednia motywacja pracowników.</w:t>
            </w:r>
          </w:p>
          <w:p w14:paraId="4F7A867B" w14:textId="77777777" w:rsidR="003D0270" w:rsidRDefault="003D0270" w:rsidP="003D0270"/>
          <w:p w14:paraId="20ADEAD9" w14:textId="6C98D6DF" w:rsidR="003D0270" w:rsidRPr="003D0270" w:rsidRDefault="003D0270" w:rsidP="003D0270">
            <w:r>
              <w:rPr>
                <w:rFonts w:ascii="Arial" w:hAnsi="Arial" w:cs="Arial"/>
                <w:sz w:val="18"/>
                <w:szCs w:val="20"/>
              </w:rPr>
              <w:t>W zakresie ryzyka zwiększyło się prawdopodobieństwo</w:t>
            </w:r>
            <w:r w:rsidR="00C75E11">
              <w:rPr>
                <w:rFonts w:ascii="Arial" w:hAnsi="Arial" w:cs="Arial"/>
                <w:sz w:val="18"/>
                <w:szCs w:val="20"/>
              </w:rPr>
              <w:t>. Część pracowników zaangażowanych w projekt odeszła a prowadzone w celu uzupełnienia rekrutacje nie przynoszą efektów z uwagi na brak kandydatów o określonych kompetencjach lub ich zbyt wysokie oczekiwania finansowe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33071B39" w14:textId="705D8D5A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0049BE6" w14:textId="77777777" w:rsidR="00D51F00" w:rsidRPr="00805178" w:rsidRDefault="00D51F00" w:rsidP="00D51F00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E707801" w14:textId="2387C73F" w:rsidR="00A92887" w:rsidRPr="00D51F00" w:rsidRDefault="00BB059E" w:rsidP="008564DE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D51F0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51F00">
        <w:rPr>
          <w:rFonts w:ascii="Arial" w:hAnsi="Arial" w:cs="Arial"/>
          <w:b/>
        </w:rPr>
        <w:t xml:space="preserve"> </w:t>
      </w:r>
    </w:p>
    <w:p w14:paraId="5CB87E45" w14:textId="77777777" w:rsidR="00D51F00" w:rsidRPr="00D51F00" w:rsidRDefault="00D51F00" w:rsidP="00D51F00">
      <w:pPr>
        <w:pStyle w:val="Akapitzlist"/>
        <w:rPr>
          <w:rFonts w:ascii="Arial" w:hAnsi="Arial" w:cs="Arial"/>
        </w:rPr>
      </w:pPr>
    </w:p>
    <w:p w14:paraId="6D6E09D0" w14:textId="7D7D81FB" w:rsidR="00D51F00" w:rsidRPr="00EF2AE1" w:rsidRDefault="00D51F00" w:rsidP="00D51F00">
      <w:r w:rsidRPr="00A16E9D">
        <w:rPr>
          <w:rFonts w:ascii="Arial" w:hAnsi="Arial" w:cs="Arial"/>
          <w:sz w:val="18"/>
          <w:szCs w:val="18"/>
        </w:rPr>
        <w:t>Sławomir Zych, Oddział NASK w Białymstoku,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hyperlink r:id="rId10" w:history="1">
        <w:r w:rsidRPr="00FC03A6">
          <w:rPr>
            <w:rStyle w:val="Hipercze"/>
            <w:rFonts w:ascii="Arial" w:hAnsi="Arial" w:cs="Arial"/>
            <w:sz w:val="18"/>
            <w:szCs w:val="18"/>
          </w:rPr>
          <w:t>slawomir.zych@nask.pl</w:t>
        </w:r>
      </w:hyperlink>
      <w:r w:rsidRPr="00856A1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856A12">
        <w:rPr>
          <w:rFonts w:ascii="Arial" w:hAnsi="Arial" w:cs="Arial"/>
          <w:sz w:val="18"/>
          <w:szCs w:val="18"/>
        </w:rPr>
        <w:t xml:space="preserve">tel. </w:t>
      </w:r>
      <w:r>
        <w:rPr>
          <w:rFonts w:ascii="Arial" w:hAnsi="Arial" w:cs="Arial"/>
          <w:sz w:val="18"/>
          <w:szCs w:val="18"/>
        </w:rPr>
        <w:t>608 300 629</w:t>
      </w:r>
    </w:p>
    <w:p w14:paraId="2AF38EC2" w14:textId="77777777" w:rsidR="00D51F00" w:rsidRPr="00D51F00" w:rsidRDefault="00D51F00" w:rsidP="00D51F00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DA2FC2">
      <w:pgSz w:w="11906" w:h="16838"/>
      <w:pgMar w:top="851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43E06D53" w14:textId="13CED4FC" w:rsidR="007E39D7" w:rsidRPr="007E39D7" w:rsidRDefault="007E39D7" w:rsidP="007E39D7">
      <w:pPr>
        <w:rPr>
          <w:rFonts w:ascii="Calibri" w:eastAsia="Times New Roman" w:hAnsi="Calibri" w:cs="Calibri"/>
          <w:color w:val="000000"/>
          <w:lang w:eastAsia="pl-PL"/>
        </w:rPr>
      </w:pPr>
      <w:r>
        <w:rPr>
          <w:rStyle w:val="Odwoaniedokomentarza"/>
        </w:rPr>
        <w:annotationRef/>
      </w:r>
      <w:r w:rsidRPr="007E39D7">
        <w:rPr>
          <w:rFonts w:ascii="Calibri" w:eastAsia="Times New Roman" w:hAnsi="Calibri" w:cs="Calibri"/>
          <w:color w:val="000000"/>
          <w:lang w:eastAsia="pl-PL"/>
        </w:rPr>
        <w:t xml:space="preserve">Proszę o podanie podstawy prawnej i daty, od której zmiana obowiązuje np. daty podpisania aneksu do </w:t>
      </w:r>
      <w:proofErr w:type="spellStart"/>
      <w:r w:rsidRPr="007E39D7">
        <w:rPr>
          <w:rFonts w:ascii="Calibri" w:eastAsia="Times New Roman" w:hAnsi="Calibri" w:cs="Calibri"/>
          <w:color w:val="000000"/>
          <w:lang w:eastAsia="pl-PL"/>
        </w:rPr>
        <w:t>UoD</w:t>
      </w:r>
      <w:proofErr w:type="spellEnd"/>
      <w:r w:rsidRPr="007E39D7">
        <w:rPr>
          <w:rFonts w:ascii="Calibri" w:eastAsia="Times New Roman" w:hAnsi="Calibri" w:cs="Calibri"/>
          <w:color w:val="000000"/>
          <w:lang w:eastAsia="pl-PL"/>
        </w:rPr>
        <w:t>/</w:t>
      </w:r>
      <w:proofErr w:type="spellStart"/>
      <w:r w:rsidRPr="007E39D7">
        <w:rPr>
          <w:rFonts w:ascii="Calibri" w:eastAsia="Times New Roman" w:hAnsi="Calibri" w:cs="Calibri"/>
          <w:color w:val="000000"/>
          <w:lang w:eastAsia="pl-PL"/>
        </w:rPr>
        <w:t>PoD</w:t>
      </w:r>
      <w:proofErr w:type="spellEnd"/>
      <w:r w:rsidRPr="007E39D7">
        <w:rPr>
          <w:rFonts w:ascii="Calibri" w:eastAsia="Times New Roman" w:hAnsi="Calibri" w:cs="Calibri"/>
          <w:color w:val="000000"/>
          <w:lang w:eastAsia="pl-PL"/>
        </w:rPr>
        <w:t xml:space="preserve"> lub daty  akceptacji IP w związku z Covid-19 lub decyzja KS w przypadku projektów nie współfinansowanych ze środków UE</w:t>
      </w:r>
    </w:p>
    <w:p w14:paraId="5AEA87E7" w14:textId="726C963C" w:rsidR="007E39D7" w:rsidRDefault="007E39D7">
      <w:pPr>
        <w:pStyle w:val="Tekstkomentarza"/>
      </w:pPr>
    </w:p>
  </w:comment>
  <w:comment w:id="1" w:author="Autor" w:initials="A">
    <w:p w14:paraId="00CD7422" w14:textId="60D28B86" w:rsidR="007E39D7" w:rsidRDefault="007E39D7">
      <w:pPr>
        <w:pStyle w:val="Tekstkomentarza"/>
      </w:pPr>
      <w:r>
        <w:rPr>
          <w:rStyle w:val="Odwoaniedokomentarza"/>
        </w:rPr>
        <w:annotationRef/>
      </w:r>
      <w:r w:rsidRPr="007E39D7">
        <w:rPr>
          <w:rFonts w:ascii="Calibri" w:eastAsia="Times New Roman" w:hAnsi="Calibri" w:cs="Calibri"/>
          <w:color w:val="000000"/>
          <w:lang w:eastAsia="pl-PL"/>
        </w:rPr>
        <w:t xml:space="preserve">Proszę o podanie podstawy prawnej i daty, od której zmiana obowiązuje np. daty podpisania aneksu do </w:t>
      </w:r>
      <w:proofErr w:type="spellStart"/>
      <w:r w:rsidRPr="007E39D7">
        <w:rPr>
          <w:rFonts w:ascii="Calibri" w:eastAsia="Times New Roman" w:hAnsi="Calibri" w:cs="Calibri"/>
          <w:color w:val="000000"/>
          <w:lang w:eastAsia="pl-PL"/>
        </w:rPr>
        <w:t>UoD</w:t>
      </w:r>
      <w:proofErr w:type="spellEnd"/>
      <w:r w:rsidRPr="007E39D7">
        <w:rPr>
          <w:rFonts w:ascii="Calibri" w:eastAsia="Times New Roman" w:hAnsi="Calibri" w:cs="Calibri"/>
          <w:color w:val="000000"/>
          <w:lang w:eastAsia="pl-PL"/>
        </w:rPr>
        <w:t>/</w:t>
      </w:r>
      <w:proofErr w:type="spellStart"/>
      <w:r w:rsidRPr="007E39D7">
        <w:rPr>
          <w:rFonts w:ascii="Calibri" w:eastAsia="Times New Roman" w:hAnsi="Calibri" w:cs="Calibri"/>
          <w:color w:val="000000"/>
          <w:lang w:eastAsia="pl-PL"/>
        </w:rPr>
        <w:t>PoD</w:t>
      </w:r>
      <w:proofErr w:type="spellEnd"/>
      <w:r w:rsidRPr="007E39D7">
        <w:rPr>
          <w:rFonts w:ascii="Calibri" w:eastAsia="Times New Roman" w:hAnsi="Calibri" w:cs="Calibri"/>
          <w:color w:val="000000"/>
          <w:lang w:eastAsia="pl-PL"/>
        </w:rPr>
        <w:t xml:space="preserve"> lub daty  akceptacji IP w związku z Covid-19 lub decyzja KS w przypadku projektów nie współfinansowanych ze środków UE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EA87E7" w15:done="0"/>
  <w15:commentEx w15:paraId="00CD74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11EAF" w14:textId="77777777" w:rsidR="00096EF2" w:rsidRDefault="00096EF2" w:rsidP="00BB2420">
      <w:pPr>
        <w:spacing w:after="0" w:line="240" w:lineRule="auto"/>
      </w:pPr>
      <w:r>
        <w:separator/>
      </w:r>
    </w:p>
  </w:endnote>
  <w:endnote w:type="continuationSeparator" w:id="0">
    <w:p w14:paraId="0E9592F0" w14:textId="77777777" w:rsidR="00096EF2" w:rsidRDefault="00096E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B5B59" w14:textId="77777777" w:rsidR="00096EF2" w:rsidRDefault="00096EF2" w:rsidP="00BB2420">
      <w:pPr>
        <w:spacing w:after="0" w:line="240" w:lineRule="auto"/>
      </w:pPr>
      <w:r>
        <w:separator/>
      </w:r>
    </w:p>
  </w:footnote>
  <w:footnote w:type="continuationSeparator" w:id="0">
    <w:p w14:paraId="3E2B70DE" w14:textId="77777777" w:rsidR="00096EF2" w:rsidRDefault="00096EF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44869"/>
    <w:multiLevelType w:val="hybridMultilevel"/>
    <w:tmpl w:val="E214C970"/>
    <w:lvl w:ilvl="0" w:tplc="116C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F664A"/>
    <w:multiLevelType w:val="hybridMultilevel"/>
    <w:tmpl w:val="09161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0E"/>
    <w:rsid w:val="00003CB0"/>
    <w:rsid w:val="00006CC4"/>
    <w:rsid w:val="00006E59"/>
    <w:rsid w:val="00023908"/>
    <w:rsid w:val="000331A8"/>
    <w:rsid w:val="000425EE"/>
    <w:rsid w:val="00043DD9"/>
    <w:rsid w:val="00044D68"/>
    <w:rsid w:val="00047D9D"/>
    <w:rsid w:val="0006403E"/>
    <w:rsid w:val="00070663"/>
    <w:rsid w:val="00071880"/>
    <w:rsid w:val="00084CAD"/>
    <w:rsid w:val="00084E5B"/>
    <w:rsid w:val="00087231"/>
    <w:rsid w:val="00095944"/>
    <w:rsid w:val="00096EF2"/>
    <w:rsid w:val="000A1DFB"/>
    <w:rsid w:val="000A2F32"/>
    <w:rsid w:val="000A3938"/>
    <w:rsid w:val="000B01E6"/>
    <w:rsid w:val="000B059E"/>
    <w:rsid w:val="000B3E49"/>
    <w:rsid w:val="000B476E"/>
    <w:rsid w:val="000E0060"/>
    <w:rsid w:val="000E1828"/>
    <w:rsid w:val="000E4BF8"/>
    <w:rsid w:val="000F20A9"/>
    <w:rsid w:val="000F307B"/>
    <w:rsid w:val="000F30B9"/>
    <w:rsid w:val="0010382A"/>
    <w:rsid w:val="001061A5"/>
    <w:rsid w:val="0011693F"/>
    <w:rsid w:val="00122388"/>
    <w:rsid w:val="00124C3D"/>
    <w:rsid w:val="001309CA"/>
    <w:rsid w:val="00134BA7"/>
    <w:rsid w:val="00141A92"/>
    <w:rsid w:val="001441D4"/>
    <w:rsid w:val="00145E84"/>
    <w:rsid w:val="0015102C"/>
    <w:rsid w:val="0015141B"/>
    <w:rsid w:val="00153381"/>
    <w:rsid w:val="00153949"/>
    <w:rsid w:val="00176FBB"/>
    <w:rsid w:val="00181E97"/>
    <w:rsid w:val="00182A08"/>
    <w:rsid w:val="00193FBE"/>
    <w:rsid w:val="001A2EF2"/>
    <w:rsid w:val="001C2D74"/>
    <w:rsid w:val="001C7F83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0C4"/>
    <w:rsid w:val="00237279"/>
    <w:rsid w:val="00240D69"/>
    <w:rsid w:val="00241B5E"/>
    <w:rsid w:val="00252087"/>
    <w:rsid w:val="00254694"/>
    <w:rsid w:val="00263392"/>
    <w:rsid w:val="002647A0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38B0"/>
    <w:rsid w:val="002D0403"/>
    <w:rsid w:val="002D368E"/>
    <w:rsid w:val="002D3D4A"/>
    <w:rsid w:val="002D7ADA"/>
    <w:rsid w:val="002D7B41"/>
    <w:rsid w:val="002E2FAF"/>
    <w:rsid w:val="002E6CD8"/>
    <w:rsid w:val="002F1314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0270"/>
    <w:rsid w:val="003D303F"/>
    <w:rsid w:val="003D518E"/>
    <w:rsid w:val="003D7DD0"/>
    <w:rsid w:val="003E1803"/>
    <w:rsid w:val="003E3144"/>
    <w:rsid w:val="00405EA4"/>
    <w:rsid w:val="0041034F"/>
    <w:rsid w:val="0041182C"/>
    <w:rsid w:val="004118A3"/>
    <w:rsid w:val="00423A26"/>
    <w:rsid w:val="00425046"/>
    <w:rsid w:val="0042694C"/>
    <w:rsid w:val="00432843"/>
    <w:rsid w:val="004350B8"/>
    <w:rsid w:val="00437A04"/>
    <w:rsid w:val="00444AAB"/>
    <w:rsid w:val="00450089"/>
    <w:rsid w:val="00467ED7"/>
    <w:rsid w:val="004729D1"/>
    <w:rsid w:val="004B6F7D"/>
    <w:rsid w:val="004C1D48"/>
    <w:rsid w:val="004D0600"/>
    <w:rsid w:val="004D65CA"/>
    <w:rsid w:val="004E6248"/>
    <w:rsid w:val="004E7BEE"/>
    <w:rsid w:val="004F2396"/>
    <w:rsid w:val="004F4435"/>
    <w:rsid w:val="004F4E85"/>
    <w:rsid w:val="004F6E89"/>
    <w:rsid w:val="00504B06"/>
    <w:rsid w:val="005076A1"/>
    <w:rsid w:val="00513213"/>
    <w:rsid w:val="00517F12"/>
    <w:rsid w:val="0052102C"/>
    <w:rsid w:val="005212C8"/>
    <w:rsid w:val="005212F1"/>
    <w:rsid w:val="00524E6C"/>
    <w:rsid w:val="005332D6"/>
    <w:rsid w:val="00544DFE"/>
    <w:rsid w:val="005548F2"/>
    <w:rsid w:val="00561E4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2D21"/>
    <w:rsid w:val="006054AA"/>
    <w:rsid w:val="0062054D"/>
    <w:rsid w:val="006334BF"/>
    <w:rsid w:val="00635A54"/>
    <w:rsid w:val="00650627"/>
    <w:rsid w:val="00661A62"/>
    <w:rsid w:val="00667CC9"/>
    <w:rsid w:val="006731D9"/>
    <w:rsid w:val="006822BC"/>
    <w:rsid w:val="006948D3"/>
    <w:rsid w:val="006A60AA"/>
    <w:rsid w:val="006B034F"/>
    <w:rsid w:val="006B5117"/>
    <w:rsid w:val="006C78AE"/>
    <w:rsid w:val="006E0CFA"/>
    <w:rsid w:val="006E50B4"/>
    <w:rsid w:val="006E6205"/>
    <w:rsid w:val="00701800"/>
    <w:rsid w:val="00716608"/>
    <w:rsid w:val="00725708"/>
    <w:rsid w:val="00740A47"/>
    <w:rsid w:val="0074109D"/>
    <w:rsid w:val="00746ABD"/>
    <w:rsid w:val="00751D53"/>
    <w:rsid w:val="00753C1B"/>
    <w:rsid w:val="0077418F"/>
    <w:rsid w:val="00775C44"/>
    <w:rsid w:val="00776802"/>
    <w:rsid w:val="0078594B"/>
    <w:rsid w:val="0079094E"/>
    <w:rsid w:val="00790CD7"/>
    <w:rsid w:val="007924CE"/>
    <w:rsid w:val="00795AFA"/>
    <w:rsid w:val="007A4742"/>
    <w:rsid w:val="007B0251"/>
    <w:rsid w:val="007B7825"/>
    <w:rsid w:val="007C2F7E"/>
    <w:rsid w:val="007C6235"/>
    <w:rsid w:val="007C70D1"/>
    <w:rsid w:val="007D1990"/>
    <w:rsid w:val="007D2C34"/>
    <w:rsid w:val="007D38BD"/>
    <w:rsid w:val="007D3F21"/>
    <w:rsid w:val="007E341A"/>
    <w:rsid w:val="007E39D7"/>
    <w:rsid w:val="007E4574"/>
    <w:rsid w:val="007F126F"/>
    <w:rsid w:val="007F28EC"/>
    <w:rsid w:val="00803FBE"/>
    <w:rsid w:val="00805178"/>
    <w:rsid w:val="00806134"/>
    <w:rsid w:val="008115C0"/>
    <w:rsid w:val="00817758"/>
    <w:rsid w:val="00830B70"/>
    <w:rsid w:val="00840749"/>
    <w:rsid w:val="0084332E"/>
    <w:rsid w:val="0087452F"/>
    <w:rsid w:val="00875528"/>
    <w:rsid w:val="00884686"/>
    <w:rsid w:val="00884A12"/>
    <w:rsid w:val="00884AE7"/>
    <w:rsid w:val="008A332F"/>
    <w:rsid w:val="008A52F6"/>
    <w:rsid w:val="008A7C8E"/>
    <w:rsid w:val="008C4BCD"/>
    <w:rsid w:val="008C6721"/>
    <w:rsid w:val="008D3826"/>
    <w:rsid w:val="008E463B"/>
    <w:rsid w:val="008F2D9B"/>
    <w:rsid w:val="008F3B98"/>
    <w:rsid w:val="008F67EE"/>
    <w:rsid w:val="00907F6D"/>
    <w:rsid w:val="00911190"/>
    <w:rsid w:val="0091332C"/>
    <w:rsid w:val="009219A9"/>
    <w:rsid w:val="0092268B"/>
    <w:rsid w:val="009256F2"/>
    <w:rsid w:val="00933BEC"/>
    <w:rsid w:val="009347B8"/>
    <w:rsid w:val="00936729"/>
    <w:rsid w:val="00937B7D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3D4F"/>
    <w:rsid w:val="009B4423"/>
    <w:rsid w:val="009C6140"/>
    <w:rsid w:val="009D2FA4"/>
    <w:rsid w:val="009D7D8A"/>
    <w:rsid w:val="009E4C67"/>
    <w:rsid w:val="009F09BF"/>
    <w:rsid w:val="009F1DC8"/>
    <w:rsid w:val="009F437E"/>
    <w:rsid w:val="00A015BB"/>
    <w:rsid w:val="00A11788"/>
    <w:rsid w:val="00A16B47"/>
    <w:rsid w:val="00A30847"/>
    <w:rsid w:val="00A36AE2"/>
    <w:rsid w:val="00A43E49"/>
    <w:rsid w:val="00A44EA2"/>
    <w:rsid w:val="00A56D63"/>
    <w:rsid w:val="00A57A0D"/>
    <w:rsid w:val="00A67685"/>
    <w:rsid w:val="00A70DD9"/>
    <w:rsid w:val="00A728AE"/>
    <w:rsid w:val="00A804AE"/>
    <w:rsid w:val="00A86449"/>
    <w:rsid w:val="00A86B49"/>
    <w:rsid w:val="00A87C1C"/>
    <w:rsid w:val="00A92887"/>
    <w:rsid w:val="00AA45B2"/>
    <w:rsid w:val="00AA4CAB"/>
    <w:rsid w:val="00AA51AD"/>
    <w:rsid w:val="00AA730D"/>
    <w:rsid w:val="00AB2E01"/>
    <w:rsid w:val="00AC1367"/>
    <w:rsid w:val="00AC7E26"/>
    <w:rsid w:val="00AD45BB"/>
    <w:rsid w:val="00AE1643"/>
    <w:rsid w:val="00AE3A6C"/>
    <w:rsid w:val="00AF09B8"/>
    <w:rsid w:val="00AF567D"/>
    <w:rsid w:val="00AF69CD"/>
    <w:rsid w:val="00AF717E"/>
    <w:rsid w:val="00B0043C"/>
    <w:rsid w:val="00B04726"/>
    <w:rsid w:val="00B0686F"/>
    <w:rsid w:val="00B1149C"/>
    <w:rsid w:val="00B17709"/>
    <w:rsid w:val="00B23828"/>
    <w:rsid w:val="00B27EE9"/>
    <w:rsid w:val="00B41415"/>
    <w:rsid w:val="00B440C3"/>
    <w:rsid w:val="00B462AF"/>
    <w:rsid w:val="00B46B7D"/>
    <w:rsid w:val="00B50560"/>
    <w:rsid w:val="00B5532F"/>
    <w:rsid w:val="00B64B3C"/>
    <w:rsid w:val="00B673C6"/>
    <w:rsid w:val="00B74859"/>
    <w:rsid w:val="00B87D3D"/>
    <w:rsid w:val="00B91243"/>
    <w:rsid w:val="00B918E3"/>
    <w:rsid w:val="00BA481C"/>
    <w:rsid w:val="00BB059E"/>
    <w:rsid w:val="00BB18FD"/>
    <w:rsid w:val="00BB2420"/>
    <w:rsid w:val="00BB49AC"/>
    <w:rsid w:val="00BB5ACE"/>
    <w:rsid w:val="00BC1BD2"/>
    <w:rsid w:val="00BC6BE4"/>
    <w:rsid w:val="00BC7641"/>
    <w:rsid w:val="00BE402A"/>
    <w:rsid w:val="00BE47CD"/>
    <w:rsid w:val="00BE5BF9"/>
    <w:rsid w:val="00C055B8"/>
    <w:rsid w:val="00C06B8C"/>
    <w:rsid w:val="00C07633"/>
    <w:rsid w:val="00C1106C"/>
    <w:rsid w:val="00C26361"/>
    <w:rsid w:val="00C302F1"/>
    <w:rsid w:val="00C3575F"/>
    <w:rsid w:val="00C42AEA"/>
    <w:rsid w:val="00C57985"/>
    <w:rsid w:val="00C6751B"/>
    <w:rsid w:val="00C707CD"/>
    <w:rsid w:val="00C75E11"/>
    <w:rsid w:val="00C91D1E"/>
    <w:rsid w:val="00CA516B"/>
    <w:rsid w:val="00CC3AB4"/>
    <w:rsid w:val="00CC7E21"/>
    <w:rsid w:val="00CD42BA"/>
    <w:rsid w:val="00CE74F9"/>
    <w:rsid w:val="00CE7777"/>
    <w:rsid w:val="00CF2E64"/>
    <w:rsid w:val="00D02F6D"/>
    <w:rsid w:val="00D22C21"/>
    <w:rsid w:val="00D24F8C"/>
    <w:rsid w:val="00D25CFE"/>
    <w:rsid w:val="00D4607F"/>
    <w:rsid w:val="00D470C4"/>
    <w:rsid w:val="00D51F00"/>
    <w:rsid w:val="00D57025"/>
    <w:rsid w:val="00D57765"/>
    <w:rsid w:val="00D746F2"/>
    <w:rsid w:val="00D77F50"/>
    <w:rsid w:val="00D81CE3"/>
    <w:rsid w:val="00D859F4"/>
    <w:rsid w:val="00D85A52"/>
    <w:rsid w:val="00D86FEC"/>
    <w:rsid w:val="00DA2FC2"/>
    <w:rsid w:val="00DA34DF"/>
    <w:rsid w:val="00DB69FD"/>
    <w:rsid w:val="00DC0A8A"/>
    <w:rsid w:val="00DC1705"/>
    <w:rsid w:val="00DC39A9"/>
    <w:rsid w:val="00DC4C79"/>
    <w:rsid w:val="00DD0B71"/>
    <w:rsid w:val="00DE2163"/>
    <w:rsid w:val="00DE2537"/>
    <w:rsid w:val="00DE6249"/>
    <w:rsid w:val="00DE731D"/>
    <w:rsid w:val="00DF1986"/>
    <w:rsid w:val="00E0076D"/>
    <w:rsid w:val="00E07D4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855"/>
    <w:rsid w:val="00E71256"/>
    <w:rsid w:val="00E71BCF"/>
    <w:rsid w:val="00E80CC7"/>
    <w:rsid w:val="00E81D7C"/>
    <w:rsid w:val="00E83FA4"/>
    <w:rsid w:val="00E86020"/>
    <w:rsid w:val="00E93255"/>
    <w:rsid w:val="00EA0B4F"/>
    <w:rsid w:val="00EA773A"/>
    <w:rsid w:val="00EB00AB"/>
    <w:rsid w:val="00EC2AFC"/>
    <w:rsid w:val="00ED0698"/>
    <w:rsid w:val="00EE738A"/>
    <w:rsid w:val="00F05F42"/>
    <w:rsid w:val="00F138F7"/>
    <w:rsid w:val="00F16D1A"/>
    <w:rsid w:val="00F2008A"/>
    <w:rsid w:val="00F21D9E"/>
    <w:rsid w:val="00F22254"/>
    <w:rsid w:val="00F25348"/>
    <w:rsid w:val="00F3373E"/>
    <w:rsid w:val="00F40D87"/>
    <w:rsid w:val="00F4319B"/>
    <w:rsid w:val="00F45506"/>
    <w:rsid w:val="00F540BA"/>
    <w:rsid w:val="00F60062"/>
    <w:rsid w:val="00F60420"/>
    <w:rsid w:val="00F613CC"/>
    <w:rsid w:val="00F76777"/>
    <w:rsid w:val="00F83F2F"/>
    <w:rsid w:val="00F86555"/>
    <w:rsid w:val="00F86C58"/>
    <w:rsid w:val="00F90D62"/>
    <w:rsid w:val="00FC30C7"/>
    <w:rsid w:val="00FC3781"/>
    <w:rsid w:val="00FC3B03"/>
    <w:rsid w:val="00FE1FCD"/>
    <w:rsid w:val="00FE2190"/>
    <w:rsid w:val="00FE6E6B"/>
    <w:rsid w:val="00FE70B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7B7825"/>
  </w:style>
  <w:style w:type="character" w:styleId="Hipercze">
    <w:name w:val="Hyperlink"/>
    <w:basedOn w:val="Domylnaczcionkaakapitu"/>
    <w:uiPriority w:val="99"/>
    <w:unhideWhenUsed/>
    <w:rsid w:val="00D51F0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D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D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D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lawomir.zych@nask.pl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0A713-0CBE-4356-8FC6-F3DBE10C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1885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2022-01-14T12:17:00Z</dcterms:created>
  <dcterms:modified xsi:type="dcterms:W3CDTF">2022-01-14T12:17:00Z</dcterms:modified>
</cp:coreProperties>
</file>