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96" w:rsidRPr="006274C1" w:rsidRDefault="002A4896" w:rsidP="00F92A13">
      <w:pPr>
        <w:jc w:val="right"/>
      </w:pPr>
    </w:p>
    <w:p w:rsidR="00BE20A2" w:rsidRPr="006274C1" w:rsidRDefault="00BE20A2" w:rsidP="00F92A13">
      <w:pPr>
        <w:jc w:val="right"/>
      </w:pPr>
      <w:r w:rsidRPr="006274C1">
        <w:t>Warszawa, dn. 21 października 2019 r.</w:t>
      </w:r>
    </w:p>
    <w:p w:rsidR="00BE20A2" w:rsidRPr="006274C1" w:rsidRDefault="002A4896" w:rsidP="002A4896">
      <w:pPr>
        <w:jc w:val="left"/>
      </w:pPr>
      <w:r w:rsidRPr="006274C1">
        <w:t>Arena Tax sp. z o.o.</w:t>
      </w:r>
    </w:p>
    <w:p w:rsidR="002A4896" w:rsidRPr="006274C1" w:rsidRDefault="002A4896" w:rsidP="002A4896">
      <w:pPr>
        <w:jc w:val="left"/>
      </w:pPr>
      <w:r w:rsidRPr="006274C1">
        <w:t>ul. Bukowińska 22B</w:t>
      </w:r>
    </w:p>
    <w:p w:rsidR="002A4896" w:rsidRPr="006274C1" w:rsidRDefault="002A4896" w:rsidP="002A4896">
      <w:pPr>
        <w:jc w:val="left"/>
      </w:pPr>
      <w:r w:rsidRPr="006274C1">
        <w:t>02-703 Warszawa</w:t>
      </w:r>
    </w:p>
    <w:p w:rsidR="00BE20A2" w:rsidRPr="006274C1" w:rsidRDefault="00BE20A2" w:rsidP="00BE20A2">
      <w:pPr>
        <w:jc w:val="right"/>
        <w:rPr>
          <w:b/>
          <w:bCs/>
        </w:rPr>
      </w:pPr>
      <w:r w:rsidRPr="006274C1">
        <w:rPr>
          <w:b/>
          <w:bCs/>
        </w:rPr>
        <w:t>Szanowny P</w:t>
      </w:r>
      <w:r w:rsidR="00BD79A2">
        <w:rPr>
          <w:b/>
          <w:bCs/>
        </w:rPr>
        <w:t>an</w:t>
      </w:r>
      <w:r w:rsidRPr="006274C1">
        <w:rPr>
          <w:b/>
          <w:bCs/>
        </w:rPr>
        <w:t xml:space="preserve"> Tadeusz Kościński</w:t>
      </w:r>
    </w:p>
    <w:p w:rsidR="00BE20A2" w:rsidRPr="006274C1" w:rsidRDefault="00BE20A2" w:rsidP="00BE20A2">
      <w:pPr>
        <w:jc w:val="right"/>
        <w:rPr>
          <w:b/>
          <w:bCs/>
        </w:rPr>
      </w:pPr>
      <w:r w:rsidRPr="006274C1">
        <w:rPr>
          <w:b/>
          <w:bCs/>
        </w:rPr>
        <w:t>Podsekretarz Stanu</w:t>
      </w:r>
    </w:p>
    <w:p w:rsidR="00BE20A2" w:rsidRPr="006274C1" w:rsidRDefault="00BE20A2" w:rsidP="00BE20A2">
      <w:pPr>
        <w:jc w:val="right"/>
      </w:pPr>
      <w:r w:rsidRPr="006274C1">
        <w:rPr>
          <w:b/>
          <w:bCs/>
        </w:rPr>
        <w:t>w Ministerstwie Finansów</w:t>
      </w:r>
    </w:p>
    <w:p w:rsidR="00BE20A2" w:rsidRPr="006274C1" w:rsidRDefault="00BE20A2" w:rsidP="00BE20A2"/>
    <w:p w:rsidR="00BE20A2" w:rsidRPr="006274C1" w:rsidRDefault="00BE20A2" w:rsidP="00BE20A2">
      <w:r w:rsidRPr="006274C1">
        <w:t xml:space="preserve">Szanowni Państwo, </w:t>
      </w:r>
    </w:p>
    <w:p w:rsidR="00BE20A2" w:rsidRPr="006274C1" w:rsidRDefault="00BE20A2" w:rsidP="00BE20A2">
      <w:r w:rsidRPr="006274C1">
        <w:t xml:space="preserve">w związku z pismem DCT1.8201.9.2019 z dnia 25 września 2019 r. dotyczącego zawiadomienia o rozpoczęciu konsultacji podatkowych w sprawie formularza interaktywnego informacji o cenach transferowych (dalej: Formularz TPR-C), w imieniu Arena Tax </w:t>
      </w:r>
      <w:r w:rsidR="008E3236">
        <w:t>s</w:t>
      </w:r>
      <w:r w:rsidRPr="006274C1">
        <w:t>p. z o.o. przedstawiamy nasze komentarze do poszczególnych części Formularza TPR-C.</w:t>
      </w:r>
    </w:p>
    <w:p w:rsidR="00BE20A2" w:rsidRPr="006274C1" w:rsidRDefault="00BE20A2" w:rsidP="00BE20A2">
      <w:r w:rsidRPr="006274C1">
        <w:t>Proponowane zmiany / uwagi</w:t>
      </w:r>
      <w:r w:rsidR="00F06B84" w:rsidRPr="006274C1">
        <w:t xml:space="preserve"> do poszczególnych części Formularza TPR-C:</w:t>
      </w:r>
    </w:p>
    <w:p w:rsidR="00BE20A2" w:rsidRPr="006274C1" w:rsidRDefault="00BE20A2" w:rsidP="006659E9">
      <w:pPr>
        <w:pStyle w:val="Akapitzlist"/>
        <w:numPr>
          <w:ilvl w:val="0"/>
          <w:numId w:val="1"/>
        </w:numPr>
        <w:rPr>
          <w:b/>
        </w:rPr>
      </w:pPr>
      <w:r w:rsidRPr="006274C1">
        <w:rPr>
          <w:b/>
        </w:rPr>
        <w:t>Cześć B i Część C</w:t>
      </w:r>
    </w:p>
    <w:p w:rsidR="00BE20A2" w:rsidRPr="006274C1" w:rsidRDefault="00BE20A2" w:rsidP="00BE20A2">
      <w:r w:rsidRPr="006274C1">
        <w:t xml:space="preserve">Zgodnie z brzmieniem pkt 2 </w:t>
      </w:r>
      <w:r w:rsidR="006E4E50" w:rsidRPr="006274C1">
        <w:t>O</w:t>
      </w:r>
      <w:r w:rsidRPr="006274C1">
        <w:t>bjaśnień co do sposobu sporządzania informacji o cenach transferowych</w:t>
      </w:r>
      <w:r w:rsidR="00F06B84" w:rsidRPr="006274C1">
        <w:rPr>
          <w:rStyle w:val="Odwoanieprzypisudolnego"/>
        </w:rPr>
        <w:footnoteReference w:id="1"/>
      </w:r>
      <w:r w:rsidRPr="006274C1">
        <w:t xml:space="preserve"> „Jeżeli podmiot składający informację o cenach transferowych jest tożsamy z podmiotem, dla którego jest składana informacja o cenach transferowych, w części dotyczącej podmiotu składającego informację o cenach transferowych i podmiotu, dla którego jest składana informacja o cenach transferowych należy podać dane dotyczące tego jednego podmiotu”</w:t>
      </w:r>
      <w:r w:rsidR="00350BC8" w:rsidRPr="006274C1">
        <w:t xml:space="preserve">, tym samym </w:t>
      </w:r>
      <w:r w:rsidRPr="006274C1">
        <w:t xml:space="preserve">w Części B i C Formularza TPR-C należy wskazać dane tego samego podmiotu. Z praktycznego punktu widzenia powoduje to powielanie tych samych informacji, w związku z powyższym proponujemy rozwiązanie jakie dotychczas stosowane było w Uproszczonym sprawozdaniu CIT-TP (wersja 2), gdzie w Części C Formularza TPR-C pojawiłaby się możliwości </w:t>
      </w:r>
      <w:r w:rsidR="00F06B84" w:rsidRPr="006274C1">
        <w:t>zaznaczenia,</w:t>
      </w:r>
      <w:r w:rsidRPr="006274C1">
        <w:t xml:space="preserve"> że pod</w:t>
      </w:r>
      <w:r w:rsidR="00ED06D1" w:rsidRPr="006274C1">
        <w:t>miot</w:t>
      </w:r>
      <w:r w:rsidRPr="006274C1">
        <w:t xml:space="preserve"> składa Formularz TPR-C we własnym imieniu. </w:t>
      </w:r>
    </w:p>
    <w:p w:rsidR="00BE20A2" w:rsidRPr="006274C1" w:rsidRDefault="00BE20A2" w:rsidP="006659E9">
      <w:pPr>
        <w:pStyle w:val="Akapitzlist"/>
        <w:numPr>
          <w:ilvl w:val="0"/>
          <w:numId w:val="1"/>
        </w:numPr>
        <w:rPr>
          <w:b/>
        </w:rPr>
      </w:pPr>
      <w:r w:rsidRPr="006274C1">
        <w:rPr>
          <w:b/>
        </w:rPr>
        <w:t>Cześć D</w:t>
      </w:r>
    </w:p>
    <w:p w:rsidR="00BD0116" w:rsidRPr="006274C1" w:rsidRDefault="00BE20A2" w:rsidP="00BE20A2">
      <w:r w:rsidRPr="006274C1">
        <w:t xml:space="preserve">W przypadku wyboru w Części D Formularza TPR-C rodzaju podmiotu jako „Inny podmiot”, automatycznie zostaje wyświetlana Część D.2. Wskaźniki – Inny pomiot, w których należy wskazać wartość wskaźników zgodnie </w:t>
      </w:r>
      <w:r w:rsidR="002A4896" w:rsidRPr="006274C1">
        <w:t>z</w:t>
      </w:r>
      <w:r w:rsidRPr="006274C1">
        <w:t>e wzorami przedstawionymi w pkt 3 Objaśnień do sposobu sporządzania informacji o cenach transferowych.</w:t>
      </w:r>
      <w:r w:rsidR="006E4E50" w:rsidRPr="006274C1">
        <w:t xml:space="preserve"> </w:t>
      </w:r>
      <w:r w:rsidR="00587DF6" w:rsidRPr="006274C1">
        <w:t xml:space="preserve">Wskazane w wyżej wymienionym punkcie wskaźniki oraz sposób ich kalkulacji stanowią katalog zamknięty. </w:t>
      </w:r>
      <w:r w:rsidRPr="006274C1">
        <w:t xml:space="preserve">Jednakże w praktyce możemy spotkać </w:t>
      </w:r>
      <w:r w:rsidR="00AB3003" w:rsidRPr="006274C1">
        <w:t xml:space="preserve">się </w:t>
      </w:r>
      <w:r w:rsidRPr="006274C1">
        <w:t xml:space="preserve">z </w:t>
      </w:r>
      <w:r w:rsidR="001059AE" w:rsidRPr="006274C1">
        <w:t>podmiotami</w:t>
      </w:r>
      <w:r w:rsidRPr="006274C1">
        <w:t xml:space="preserve"> któr</w:t>
      </w:r>
      <w:r w:rsidR="001059AE" w:rsidRPr="006274C1">
        <w:t>e</w:t>
      </w:r>
      <w:r w:rsidRPr="006274C1">
        <w:t xml:space="preserve"> </w:t>
      </w:r>
      <w:r w:rsidR="00587DF6" w:rsidRPr="006274C1">
        <w:t xml:space="preserve">prowadzą księgi np. zgodnie z MSSF, tym samym przy zachowaniu zamkniętego katalogu wskaźników i ich wyliczeń </w:t>
      </w:r>
      <w:r w:rsidR="00216339" w:rsidRPr="006274C1">
        <w:t xml:space="preserve">nie </w:t>
      </w:r>
      <w:r w:rsidRPr="006274C1">
        <w:t xml:space="preserve">będą w stanie </w:t>
      </w:r>
      <w:r w:rsidR="00587DF6" w:rsidRPr="006274C1">
        <w:t>wypełnić tej części Formularza TPR-C</w:t>
      </w:r>
      <w:r w:rsidR="00F06B84" w:rsidRPr="006274C1">
        <w:t xml:space="preserve">. Tym </w:t>
      </w:r>
      <w:r w:rsidR="00ED06D1" w:rsidRPr="006274C1">
        <w:t>samym, do</w:t>
      </w:r>
      <w:r w:rsidR="00F92A13" w:rsidRPr="006274C1">
        <w:t xml:space="preserve"> </w:t>
      </w:r>
      <w:r w:rsidR="00F92A13" w:rsidRPr="006274C1">
        <w:lastRenderedPageBreak/>
        <w:t xml:space="preserve">rozważenia pozostaje wskazana kwestia, czy w przypadku podmiotów które nie </w:t>
      </w:r>
      <w:r w:rsidR="00F06B84" w:rsidRPr="006274C1">
        <w:t xml:space="preserve">są w stanie </w:t>
      </w:r>
      <w:r w:rsidR="00F92A13" w:rsidRPr="006274C1">
        <w:t xml:space="preserve">dokonać wyliczeń wskaźników </w:t>
      </w:r>
      <w:r w:rsidR="00F06B84" w:rsidRPr="006274C1">
        <w:t xml:space="preserve">w </w:t>
      </w:r>
      <w:r w:rsidR="00216339" w:rsidRPr="006274C1">
        <w:t>F</w:t>
      </w:r>
      <w:r w:rsidR="00F92A13" w:rsidRPr="006274C1">
        <w:t>ormularz</w:t>
      </w:r>
      <w:r w:rsidR="00F06B84" w:rsidRPr="006274C1">
        <w:t>u</w:t>
      </w:r>
      <w:r w:rsidR="00F92A13" w:rsidRPr="006274C1">
        <w:t xml:space="preserve"> </w:t>
      </w:r>
      <w:r w:rsidR="00216339" w:rsidRPr="006274C1">
        <w:t xml:space="preserve">TPR-C </w:t>
      </w:r>
      <w:r w:rsidR="00F92A13" w:rsidRPr="006274C1">
        <w:t xml:space="preserve">może </w:t>
      </w:r>
      <w:r w:rsidR="00F06B84" w:rsidRPr="006274C1">
        <w:t xml:space="preserve">on </w:t>
      </w:r>
      <w:r w:rsidR="00F92A13" w:rsidRPr="006274C1">
        <w:t>zostać złożony bez ich w</w:t>
      </w:r>
      <w:r w:rsidR="00AB3003" w:rsidRPr="006274C1">
        <w:t>ykazywania</w:t>
      </w:r>
      <w:r w:rsidR="00F92A13" w:rsidRPr="006274C1">
        <w:t xml:space="preserve"> czy też należy zastanowić się nad </w:t>
      </w:r>
      <w:r w:rsidR="00216339" w:rsidRPr="006274C1">
        <w:t xml:space="preserve">wprowadzeniem </w:t>
      </w:r>
      <w:r w:rsidR="00042915">
        <w:t>bardziej rozbudowanego katalogu wskaźników</w:t>
      </w:r>
      <w:r w:rsidR="00216339" w:rsidRPr="006274C1">
        <w:t xml:space="preserve"> w Objaśnieniach co do sposobu </w:t>
      </w:r>
      <w:r w:rsidR="00F06B84" w:rsidRPr="006274C1">
        <w:t>sporządzania</w:t>
      </w:r>
      <w:r w:rsidR="00216339" w:rsidRPr="006274C1">
        <w:t xml:space="preserve"> informacji o cenach transferowych.</w:t>
      </w:r>
    </w:p>
    <w:p w:rsidR="00077F03" w:rsidRPr="006274C1" w:rsidRDefault="00077F03" w:rsidP="006274C1">
      <w:pPr>
        <w:pStyle w:val="Akapitzlist"/>
        <w:numPr>
          <w:ilvl w:val="0"/>
          <w:numId w:val="1"/>
        </w:numPr>
        <w:ind w:left="714" w:hanging="357"/>
        <w:rPr>
          <w:b/>
        </w:rPr>
      </w:pPr>
      <w:r w:rsidRPr="006274C1">
        <w:rPr>
          <w:b/>
        </w:rPr>
        <w:t xml:space="preserve">Parametry dodawanej transakcji </w:t>
      </w:r>
    </w:p>
    <w:p w:rsidR="00077F03" w:rsidRPr="006274C1" w:rsidRDefault="00077F03" w:rsidP="006274C1">
      <w:r w:rsidRPr="006274C1">
        <w:t>W punkcie tym po</w:t>
      </w:r>
      <w:r w:rsidR="00F06B84" w:rsidRPr="006274C1">
        <w:t>dmioty</w:t>
      </w:r>
      <w:r w:rsidR="006A483D">
        <w:t xml:space="preserve"> mają do wyboru 5 grup kategorii. N</w:t>
      </w:r>
      <w:r w:rsidRPr="006274C1">
        <w:t>a etapie wypełniania wersji testowej Formularza TPR-C pojawi</w:t>
      </w:r>
      <w:r w:rsidR="00F06B84" w:rsidRPr="006274C1">
        <w:t>ą</w:t>
      </w:r>
      <w:r w:rsidRPr="006274C1">
        <w:t xml:space="preserve"> się trudności wynikające z braku przejrzystości </w:t>
      </w:r>
      <w:r w:rsidR="00F06B84" w:rsidRPr="006274C1">
        <w:t xml:space="preserve">oraz </w:t>
      </w:r>
      <w:r w:rsidRPr="006274C1">
        <w:t xml:space="preserve">kompatybilności wskazanych w </w:t>
      </w:r>
      <w:r w:rsidR="00F06B84" w:rsidRPr="006274C1">
        <w:t>F</w:t>
      </w:r>
      <w:r w:rsidRPr="006274C1">
        <w:t xml:space="preserve">ormularzu </w:t>
      </w:r>
      <w:r w:rsidR="00F06B84" w:rsidRPr="006274C1">
        <w:t xml:space="preserve">TPR-C </w:t>
      </w:r>
      <w:r w:rsidRPr="006274C1">
        <w:t>grup kategorii oznaczonych literami od A do E</w:t>
      </w:r>
      <w:r w:rsidR="00AB3003" w:rsidRPr="006274C1">
        <w:t xml:space="preserve"> </w:t>
      </w:r>
      <w:r w:rsidR="00F06B84" w:rsidRPr="006274C1">
        <w:t xml:space="preserve">z </w:t>
      </w:r>
      <w:r w:rsidR="006E4E50" w:rsidRPr="006274C1">
        <w:t xml:space="preserve">nagłówkami </w:t>
      </w:r>
      <w:r w:rsidR="00E03425" w:rsidRPr="006274C1">
        <w:t>z Kategor</w:t>
      </w:r>
      <w:r w:rsidR="00AB3003" w:rsidRPr="006274C1">
        <w:t>ii</w:t>
      </w:r>
      <w:r w:rsidR="00E03425" w:rsidRPr="006274C1">
        <w:t xml:space="preserve"> transakcji kontrolowanych wskazanymi w pkt 4 Objaśnień co do sposobu sporządzania informacji o cenach transferowych</w:t>
      </w:r>
      <w:r w:rsidR="00AB3003" w:rsidRPr="006274C1">
        <w:t xml:space="preserve">. Zastosowanie wspomnianych wcześniej nagłówków </w:t>
      </w:r>
      <w:r w:rsidR="006E4E50" w:rsidRPr="006274C1">
        <w:t>pozw</w:t>
      </w:r>
      <w:r w:rsidR="002A4896" w:rsidRPr="006274C1">
        <w:t>o</w:t>
      </w:r>
      <w:r w:rsidR="006E4E50" w:rsidRPr="006274C1">
        <w:t>li na lepszą przejrzystość i czytelność w tym zakresie Formularza TPR-C.</w:t>
      </w:r>
      <w:r w:rsidR="00F06B84" w:rsidRPr="006274C1">
        <w:t xml:space="preserve"> Proponujemy, aby każda kolejna litera alfabetu miała przypisaną kolejną kategorię, np.:</w:t>
      </w:r>
    </w:p>
    <w:p w:rsidR="00F06B84" w:rsidRPr="006274C1" w:rsidRDefault="00F06B84" w:rsidP="006274C1">
      <w:r w:rsidRPr="006274C1">
        <w:t>A – Transakcje związane z obrotem towarowym – sprzedaż;</w:t>
      </w:r>
    </w:p>
    <w:p w:rsidR="00F06B84" w:rsidRPr="006274C1" w:rsidRDefault="00F06B84" w:rsidP="006274C1">
      <w:r w:rsidRPr="006274C1">
        <w:t>B – Transakcje usługowe – sprzedaż.</w:t>
      </w:r>
    </w:p>
    <w:p w:rsidR="00F06B84" w:rsidRPr="006274C1" w:rsidRDefault="00F06B84" w:rsidP="006274C1">
      <w:r w:rsidRPr="006274C1">
        <w:t>Zaś po rozwinięciu danej kateg</w:t>
      </w:r>
      <w:r w:rsidR="00ED06D1" w:rsidRPr="006274C1">
        <w:t>orii w Części E Formularza TPR-C był</w:t>
      </w:r>
      <w:r w:rsidR="00AB3003" w:rsidRPr="006274C1">
        <w:t>a dostępna</w:t>
      </w:r>
      <w:r w:rsidR="00ED06D1" w:rsidRPr="006274C1">
        <w:t xml:space="preserve"> jedynie lista podkategorii jaką przewidują Objaśnienia co do sposobu sporządzania informacji o cenach transferowych w tabeli w punkcie 4.1.</w:t>
      </w:r>
    </w:p>
    <w:p w:rsidR="00216339" w:rsidRPr="006274C1" w:rsidRDefault="00216339" w:rsidP="006274C1">
      <w:pPr>
        <w:pStyle w:val="Akapitzlist"/>
        <w:numPr>
          <w:ilvl w:val="0"/>
          <w:numId w:val="1"/>
        </w:numPr>
        <w:rPr>
          <w:b/>
        </w:rPr>
      </w:pPr>
      <w:r w:rsidRPr="006274C1">
        <w:rPr>
          <w:b/>
        </w:rPr>
        <w:t>Część E</w:t>
      </w:r>
    </w:p>
    <w:p w:rsidR="006274C1" w:rsidRPr="006274C1" w:rsidRDefault="00216339" w:rsidP="00B5620C">
      <w:r w:rsidRPr="006274C1">
        <w:t>W tej c</w:t>
      </w:r>
      <w:r w:rsidR="00B5620C">
        <w:t>zęści Formularza TPR-C pojawia</w:t>
      </w:r>
      <w:r w:rsidRPr="006274C1">
        <w:t xml:space="preserve"> </w:t>
      </w:r>
      <w:r w:rsidR="00B5620C">
        <w:t>się kwestia wymagająca</w:t>
      </w:r>
      <w:r w:rsidRPr="006274C1">
        <w:t xml:space="preserve"> </w:t>
      </w:r>
      <w:r w:rsidR="002A4896" w:rsidRPr="006274C1">
        <w:t xml:space="preserve">doprecyzowania </w:t>
      </w:r>
      <w:r w:rsidR="00B5620C">
        <w:t>dotycząca k</w:t>
      </w:r>
      <w:r w:rsidR="007718DC" w:rsidRPr="006274C1">
        <w:t>raj</w:t>
      </w:r>
      <w:r w:rsidR="00A71010">
        <w:t>u</w:t>
      </w:r>
      <w:bookmarkStart w:id="0" w:name="_GoBack"/>
      <w:bookmarkEnd w:id="0"/>
      <w:r w:rsidR="007718DC" w:rsidRPr="006274C1">
        <w:t xml:space="preserve"> siedziby lub zarządu kontrahent</w:t>
      </w:r>
      <w:r w:rsidR="00ED06D1" w:rsidRPr="006274C1">
        <w:t>a</w:t>
      </w:r>
      <w:r w:rsidR="007718DC" w:rsidRPr="006274C1">
        <w:t xml:space="preserve">. W przypadku wskazanego pola nie ma możliwości dodania więcej niż jednego kraju. Zaś zgodnie z punktem 4.3. Objaśnień co do sposobu sporządzania informacji o cenach </w:t>
      </w:r>
      <w:r w:rsidR="00F06B84" w:rsidRPr="006274C1">
        <w:t>transferowych</w:t>
      </w:r>
      <w:r w:rsidR="007718DC" w:rsidRPr="006274C1">
        <w:t xml:space="preserve"> „</w:t>
      </w:r>
      <w:r w:rsidR="00F06B84" w:rsidRPr="006274C1">
        <w:t>Jeżeli</w:t>
      </w:r>
      <w:r w:rsidR="007718DC" w:rsidRPr="006274C1">
        <w:t xml:space="preserve"> dana </w:t>
      </w:r>
      <w:r w:rsidR="00F06B84" w:rsidRPr="006274C1">
        <w:t>transakcja</w:t>
      </w:r>
      <w:r w:rsidR="007718DC" w:rsidRPr="006274C1">
        <w:t xml:space="preserve"> kontrolowana jest zawierana z więcej niż jednym kontrahentem, należy </w:t>
      </w:r>
      <w:r w:rsidR="00F06B84" w:rsidRPr="006274C1">
        <w:t>wskazać</w:t>
      </w:r>
      <w:r w:rsidR="007718DC" w:rsidRPr="006274C1">
        <w:t xml:space="preserve"> odpowiednio </w:t>
      </w:r>
      <w:r w:rsidR="00F06B84" w:rsidRPr="006274C1">
        <w:t>informacje</w:t>
      </w:r>
      <w:r w:rsidR="007718DC" w:rsidRPr="006274C1">
        <w:t xml:space="preserve"> dla każdego z nich”. </w:t>
      </w:r>
      <w:r w:rsidR="00F06B84" w:rsidRPr="006274C1">
        <w:t>Pole to powinno mieć charakter edytowalny, który pozwala na dodawanie krajów wielu kontrahentów</w:t>
      </w:r>
      <w:r w:rsidR="00ED06D1" w:rsidRPr="006274C1">
        <w:t>, z uwagi, iż możliwe są przypadki, gdzie podmiot dokonuje transakcji kontrolowanej o charakterze jednorodnym z wieloma kontrahentami.</w:t>
      </w:r>
    </w:p>
    <w:p w:rsidR="00F92A13" w:rsidRDefault="00F92A13" w:rsidP="006E4E50">
      <w:pPr>
        <w:jc w:val="center"/>
      </w:pPr>
      <w:r w:rsidRPr="006274C1">
        <w:t>***</w:t>
      </w:r>
    </w:p>
    <w:p w:rsidR="00F92A13" w:rsidRPr="006274C1" w:rsidRDefault="00F92A13" w:rsidP="00BE20A2">
      <w:r w:rsidRPr="006274C1">
        <w:t xml:space="preserve">Wskazując powyższe uwagi, mamy </w:t>
      </w:r>
      <w:r w:rsidR="00F06B84" w:rsidRPr="006274C1">
        <w:t>nadzieję,</w:t>
      </w:r>
      <w:r w:rsidRPr="006274C1">
        <w:t xml:space="preserve"> iż przyczynią się one pozytywnie d</w:t>
      </w:r>
      <w:r w:rsidR="00077F03" w:rsidRPr="006274C1">
        <w:t>o ulepszenia Formularza TRR-C, i tym samym rozwieją pojawiające się wątpliwości podatników.</w:t>
      </w:r>
    </w:p>
    <w:p w:rsidR="00077F03" w:rsidRDefault="00077F03" w:rsidP="00BE20A2">
      <w:r w:rsidRPr="006274C1">
        <w:t>W przypadku jakichkolwiek pytań bądź wątpliwości prosimy o kontakt.</w:t>
      </w:r>
    </w:p>
    <w:p w:rsidR="006274C1" w:rsidRPr="006274C1" w:rsidRDefault="006274C1" w:rsidP="00BE20A2"/>
    <w:p w:rsidR="006274C1" w:rsidRPr="006274C1" w:rsidRDefault="006274C1" w:rsidP="006274C1">
      <w:pPr>
        <w:jc w:val="right"/>
      </w:pPr>
      <w:r w:rsidRPr="006274C1">
        <w:t>Z poważaniem,</w:t>
      </w:r>
    </w:p>
    <w:p w:rsidR="006274C1" w:rsidRPr="006274C1" w:rsidRDefault="006274C1" w:rsidP="006274C1">
      <w:pPr>
        <w:jc w:val="right"/>
      </w:pPr>
      <w:r w:rsidRPr="006274C1">
        <w:t>Michał Musielak</w:t>
      </w:r>
    </w:p>
    <w:p w:rsidR="006274C1" w:rsidRDefault="006274C1" w:rsidP="006274C1">
      <w:pPr>
        <w:jc w:val="right"/>
      </w:pPr>
      <w:r w:rsidRPr="006274C1">
        <w:t>Prezes zarządu Arena Tax sp. z o.o.</w:t>
      </w:r>
    </w:p>
    <w:p w:rsidR="00D80F61" w:rsidRPr="006274C1" w:rsidRDefault="00D80F61" w:rsidP="006274C1">
      <w:pPr>
        <w:jc w:val="right"/>
      </w:pPr>
      <w:r>
        <w:t>Doradca podatkowy</w:t>
      </w:r>
    </w:p>
    <w:sectPr w:rsidR="00D80F61" w:rsidRPr="006274C1" w:rsidSect="00BC168A">
      <w:headerReference w:type="default" r:id="rId8"/>
      <w:footerReference w:type="default" r:id="rId9"/>
      <w:pgSz w:w="11906" w:h="16838"/>
      <w:pgMar w:top="1417" w:right="1417" w:bottom="1417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80" w:rsidRDefault="00934D80" w:rsidP="00FB66DD">
      <w:pPr>
        <w:spacing w:after="0" w:line="240" w:lineRule="auto"/>
      </w:pPr>
      <w:r>
        <w:separator/>
      </w:r>
    </w:p>
  </w:endnote>
  <w:endnote w:type="continuationSeparator" w:id="0">
    <w:p w:rsidR="00934D80" w:rsidRDefault="00934D80" w:rsidP="00FB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1C" w:rsidRDefault="0061401C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b/>
        <w:color w:val="000000"/>
        <w:sz w:val="14"/>
        <w:szCs w:val="14"/>
        <w:lang w:val="en-US" w:eastAsia="pl-PL"/>
      </w:rPr>
    </w:pPr>
  </w:p>
  <w:p w:rsidR="0061401C" w:rsidRDefault="0061401C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b/>
        <w:color w:val="000000"/>
        <w:sz w:val="14"/>
        <w:szCs w:val="14"/>
        <w:lang w:val="en-US" w:eastAsia="pl-PL"/>
      </w:rPr>
    </w:pPr>
  </w:p>
  <w:p w:rsidR="00BC168A" w:rsidRDefault="00BC168A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b/>
        <w:color w:val="000000"/>
        <w:sz w:val="14"/>
        <w:szCs w:val="14"/>
        <w:lang w:val="en-US" w:eastAsia="pl-PL"/>
      </w:rPr>
    </w:pPr>
    <w:r w:rsidRPr="00371028">
      <w:rPr>
        <w:rFonts w:ascii="Arial" w:eastAsia="Times New Roman" w:hAnsi="Arial" w:cs="Arial"/>
        <w:b/>
        <w:noProof/>
        <w:color w:val="000000"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652B1E22" wp14:editId="422FDCE9">
          <wp:simplePos x="0" y="0"/>
          <wp:positionH relativeFrom="margin">
            <wp:posOffset>5967730</wp:posOffset>
          </wp:positionH>
          <wp:positionV relativeFrom="margin">
            <wp:posOffset>8593455</wp:posOffset>
          </wp:positionV>
          <wp:extent cx="161925" cy="158115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eść zielona_175x172 pikse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35E6" w:rsidRPr="00FF674D" w:rsidRDefault="00E235E6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color w:val="000000"/>
        <w:sz w:val="14"/>
        <w:szCs w:val="14"/>
        <w:lang w:eastAsia="pl-PL"/>
      </w:rPr>
    </w:pPr>
    <w:r w:rsidRPr="00FF674D">
      <w:rPr>
        <w:rFonts w:ascii="Arial" w:eastAsia="Times New Roman" w:hAnsi="Arial" w:cs="Arial"/>
        <w:b/>
        <w:color w:val="000000"/>
        <w:sz w:val="14"/>
        <w:szCs w:val="14"/>
        <w:lang w:eastAsia="pl-PL"/>
      </w:rPr>
      <w:t xml:space="preserve">Arena Tax </w:t>
    </w:r>
    <w:r w:rsidR="008E3236">
      <w:rPr>
        <w:rFonts w:ascii="Arial" w:eastAsia="Times New Roman" w:hAnsi="Arial" w:cs="Arial"/>
        <w:b/>
        <w:color w:val="000000"/>
        <w:sz w:val="14"/>
        <w:szCs w:val="14"/>
        <w:lang w:eastAsia="pl-PL"/>
      </w:rPr>
      <w:t>s</w:t>
    </w:r>
    <w:r w:rsidRPr="00FF674D">
      <w:rPr>
        <w:rFonts w:ascii="Arial" w:eastAsia="Times New Roman" w:hAnsi="Arial" w:cs="Arial"/>
        <w:b/>
        <w:color w:val="000000"/>
        <w:sz w:val="14"/>
        <w:szCs w:val="14"/>
        <w:lang w:eastAsia="pl-PL"/>
      </w:rPr>
      <w:t>p. z o.o.</w:t>
    </w:r>
    <w:r w:rsidRPr="00FF674D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| </w:t>
    </w:r>
    <w:r w:rsidR="00FF674D" w:rsidRPr="00FF674D">
      <w:rPr>
        <w:rFonts w:ascii="Arial" w:eastAsia="Times New Roman" w:hAnsi="Arial" w:cs="Arial"/>
        <w:color w:val="000000"/>
        <w:sz w:val="14"/>
        <w:szCs w:val="14"/>
        <w:lang w:eastAsia="pl-PL"/>
      </w:rPr>
      <w:t>Spółka doradztwa podatkowego nr wpisu</w:t>
    </w:r>
    <w:r w:rsidRPr="00FF674D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461</w:t>
    </w:r>
  </w:p>
  <w:p w:rsidR="00E235E6" w:rsidRPr="00371028" w:rsidRDefault="00FF674D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color w:val="000000"/>
        <w:sz w:val="14"/>
        <w:szCs w:val="14"/>
        <w:lang w:eastAsia="pl-PL"/>
      </w:rPr>
    </w:pPr>
    <w:r>
      <w:rPr>
        <w:rFonts w:ascii="Arial" w:eastAsia="Times New Roman" w:hAnsi="Arial" w:cs="Arial"/>
        <w:color w:val="000000"/>
        <w:sz w:val="14"/>
        <w:szCs w:val="14"/>
        <w:lang w:eastAsia="pl-PL"/>
      </w:rPr>
      <w:t>Budynek Kliwer</w:t>
    </w:r>
    <w:r w:rsidR="00E235E6" w:rsidRPr="00336E8C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, ul. </w:t>
    </w:r>
    <w:r w:rsidR="00E235E6" w:rsidRPr="00371028">
      <w:rPr>
        <w:rFonts w:ascii="Arial" w:eastAsia="Times New Roman" w:hAnsi="Arial" w:cs="Arial"/>
        <w:color w:val="000000"/>
        <w:sz w:val="14"/>
        <w:szCs w:val="14"/>
        <w:lang w:eastAsia="pl-PL"/>
      </w:rPr>
      <w:t>Bukowińska 22B, 02-703 Warszawa, tel. +48 22 102 20 30</w:t>
    </w:r>
  </w:p>
  <w:p w:rsidR="00E235E6" w:rsidRPr="00371028" w:rsidRDefault="00E235E6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ascii="Arial" w:eastAsia="Times New Roman" w:hAnsi="Arial" w:cs="Arial"/>
        <w:color w:val="000000"/>
        <w:sz w:val="14"/>
        <w:szCs w:val="14"/>
        <w:lang w:eastAsia="pl-PL"/>
      </w:rPr>
    </w:pPr>
    <w:r w:rsidRPr="00371028">
      <w:rPr>
        <w:rFonts w:ascii="Arial" w:eastAsia="Times New Roman" w:hAnsi="Arial" w:cs="Arial"/>
        <w:color w:val="000000"/>
        <w:sz w:val="14"/>
        <w:szCs w:val="14"/>
        <w:lang w:eastAsia="pl-PL"/>
      </w:rPr>
      <w:t>office@arenatax.pl | www.arenatax.pl | KRS 0000421071 | NIP 5213631253</w:t>
    </w:r>
  </w:p>
  <w:p w:rsidR="00E235E6" w:rsidRPr="00FF674D" w:rsidRDefault="00FF674D" w:rsidP="00E235E6">
    <w:pPr>
      <w:tabs>
        <w:tab w:val="center" w:pos="4536"/>
        <w:tab w:val="right" w:pos="9356"/>
      </w:tabs>
      <w:spacing w:after="0" w:line="240" w:lineRule="auto"/>
      <w:ind w:right="-284"/>
      <w:jc w:val="right"/>
      <w:rPr>
        <w:rFonts w:eastAsia="Times New Roman" w:cs="Times New Roman"/>
        <w:sz w:val="14"/>
        <w:szCs w:val="14"/>
        <w:lang w:eastAsia="pl-PL"/>
      </w:rPr>
    </w:pPr>
    <w:r w:rsidRPr="00FF674D">
      <w:rPr>
        <w:rFonts w:ascii="Arial" w:eastAsia="Times New Roman" w:hAnsi="Arial" w:cs="Arial"/>
        <w:sz w:val="14"/>
        <w:szCs w:val="14"/>
        <w:lang w:eastAsia="pl-PL"/>
      </w:rPr>
      <w:t>Kapitał zakładowy:</w:t>
    </w:r>
    <w:r w:rsidR="00E235E6" w:rsidRPr="00FF674D">
      <w:rPr>
        <w:rFonts w:ascii="Arial" w:eastAsia="Times New Roman" w:hAnsi="Arial" w:cs="Arial"/>
        <w:sz w:val="14"/>
        <w:szCs w:val="14"/>
        <w:lang w:eastAsia="pl-PL"/>
      </w:rPr>
      <w:t xml:space="preserve"> 50.000 PLN | </w:t>
    </w:r>
    <w:r w:rsidRPr="00FF674D">
      <w:rPr>
        <w:rFonts w:ascii="Arial" w:eastAsia="Times New Roman" w:hAnsi="Arial" w:cs="Arial"/>
        <w:sz w:val="14"/>
        <w:szCs w:val="14"/>
        <w:lang w:eastAsia="pl-PL"/>
      </w:rPr>
      <w:t>Sąd Rejonowy w Warszawie, XIII Wydział Gospodarczy Krajowego Rejestru Sądowego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80" w:rsidRDefault="00934D80" w:rsidP="00FB66DD">
      <w:pPr>
        <w:spacing w:after="0" w:line="240" w:lineRule="auto"/>
      </w:pPr>
      <w:r>
        <w:separator/>
      </w:r>
    </w:p>
  </w:footnote>
  <w:footnote w:type="continuationSeparator" w:id="0">
    <w:p w:rsidR="00934D80" w:rsidRDefault="00934D80" w:rsidP="00FB66DD">
      <w:pPr>
        <w:spacing w:after="0" w:line="240" w:lineRule="auto"/>
      </w:pPr>
      <w:r>
        <w:continuationSeparator/>
      </w:r>
    </w:p>
  </w:footnote>
  <w:footnote w:id="1">
    <w:p w:rsidR="00F06B84" w:rsidRDefault="00F06B84">
      <w:pPr>
        <w:pStyle w:val="Tekstprzypisudolnego"/>
      </w:pPr>
      <w:r>
        <w:rPr>
          <w:rStyle w:val="Odwoanieprzypisudolnego"/>
        </w:rPr>
        <w:footnoteRef/>
      </w:r>
      <w:r>
        <w:t xml:space="preserve"> Objaśnienia co od sposobu sporządzania informacji o cenach transferowych stanowią załącznik do Rozporządzenia Ministra Finansów z dnia 21 grudnia 2018 r. (poz. 2487).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6" w:rsidRPr="006274C1" w:rsidRDefault="0042741F">
    <w:pPr>
      <w:pStyle w:val="Nagwek"/>
      <w:jc w:val="right"/>
      <w:rPr>
        <w:rFonts w:cs="Times New Roman"/>
      </w:rPr>
    </w:pPr>
    <w:r w:rsidRPr="006274C1">
      <w:rPr>
        <w:rFonts w:cs="Times New Roman"/>
        <w:noProof/>
        <w:sz w:val="24"/>
        <w:lang w:eastAsia="pl-PL"/>
      </w:rPr>
      <w:drawing>
        <wp:anchor distT="0" distB="0" distL="114300" distR="114300" simplePos="0" relativeHeight="251665408" behindDoc="0" locked="0" layoutInCell="1" allowOverlap="1" wp14:anchorId="0631D3F9" wp14:editId="409DB559">
          <wp:simplePos x="0" y="0"/>
          <wp:positionH relativeFrom="margin">
            <wp:posOffset>-309245</wp:posOffset>
          </wp:positionH>
          <wp:positionV relativeFrom="paragraph">
            <wp:posOffset>-161925</wp:posOffset>
          </wp:positionV>
          <wp:extent cx="600075" cy="60007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_3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9A2">
      <w:rPr>
        <w:rFonts w:cs="Times New Roman"/>
      </w:rPr>
      <w:t>Arena Tax s</w:t>
    </w:r>
    <w:r w:rsidR="00D15626" w:rsidRPr="006274C1">
      <w:rPr>
        <w:rFonts w:cs="Times New Roman"/>
      </w:rPr>
      <w:t>p. z o.o.</w:t>
    </w:r>
  </w:p>
  <w:p w:rsidR="0042741F" w:rsidRPr="006274C1" w:rsidRDefault="0042741F">
    <w:pPr>
      <w:pStyle w:val="Nagwek"/>
      <w:jc w:val="right"/>
      <w:rPr>
        <w:rFonts w:cs="Times New Roman"/>
        <w:sz w:val="24"/>
      </w:rPr>
    </w:pPr>
    <w:r w:rsidRPr="006274C1">
      <w:rPr>
        <w:rFonts w:cs="Times New Roman"/>
      </w:rPr>
      <w:t xml:space="preserve">Strona </w:t>
    </w:r>
    <w:sdt>
      <w:sdtPr>
        <w:rPr>
          <w:rFonts w:cs="Times New Roman"/>
        </w:rPr>
        <w:id w:val="-481080466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Pr="006274C1">
          <w:rPr>
            <w:rFonts w:cs="Times New Roman"/>
          </w:rPr>
          <w:fldChar w:fldCharType="begin"/>
        </w:r>
        <w:r w:rsidRPr="006274C1">
          <w:rPr>
            <w:rFonts w:cs="Times New Roman"/>
          </w:rPr>
          <w:instrText>PAGE   \* MERGEFORMAT</w:instrText>
        </w:r>
        <w:r w:rsidRPr="006274C1">
          <w:rPr>
            <w:rFonts w:cs="Times New Roman"/>
          </w:rPr>
          <w:fldChar w:fldCharType="separate"/>
        </w:r>
        <w:r w:rsidR="00A71010">
          <w:rPr>
            <w:rFonts w:cs="Times New Roman"/>
            <w:noProof/>
          </w:rPr>
          <w:t>1</w:t>
        </w:r>
        <w:r w:rsidRPr="006274C1">
          <w:rPr>
            <w:rFonts w:cs="Times New Roman"/>
          </w:rPr>
          <w:fldChar w:fldCharType="end"/>
        </w:r>
      </w:sdtContent>
    </w:sdt>
  </w:p>
  <w:p w:rsidR="00BC168A" w:rsidRPr="006274C1" w:rsidRDefault="00BC168A" w:rsidP="002A4896">
    <w:pPr>
      <w:pStyle w:val="Nagwek"/>
      <w:rPr>
        <w:rFonts w:cs="Times New Roman"/>
      </w:rPr>
    </w:pPr>
  </w:p>
  <w:p w:rsidR="002A4896" w:rsidRPr="006274C1" w:rsidRDefault="002A4896" w:rsidP="002A4896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31DC"/>
    <w:multiLevelType w:val="hybridMultilevel"/>
    <w:tmpl w:val="8312D8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12D"/>
    <w:multiLevelType w:val="hybridMultilevel"/>
    <w:tmpl w:val="921C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DD"/>
    <w:rsid w:val="00014786"/>
    <w:rsid w:val="00034AC9"/>
    <w:rsid w:val="00042915"/>
    <w:rsid w:val="000479A1"/>
    <w:rsid w:val="00051CEC"/>
    <w:rsid w:val="00056C77"/>
    <w:rsid w:val="00074B5C"/>
    <w:rsid w:val="00077F03"/>
    <w:rsid w:val="000820E8"/>
    <w:rsid w:val="000833CC"/>
    <w:rsid w:val="0008427F"/>
    <w:rsid w:val="00091FBC"/>
    <w:rsid w:val="00094C8E"/>
    <w:rsid w:val="000A1B27"/>
    <w:rsid w:val="000B1E5C"/>
    <w:rsid w:val="000C7A0E"/>
    <w:rsid w:val="000D1F46"/>
    <w:rsid w:val="00104907"/>
    <w:rsid w:val="001059AE"/>
    <w:rsid w:val="00120FF9"/>
    <w:rsid w:val="00123D4E"/>
    <w:rsid w:val="00130C87"/>
    <w:rsid w:val="0014280E"/>
    <w:rsid w:val="00152C96"/>
    <w:rsid w:val="00165F4F"/>
    <w:rsid w:val="0016645B"/>
    <w:rsid w:val="00185E47"/>
    <w:rsid w:val="00190F25"/>
    <w:rsid w:val="00196325"/>
    <w:rsid w:val="001A03A1"/>
    <w:rsid w:val="001A5BA8"/>
    <w:rsid w:val="001B7A03"/>
    <w:rsid w:val="001D6057"/>
    <w:rsid w:val="001D7578"/>
    <w:rsid w:val="001E1D77"/>
    <w:rsid w:val="001E36A7"/>
    <w:rsid w:val="001E3EBA"/>
    <w:rsid w:val="001F588C"/>
    <w:rsid w:val="001F7A88"/>
    <w:rsid w:val="0021534B"/>
    <w:rsid w:val="0021594C"/>
    <w:rsid w:val="00216339"/>
    <w:rsid w:val="002258C4"/>
    <w:rsid w:val="0024449B"/>
    <w:rsid w:val="00247577"/>
    <w:rsid w:val="0025055E"/>
    <w:rsid w:val="002740B9"/>
    <w:rsid w:val="00293432"/>
    <w:rsid w:val="002A4896"/>
    <w:rsid w:val="002B2255"/>
    <w:rsid w:val="002B2316"/>
    <w:rsid w:val="002B4DC1"/>
    <w:rsid w:val="002C09B8"/>
    <w:rsid w:val="002C28CE"/>
    <w:rsid w:val="002C40B2"/>
    <w:rsid w:val="002D2491"/>
    <w:rsid w:val="002F4E63"/>
    <w:rsid w:val="002F6FC5"/>
    <w:rsid w:val="002F7718"/>
    <w:rsid w:val="003004D4"/>
    <w:rsid w:val="00327D28"/>
    <w:rsid w:val="00335B90"/>
    <w:rsid w:val="00345F3B"/>
    <w:rsid w:val="00350BC8"/>
    <w:rsid w:val="00350FBA"/>
    <w:rsid w:val="00351D16"/>
    <w:rsid w:val="0035600C"/>
    <w:rsid w:val="003658E2"/>
    <w:rsid w:val="0036618A"/>
    <w:rsid w:val="003741C3"/>
    <w:rsid w:val="003835B6"/>
    <w:rsid w:val="00394DAB"/>
    <w:rsid w:val="0039588B"/>
    <w:rsid w:val="003B586C"/>
    <w:rsid w:val="003C22B4"/>
    <w:rsid w:val="003D4104"/>
    <w:rsid w:val="003E3472"/>
    <w:rsid w:val="003E48C7"/>
    <w:rsid w:val="003F41CB"/>
    <w:rsid w:val="00405534"/>
    <w:rsid w:val="0042741F"/>
    <w:rsid w:val="00437476"/>
    <w:rsid w:val="004437FC"/>
    <w:rsid w:val="004471C7"/>
    <w:rsid w:val="0044768C"/>
    <w:rsid w:val="00463EBB"/>
    <w:rsid w:val="00486288"/>
    <w:rsid w:val="00487DD0"/>
    <w:rsid w:val="00493E91"/>
    <w:rsid w:val="00493F2F"/>
    <w:rsid w:val="00494C2E"/>
    <w:rsid w:val="004A33FD"/>
    <w:rsid w:val="004A4A1E"/>
    <w:rsid w:val="004A55EB"/>
    <w:rsid w:val="004A5954"/>
    <w:rsid w:val="004B20DB"/>
    <w:rsid w:val="004C0049"/>
    <w:rsid w:val="004C21F7"/>
    <w:rsid w:val="004C7677"/>
    <w:rsid w:val="004E7330"/>
    <w:rsid w:val="005007F8"/>
    <w:rsid w:val="005024CA"/>
    <w:rsid w:val="005059C6"/>
    <w:rsid w:val="00514BF1"/>
    <w:rsid w:val="0054082E"/>
    <w:rsid w:val="005432ED"/>
    <w:rsid w:val="00547A73"/>
    <w:rsid w:val="00583B71"/>
    <w:rsid w:val="00585AC9"/>
    <w:rsid w:val="00587DF6"/>
    <w:rsid w:val="0059044E"/>
    <w:rsid w:val="005937D7"/>
    <w:rsid w:val="00595711"/>
    <w:rsid w:val="005A4139"/>
    <w:rsid w:val="005A56D6"/>
    <w:rsid w:val="005B2222"/>
    <w:rsid w:val="005B48BC"/>
    <w:rsid w:val="005B7C41"/>
    <w:rsid w:val="005E1628"/>
    <w:rsid w:val="005E352C"/>
    <w:rsid w:val="005F00D7"/>
    <w:rsid w:val="005F206C"/>
    <w:rsid w:val="00612365"/>
    <w:rsid w:val="0061401C"/>
    <w:rsid w:val="006274C1"/>
    <w:rsid w:val="00643672"/>
    <w:rsid w:val="00644434"/>
    <w:rsid w:val="0066044C"/>
    <w:rsid w:val="0066216A"/>
    <w:rsid w:val="006659E9"/>
    <w:rsid w:val="006A483D"/>
    <w:rsid w:val="006B007C"/>
    <w:rsid w:val="006B3CE7"/>
    <w:rsid w:val="006B40C6"/>
    <w:rsid w:val="006B4887"/>
    <w:rsid w:val="006D0FB4"/>
    <w:rsid w:val="006E4E50"/>
    <w:rsid w:val="006F51AB"/>
    <w:rsid w:val="006F5750"/>
    <w:rsid w:val="0070440D"/>
    <w:rsid w:val="00706ACB"/>
    <w:rsid w:val="00724DFC"/>
    <w:rsid w:val="007430CE"/>
    <w:rsid w:val="007557EF"/>
    <w:rsid w:val="00756AB8"/>
    <w:rsid w:val="007622D1"/>
    <w:rsid w:val="007627B5"/>
    <w:rsid w:val="0076340A"/>
    <w:rsid w:val="007647EB"/>
    <w:rsid w:val="00767846"/>
    <w:rsid w:val="007718DC"/>
    <w:rsid w:val="007736E4"/>
    <w:rsid w:val="00790993"/>
    <w:rsid w:val="0079695E"/>
    <w:rsid w:val="007A5EEC"/>
    <w:rsid w:val="007B64D8"/>
    <w:rsid w:val="007D5A04"/>
    <w:rsid w:val="007E1822"/>
    <w:rsid w:val="007E637C"/>
    <w:rsid w:val="007F0B2C"/>
    <w:rsid w:val="007F0BC9"/>
    <w:rsid w:val="00805201"/>
    <w:rsid w:val="00810BF5"/>
    <w:rsid w:val="00813163"/>
    <w:rsid w:val="00822E9E"/>
    <w:rsid w:val="00825888"/>
    <w:rsid w:val="00825D6A"/>
    <w:rsid w:val="00837D5B"/>
    <w:rsid w:val="00843295"/>
    <w:rsid w:val="00855C9D"/>
    <w:rsid w:val="00857F66"/>
    <w:rsid w:val="00862755"/>
    <w:rsid w:val="0088523F"/>
    <w:rsid w:val="00890C1C"/>
    <w:rsid w:val="00892400"/>
    <w:rsid w:val="00892A39"/>
    <w:rsid w:val="008B4641"/>
    <w:rsid w:val="008B59A1"/>
    <w:rsid w:val="008B5C84"/>
    <w:rsid w:val="008B7F2E"/>
    <w:rsid w:val="008C3A3E"/>
    <w:rsid w:val="008C531A"/>
    <w:rsid w:val="008C5841"/>
    <w:rsid w:val="008C6AFF"/>
    <w:rsid w:val="008D12A8"/>
    <w:rsid w:val="008E3236"/>
    <w:rsid w:val="008E5266"/>
    <w:rsid w:val="008F0CD2"/>
    <w:rsid w:val="008F7194"/>
    <w:rsid w:val="00905A94"/>
    <w:rsid w:val="00917728"/>
    <w:rsid w:val="00921171"/>
    <w:rsid w:val="009214F6"/>
    <w:rsid w:val="009246F3"/>
    <w:rsid w:val="009308B4"/>
    <w:rsid w:val="00931CD8"/>
    <w:rsid w:val="0093225C"/>
    <w:rsid w:val="00934D80"/>
    <w:rsid w:val="00943BCF"/>
    <w:rsid w:val="00945C24"/>
    <w:rsid w:val="009514D1"/>
    <w:rsid w:val="009564F6"/>
    <w:rsid w:val="009570A9"/>
    <w:rsid w:val="00967623"/>
    <w:rsid w:val="0098279C"/>
    <w:rsid w:val="00983060"/>
    <w:rsid w:val="009962CC"/>
    <w:rsid w:val="009B1B6A"/>
    <w:rsid w:val="009E6027"/>
    <w:rsid w:val="009E68C4"/>
    <w:rsid w:val="009F2E5B"/>
    <w:rsid w:val="009F76EA"/>
    <w:rsid w:val="00A131F4"/>
    <w:rsid w:val="00A148D1"/>
    <w:rsid w:val="00A151A9"/>
    <w:rsid w:val="00A174E6"/>
    <w:rsid w:val="00A35A1F"/>
    <w:rsid w:val="00A360D6"/>
    <w:rsid w:val="00A37DE3"/>
    <w:rsid w:val="00A43526"/>
    <w:rsid w:val="00A453A5"/>
    <w:rsid w:val="00A62688"/>
    <w:rsid w:val="00A71010"/>
    <w:rsid w:val="00A82ADF"/>
    <w:rsid w:val="00A8600E"/>
    <w:rsid w:val="00A92E82"/>
    <w:rsid w:val="00AB1C19"/>
    <w:rsid w:val="00AB3003"/>
    <w:rsid w:val="00AC0624"/>
    <w:rsid w:val="00AC7103"/>
    <w:rsid w:val="00AD13A8"/>
    <w:rsid w:val="00AD3B2B"/>
    <w:rsid w:val="00AE3BC1"/>
    <w:rsid w:val="00AE7496"/>
    <w:rsid w:val="00AF2312"/>
    <w:rsid w:val="00B0072B"/>
    <w:rsid w:val="00B153DE"/>
    <w:rsid w:val="00B2414A"/>
    <w:rsid w:val="00B30EF7"/>
    <w:rsid w:val="00B418E7"/>
    <w:rsid w:val="00B44F2D"/>
    <w:rsid w:val="00B512A9"/>
    <w:rsid w:val="00B5620C"/>
    <w:rsid w:val="00B57B94"/>
    <w:rsid w:val="00B64631"/>
    <w:rsid w:val="00B65B91"/>
    <w:rsid w:val="00BA7485"/>
    <w:rsid w:val="00BB2162"/>
    <w:rsid w:val="00BC168A"/>
    <w:rsid w:val="00BC44E2"/>
    <w:rsid w:val="00BD0116"/>
    <w:rsid w:val="00BD0C13"/>
    <w:rsid w:val="00BD71D8"/>
    <w:rsid w:val="00BD73CB"/>
    <w:rsid w:val="00BD79A2"/>
    <w:rsid w:val="00BE20A2"/>
    <w:rsid w:val="00BE3FB0"/>
    <w:rsid w:val="00BF394C"/>
    <w:rsid w:val="00C03CC7"/>
    <w:rsid w:val="00C1147A"/>
    <w:rsid w:val="00C4149A"/>
    <w:rsid w:val="00C422FA"/>
    <w:rsid w:val="00C45560"/>
    <w:rsid w:val="00C45C69"/>
    <w:rsid w:val="00C5514B"/>
    <w:rsid w:val="00C63882"/>
    <w:rsid w:val="00C87B16"/>
    <w:rsid w:val="00C87E54"/>
    <w:rsid w:val="00C901A7"/>
    <w:rsid w:val="00CC4C6A"/>
    <w:rsid w:val="00CD0AC0"/>
    <w:rsid w:val="00CD1AF2"/>
    <w:rsid w:val="00CD1B28"/>
    <w:rsid w:val="00CE69B3"/>
    <w:rsid w:val="00D02F59"/>
    <w:rsid w:val="00D07566"/>
    <w:rsid w:val="00D15626"/>
    <w:rsid w:val="00D406AB"/>
    <w:rsid w:val="00D420B5"/>
    <w:rsid w:val="00D45776"/>
    <w:rsid w:val="00D46AAD"/>
    <w:rsid w:val="00D509CB"/>
    <w:rsid w:val="00D603D6"/>
    <w:rsid w:val="00D672C2"/>
    <w:rsid w:val="00D772C8"/>
    <w:rsid w:val="00D80F61"/>
    <w:rsid w:val="00D9510E"/>
    <w:rsid w:val="00DA0794"/>
    <w:rsid w:val="00DB1E60"/>
    <w:rsid w:val="00DB7312"/>
    <w:rsid w:val="00DC74AA"/>
    <w:rsid w:val="00DF2189"/>
    <w:rsid w:val="00E03425"/>
    <w:rsid w:val="00E05F0A"/>
    <w:rsid w:val="00E075D0"/>
    <w:rsid w:val="00E10329"/>
    <w:rsid w:val="00E235E6"/>
    <w:rsid w:val="00E24F36"/>
    <w:rsid w:val="00E4630E"/>
    <w:rsid w:val="00E50C5B"/>
    <w:rsid w:val="00E62ED2"/>
    <w:rsid w:val="00E67D71"/>
    <w:rsid w:val="00E727F8"/>
    <w:rsid w:val="00E77C0A"/>
    <w:rsid w:val="00E845AA"/>
    <w:rsid w:val="00E947FC"/>
    <w:rsid w:val="00E961B2"/>
    <w:rsid w:val="00E97EAE"/>
    <w:rsid w:val="00EB52C6"/>
    <w:rsid w:val="00EB7F18"/>
    <w:rsid w:val="00ED06D1"/>
    <w:rsid w:val="00ED62F8"/>
    <w:rsid w:val="00EE1845"/>
    <w:rsid w:val="00EE3C97"/>
    <w:rsid w:val="00EE4FEA"/>
    <w:rsid w:val="00EF14D8"/>
    <w:rsid w:val="00EF62F6"/>
    <w:rsid w:val="00F06B84"/>
    <w:rsid w:val="00F126E5"/>
    <w:rsid w:val="00F232B1"/>
    <w:rsid w:val="00F27482"/>
    <w:rsid w:val="00F3609F"/>
    <w:rsid w:val="00F518DB"/>
    <w:rsid w:val="00F61B1D"/>
    <w:rsid w:val="00F65EF0"/>
    <w:rsid w:val="00F66917"/>
    <w:rsid w:val="00F71977"/>
    <w:rsid w:val="00F92A13"/>
    <w:rsid w:val="00FA5EF9"/>
    <w:rsid w:val="00FB66DD"/>
    <w:rsid w:val="00FC46E9"/>
    <w:rsid w:val="00FF674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71FBA-12CF-4D3D-8D65-B19AB1C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DD"/>
  </w:style>
  <w:style w:type="paragraph" w:styleId="Stopka">
    <w:name w:val="footer"/>
    <w:basedOn w:val="Normalny"/>
    <w:link w:val="StopkaZnak"/>
    <w:uiPriority w:val="99"/>
    <w:unhideWhenUsed/>
    <w:rsid w:val="00FB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DD"/>
  </w:style>
  <w:style w:type="paragraph" w:styleId="Tekstdymka">
    <w:name w:val="Balloon Text"/>
    <w:basedOn w:val="Normalny"/>
    <w:link w:val="TekstdymkaZnak"/>
    <w:uiPriority w:val="99"/>
    <w:semiHidden/>
    <w:unhideWhenUsed/>
    <w:rsid w:val="00FB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6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9F2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58C4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258C4"/>
  </w:style>
  <w:style w:type="table" w:customStyle="1" w:styleId="Tabela-Siatka1">
    <w:name w:val="Tabela - Siatka1"/>
    <w:basedOn w:val="Standardowy"/>
    <w:next w:val="Tabela-Siatka"/>
    <w:uiPriority w:val="39"/>
    <w:rsid w:val="0054082E"/>
    <w:pPr>
      <w:spacing w:after="0"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F6DA-1007-4A0A-9D05-79DBC7F8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t410</dc:creator>
  <cp:lastModifiedBy>Arena Tax_JP</cp:lastModifiedBy>
  <cp:revision>10</cp:revision>
  <cp:lastPrinted>2019-10-21T15:50:00Z</cp:lastPrinted>
  <dcterms:created xsi:type="dcterms:W3CDTF">2019-10-21T16:38:00Z</dcterms:created>
  <dcterms:modified xsi:type="dcterms:W3CDTF">2019-10-21T20:14:00Z</dcterms:modified>
</cp:coreProperties>
</file>