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pPr w:leftFromText="141" w:rightFromText="141" w:vertAnchor="text" w:tblpX="-431" w:tblpY="1"/>
        <w:tblOverlap w:val="never"/>
        <w:tblW w:w="14309" w:type="dxa"/>
        <w:tblLook w:val="04A0" w:firstRow="1" w:lastRow="0" w:firstColumn="1" w:lastColumn="0" w:noHBand="0" w:noVBand="1"/>
      </w:tblPr>
      <w:tblGrid>
        <w:gridCol w:w="834"/>
        <w:gridCol w:w="1566"/>
        <w:gridCol w:w="2131"/>
        <w:gridCol w:w="4962"/>
        <w:gridCol w:w="4816"/>
      </w:tblGrid>
      <w:tr w:rsidR="002228BA" w:rsidRPr="002228BA" w14:paraId="606905A3" w14:textId="77777777" w:rsidTr="001D2343">
        <w:trPr>
          <w:trHeight w:val="550"/>
          <w:tblHeader/>
        </w:trPr>
        <w:tc>
          <w:tcPr>
            <w:tcW w:w="14309" w:type="dxa"/>
            <w:gridSpan w:val="5"/>
            <w:shd w:val="clear" w:color="auto" w:fill="D5DCE4" w:themeFill="text2" w:themeFillTint="33"/>
          </w:tcPr>
          <w:p w14:paraId="5B9A9E4F" w14:textId="1439A74E" w:rsidR="00CC05AD" w:rsidRPr="002228BA" w:rsidRDefault="00CC05AD" w:rsidP="00AB0FF4">
            <w:pPr>
              <w:pStyle w:val="Bezodstpw"/>
              <w:jc w:val="both"/>
              <w:rPr>
                <w:rFonts w:cs="Times New Roman"/>
                <w:sz w:val="20"/>
                <w:szCs w:val="20"/>
              </w:rPr>
            </w:pPr>
          </w:p>
          <w:p w14:paraId="38E75E6B" w14:textId="3A149DD3" w:rsidR="0004003F" w:rsidRPr="002228BA" w:rsidRDefault="002E0F81" w:rsidP="00AB0FF4">
            <w:pPr>
              <w:pStyle w:val="Bezodstpw"/>
              <w:jc w:val="both"/>
              <w:rPr>
                <w:rFonts w:cs="Times New Roman"/>
                <w:b/>
                <w:bCs/>
                <w:sz w:val="20"/>
                <w:szCs w:val="20"/>
              </w:rPr>
            </w:pPr>
            <w:r w:rsidRPr="002228BA">
              <w:rPr>
                <w:rFonts w:cs="Times New Roman"/>
                <w:b/>
                <w:bCs/>
                <w:sz w:val="20"/>
                <w:szCs w:val="20"/>
              </w:rPr>
              <w:t>Tabela uwag zgłoszonych do projektu rozporządzenia Ministra Sprawiedliwości w sprawie warunków technicznych korzystania oraz funkcjonowania portalu informacyjnego, trybu zakładania, udostępniania i likwidacji konta w portalu informacyjnym (</w:t>
            </w:r>
            <w:r w:rsidR="00BE2BA5" w:rsidRPr="002228BA">
              <w:rPr>
                <w:rFonts w:cs="Times New Roman"/>
                <w:b/>
                <w:bCs/>
                <w:sz w:val="20"/>
                <w:szCs w:val="20"/>
              </w:rPr>
              <w:t>A51</w:t>
            </w:r>
            <w:r w:rsidRPr="002228BA">
              <w:rPr>
                <w:rFonts w:cs="Times New Roman"/>
                <w:b/>
                <w:bCs/>
                <w:sz w:val="20"/>
                <w:szCs w:val="20"/>
              </w:rPr>
              <w:t>7</w:t>
            </w:r>
            <w:r w:rsidR="00BE2BA5" w:rsidRPr="002228BA">
              <w:rPr>
                <w:rFonts w:cs="Times New Roman"/>
                <w:b/>
                <w:bCs/>
                <w:sz w:val="20"/>
                <w:szCs w:val="20"/>
              </w:rPr>
              <w:t xml:space="preserve">) zgłoszonych </w:t>
            </w:r>
            <w:r w:rsidR="0004003F" w:rsidRPr="002228BA">
              <w:rPr>
                <w:rFonts w:cs="Times New Roman"/>
                <w:b/>
                <w:bCs/>
                <w:sz w:val="20"/>
                <w:szCs w:val="20"/>
              </w:rPr>
              <w:t>na etapi</w:t>
            </w:r>
            <w:r w:rsidR="00D567C8" w:rsidRPr="002228BA">
              <w:rPr>
                <w:rFonts w:cs="Times New Roman"/>
                <w:b/>
                <w:bCs/>
                <w:sz w:val="20"/>
                <w:szCs w:val="20"/>
              </w:rPr>
              <w:t xml:space="preserve">e </w:t>
            </w:r>
            <w:r w:rsidR="008A16DE" w:rsidRPr="002228BA">
              <w:rPr>
                <w:rFonts w:cs="Times New Roman"/>
                <w:b/>
                <w:bCs/>
                <w:sz w:val="20"/>
                <w:szCs w:val="20"/>
                <w:u w:val="single"/>
              </w:rPr>
              <w:t>opiniowania</w:t>
            </w:r>
            <w:r w:rsidR="0004003F" w:rsidRPr="002228BA">
              <w:rPr>
                <w:rFonts w:cs="Times New Roman"/>
                <w:b/>
                <w:bCs/>
                <w:sz w:val="20"/>
                <w:szCs w:val="20"/>
              </w:rPr>
              <w:t xml:space="preserve"> wraz ze stanowiskiem resortu wobec uwag.</w:t>
            </w:r>
          </w:p>
          <w:p w14:paraId="35678BC0" w14:textId="7E0A05FC" w:rsidR="00CC05AD" w:rsidRPr="002228BA" w:rsidRDefault="00CC05AD" w:rsidP="00AB0FF4">
            <w:pPr>
              <w:pStyle w:val="Bezodstpw"/>
              <w:jc w:val="both"/>
              <w:rPr>
                <w:rFonts w:cs="Times New Roman"/>
                <w:sz w:val="20"/>
                <w:szCs w:val="20"/>
              </w:rPr>
            </w:pPr>
          </w:p>
        </w:tc>
      </w:tr>
      <w:tr w:rsidR="002228BA" w:rsidRPr="002228BA" w14:paraId="0D68A99B" w14:textId="77777777" w:rsidTr="00F0600D">
        <w:trPr>
          <w:trHeight w:val="704"/>
          <w:tblHeader/>
        </w:trPr>
        <w:tc>
          <w:tcPr>
            <w:tcW w:w="834" w:type="dxa"/>
            <w:shd w:val="clear" w:color="auto" w:fill="D5DCE4" w:themeFill="text2" w:themeFillTint="33"/>
          </w:tcPr>
          <w:p w14:paraId="531721EE" w14:textId="77777777" w:rsidR="00CC05AD" w:rsidRPr="002228BA" w:rsidRDefault="00CC05AD" w:rsidP="008138E3">
            <w:pPr>
              <w:pStyle w:val="Bezodstpw"/>
              <w:jc w:val="center"/>
              <w:rPr>
                <w:rFonts w:cs="Times New Roman"/>
                <w:b/>
                <w:bCs/>
                <w:sz w:val="20"/>
                <w:szCs w:val="20"/>
              </w:rPr>
            </w:pPr>
          </w:p>
          <w:p w14:paraId="380A2398" w14:textId="765C6EE4" w:rsidR="00F0600D" w:rsidRPr="002228BA" w:rsidRDefault="00F0600D" w:rsidP="008138E3">
            <w:pPr>
              <w:pStyle w:val="Bezodstpw"/>
              <w:jc w:val="center"/>
              <w:rPr>
                <w:rFonts w:cs="Times New Roman"/>
                <w:b/>
                <w:bCs/>
                <w:sz w:val="20"/>
                <w:szCs w:val="20"/>
              </w:rPr>
            </w:pPr>
            <w:r w:rsidRPr="002228BA">
              <w:rPr>
                <w:rFonts w:cs="Times New Roman"/>
                <w:b/>
                <w:bCs/>
                <w:sz w:val="20"/>
                <w:szCs w:val="20"/>
              </w:rPr>
              <w:t>L.p.</w:t>
            </w:r>
          </w:p>
        </w:tc>
        <w:tc>
          <w:tcPr>
            <w:tcW w:w="1566" w:type="dxa"/>
            <w:shd w:val="clear" w:color="auto" w:fill="D5DCE4" w:themeFill="text2" w:themeFillTint="33"/>
          </w:tcPr>
          <w:p w14:paraId="1DFDFF94" w14:textId="77777777" w:rsidR="00CC05AD" w:rsidRPr="002228BA" w:rsidRDefault="00CC05AD" w:rsidP="00F00F5B">
            <w:pPr>
              <w:pStyle w:val="Bezodstpw"/>
              <w:jc w:val="center"/>
              <w:rPr>
                <w:rFonts w:cs="Times New Roman"/>
                <w:b/>
                <w:bCs/>
                <w:sz w:val="20"/>
                <w:szCs w:val="20"/>
              </w:rPr>
            </w:pPr>
          </w:p>
          <w:p w14:paraId="7AA3BB7C" w14:textId="77777777" w:rsidR="00F0600D" w:rsidRPr="002228BA" w:rsidRDefault="00F0600D" w:rsidP="00F00F5B">
            <w:pPr>
              <w:pStyle w:val="Bezodstpw"/>
              <w:jc w:val="center"/>
              <w:rPr>
                <w:rFonts w:cs="Times New Roman"/>
                <w:b/>
                <w:bCs/>
                <w:sz w:val="20"/>
                <w:szCs w:val="20"/>
              </w:rPr>
            </w:pPr>
            <w:r w:rsidRPr="002228BA">
              <w:rPr>
                <w:rFonts w:cs="Times New Roman"/>
                <w:b/>
                <w:bCs/>
                <w:sz w:val="20"/>
                <w:szCs w:val="20"/>
              </w:rPr>
              <w:t>Jednostka redakcyjna, do której zgłaszana jest uwaga</w:t>
            </w:r>
          </w:p>
          <w:p w14:paraId="78044ED7" w14:textId="02D41A34" w:rsidR="00CC05AD" w:rsidRPr="002228BA" w:rsidRDefault="00CC05AD" w:rsidP="00F00F5B">
            <w:pPr>
              <w:pStyle w:val="Bezodstpw"/>
              <w:jc w:val="center"/>
              <w:rPr>
                <w:rFonts w:cs="Times New Roman"/>
                <w:b/>
                <w:bCs/>
                <w:sz w:val="20"/>
                <w:szCs w:val="20"/>
              </w:rPr>
            </w:pPr>
          </w:p>
        </w:tc>
        <w:tc>
          <w:tcPr>
            <w:tcW w:w="2131" w:type="dxa"/>
            <w:shd w:val="clear" w:color="auto" w:fill="D5DCE4" w:themeFill="text2" w:themeFillTint="33"/>
          </w:tcPr>
          <w:p w14:paraId="5C2FF523" w14:textId="77777777" w:rsidR="002558D3" w:rsidRPr="002228BA" w:rsidRDefault="002558D3" w:rsidP="00F00F5B">
            <w:pPr>
              <w:pStyle w:val="Bezodstpw"/>
              <w:jc w:val="center"/>
              <w:rPr>
                <w:rFonts w:cs="Times New Roman"/>
                <w:b/>
                <w:bCs/>
                <w:sz w:val="20"/>
                <w:szCs w:val="20"/>
              </w:rPr>
            </w:pPr>
          </w:p>
          <w:p w14:paraId="489CE32D" w14:textId="6E195071" w:rsidR="00F0600D" w:rsidRPr="002228BA" w:rsidRDefault="00F0600D" w:rsidP="00F00F5B">
            <w:pPr>
              <w:pStyle w:val="Bezodstpw"/>
              <w:jc w:val="center"/>
              <w:rPr>
                <w:rFonts w:cs="Times New Roman"/>
                <w:b/>
                <w:bCs/>
                <w:sz w:val="20"/>
                <w:szCs w:val="20"/>
              </w:rPr>
            </w:pPr>
            <w:r w:rsidRPr="002228BA">
              <w:rPr>
                <w:rFonts w:cs="Times New Roman"/>
                <w:b/>
                <w:bCs/>
                <w:sz w:val="20"/>
                <w:szCs w:val="20"/>
              </w:rPr>
              <w:t>Podmiot zgłaszający uwagę</w:t>
            </w:r>
          </w:p>
        </w:tc>
        <w:tc>
          <w:tcPr>
            <w:tcW w:w="4962" w:type="dxa"/>
            <w:shd w:val="clear" w:color="auto" w:fill="D5DCE4" w:themeFill="text2" w:themeFillTint="33"/>
          </w:tcPr>
          <w:p w14:paraId="2A49D912" w14:textId="77777777" w:rsidR="002558D3" w:rsidRPr="002228BA" w:rsidRDefault="002558D3" w:rsidP="00875AB1">
            <w:pPr>
              <w:pStyle w:val="Bezodstpw"/>
              <w:jc w:val="center"/>
              <w:rPr>
                <w:rFonts w:cs="Times New Roman"/>
                <w:b/>
                <w:bCs/>
                <w:sz w:val="20"/>
                <w:szCs w:val="20"/>
              </w:rPr>
            </w:pPr>
          </w:p>
          <w:p w14:paraId="45C402D3" w14:textId="1F66153F" w:rsidR="00F0600D" w:rsidRPr="002228BA" w:rsidRDefault="00F0600D" w:rsidP="00875AB1">
            <w:pPr>
              <w:pStyle w:val="Bezodstpw"/>
              <w:jc w:val="center"/>
              <w:rPr>
                <w:rFonts w:cs="Times New Roman"/>
                <w:b/>
                <w:bCs/>
                <w:sz w:val="20"/>
                <w:szCs w:val="20"/>
              </w:rPr>
            </w:pPr>
            <w:r w:rsidRPr="002228BA">
              <w:rPr>
                <w:rFonts w:cs="Times New Roman"/>
                <w:b/>
                <w:bCs/>
                <w:sz w:val="20"/>
                <w:szCs w:val="20"/>
              </w:rPr>
              <w:t>Treść uwagi</w:t>
            </w:r>
          </w:p>
        </w:tc>
        <w:tc>
          <w:tcPr>
            <w:tcW w:w="4816" w:type="dxa"/>
            <w:shd w:val="clear" w:color="auto" w:fill="D5DCE4" w:themeFill="text2" w:themeFillTint="33"/>
          </w:tcPr>
          <w:p w14:paraId="36541CAC" w14:textId="77777777" w:rsidR="002558D3" w:rsidRPr="002228BA" w:rsidRDefault="002558D3" w:rsidP="00875AB1">
            <w:pPr>
              <w:pStyle w:val="Bezodstpw"/>
              <w:jc w:val="center"/>
              <w:rPr>
                <w:rFonts w:cs="Times New Roman"/>
                <w:b/>
                <w:bCs/>
                <w:sz w:val="20"/>
                <w:szCs w:val="20"/>
              </w:rPr>
            </w:pPr>
          </w:p>
          <w:p w14:paraId="0BAD2B74" w14:textId="36DC23BF" w:rsidR="00F0600D" w:rsidRPr="002228BA" w:rsidRDefault="00F0600D" w:rsidP="00875AB1">
            <w:pPr>
              <w:pStyle w:val="Bezodstpw"/>
              <w:jc w:val="center"/>
              <w:rPr>
                <w:rFonts w:cs="Times New Roman"/>
                <w:b/>
                <w:bCs/>
                <w:sz w:val="20"/>
                <w:szCs w:val="20"/>
              </w:rPr>
            </w:pPr>
            <w:r w:rsidRPr="002228BA">
              <w:rPr>
                <w:rFonts w:cs="Times New Roman"/>
                <w:b/>
                <w:bCs/>
                <w:sz w:val="20"/>
                <w:szCs w:val="20"/>
              </w:rPr>
              <w:t>Stanowisko resortu</w:t>
            </w:r>
          </w:p>
        </w:tc>
      </w:tr>
      <w:tr w:rsidR="002228BA" w:rsidRPr="002228BA" w14:paraId="0A89FD5D" w14:textId="77777777" w:rsidTr="00F0600D">
        <w:trPr>
          <w:trHeight w:val="1098"/>
        </w:trPr>
        <w:tc>
          <w:tcPr>
            <w:tcW w:w="834" w:type="dxa"/>
          </w:tcPr>
          <w:p w14:paraId="033F5616" w14:textId="466EECE0" w:rsidR="00F0600D" w:rsidRPr="002228BA" w:rsidRDefault="00950A57" w:rsidP="008138E3">
            <w:pPr>
              <w:pStyle w:val="Bezodstpw"/>
              <w:jc w:val="center"/>
              <w:rPr>
                <w:rFonts w:cs="Times New Roman"/>
                <w:sz w:val="20"/>
                <w:szCs w:val="20"/>
              </w:rPr>
            </w:pPr>
            <w:r w:rsidRPr="002228BA">
              <w:rPr>
                <w:rFonts w:cs="Times New Roman"/>
                <w:sz w:val="20"/>
                <w:szCs w:val="20"/>
              </w:rPr>
              <w:t>1</w:t>
            </w:r>
          </w:p>
        </w:tc>
        <w:tc>
          <w:tcPr>
            <w:tcW w:w="1566" w:type="dxa"/>
          </w:tcPr>
          <w:p w14:paraId="2FD63501" w14:textId="19536848" w:rsidR="00F0600D" w:rsidRPr="002228BA" w:rsidRDefault="00AD1F12" w:rsidP="00F00F5B">
            <w:pPr>
              <w:pStyle w:val="Bezodstpw"/>
              <w:jc w:val="center"/>
              <w:rPr>
                <w:rFonts w:cs="Times New Roman"/>
                <w:b/>
                <w:bCs/>
                <w:sz w:val="20"/>
                <w:szCs w:val="20"/>
              </w:rPr>
            </w:pPr>
            <w:r w:rsidRPr="002228BA">
              <w:rPr>
                <w:rFonts w:cs="Times New Roman"/>
                <w:b/>
                <w:bCs/>
                <w:sz w:val="20"/>
                <w:szCs w:val="20"/>
              </w:rPr>
              <w:t>Uwagi ogólne</w:t>
            </w:r>
          </w:p>
        </w:tc>
        <w:tc>
          <w:tcPr>
            <w:tcW w:w="2131" w:type="dxa"/>
          </w:tcPr>
          <w:p w14:paraId="17DFC174" w14:textId="4D223A43" w:rsidR="00F0600D" w:rsidRPr="002228BA" w:rsidRDefault="00AD1F12" w:rsidP="00F00F5B">
            <w:pPr>
              <w:pStyle w:val="Bezodstpw"/>
              <w:jc w:val="center"/>
              <w:rPr>
                <w:rFonts w:cs="Times New Roman"/>
                <w:b/>
                <w:bCs/>
                <w:sz w:val="20"/>
                <w:szCs w:val="20"/>
              </w:rPr>
            </w:pPr>
            <w:r w:rsidRPr="002228BA">
              <w:rPr>
                <w:rFonts w:cs="Times New Roman"/>
                <w:b/>
                <w:bCs/>
                <w:sz w:val="20"/>
                <w:szCs w:val="20"/>
              </w:rPr>
              <w:t>Prezes PGRP</w:t>
            </w:r>
          </w:p>
        </w:tc>
        <w:tc>
          <w:tcPr>
            <w:tcW w:w="4962" w:type="dxa"/>
          </w:tcPr>
          <w:p w14:paraId="45448807" w14:textId="77777777" w:rsidR="00AD1F12" w:rsidRPr="002228BA" w:rsidRDefault="00AD1F12" w:rsidP="00AD1F12">
            <w:pPr>
              <w:autoSpaceDE w:val="0"/>
              <w:autoSpaceDN w:val="0"/>
              <w:adjustRightInd w:val="0"/>
              <w:jc w:val="both"/>
              <w:rPr>
                <w:rFonts w:cs="Times New Roman"/>
                <w:sz w:val="20"/>
                <w:szCs w:val="20"/>
              </w:rPr>
            </w:pPr>
            <w:r w:rsidRPr="002228BA">
              <w:rPr>
                <w:rFonts w:cs="Times New Roman"/>
                <w:sz w:val="20"/>
                <w:szCs w:val="20"/>
              </w:rPr>
              <w:t>Kwestią istotną dla sprawności postępowania i ochrony praw stron postępowania jest kwestia dokonywania doręczeń wyłącznie w ramach spraw, do których użytkownik konta ma dostęp w PI. W praktyce możliwe są</w:t>
            </w:r>
          </w:p>
          <w:p w14:paraId="71235CC4" w14:textId="157D769A" w:rsidR="00AD1F12" w:rsidRPr="002228BA" w:rsidRDefault="00AD1F12" w:rsidP="00AD1F12">
            <w:pPr>
              <w:autoSpaceDE w:val="0"/>
              <w:autoSpaceDN w:val="0"/>
              <w:adjustRightInd w:val="0"/>
              <w:jc w:val="both"/>
              <w:rPr>
                <w:rFonts w:cs="Times New Roman"/>
                <w:sz w:val="20"/>
                <w:szCs w:val="20"/>
                <w:u w:val="single"/>
              </w:rPr>
            </w:pPr>
            <w:r w:rsidRPr="002228BA">
              <w:rPr>
                <w:rFonts w:cs="Times New Roman"/>
                <w:sz w:val="20"/>
                <w:szCs w:val="20"/>
              </w:rPr>
              <w:t>obecnie sytuacje udostępnienia pisma przez sąd użytkownikowi konta we właściwej zakładce, upływu 14-dniowego terminu i uznania pisma za doręczone w trybie art. 131</w:t>
            </w:r>
            <w:r w:rsidRPr="002228BA">
              <w:rPr>
                <w:rFonts w:cs="Times New Roman"/>
                <w:sz w:val="20"/>
                <w:szCs w:val="20"/>
                <w:vertAlign w:val="superscript"/>
              </w:rPr>
              <w:t>1a</w:t>
            </w:r>
            <w:r w:rsidRPr="002228BA">
              <w:rPr>
                <w:rFonts w:cs="Times New Roman"/>
                <w:sz w:val="20"/>
                <w:szCs w:val="20"/>
              </w:rPr>
              <w:t xml:space="preserve"> § 2 k.p.c., pomimo że użytkownik nie miał w PI dostępu do danej sprawy, której doręczenie dotyczyło, a zatem nie miał realnej możliwości odbioru pisma. </w:t>
            </w:r>
            <w:r w:rsidRPr="002228BA">
              <w:rPr>
                <w:rFonts w:cs="Times New Roman"/>
                <w:sz w:val="20"/>
                <w:szCs w:val="20"/>
                <w:u w:val="single"/>
              </w:rPr>
              <w:t>Zasadnym jest więc uregulowanie kwestii przydzielania użytkownikom kont dostępu do spraw w PI</w:t>
            </w:r>
            <w:r w:rsidR="00BA454E">
              <w:rPr>
                <w:rFonts w:cs="Times New Roman"/>
                <w:sz w:val="20"/>
                <w:szCs w:val="20"/>
                <w:u w:val="single"/>
              </w:rPr>
              <w:t>.</w:t>
            </w:r>
          </w:p>
          <w:p w14:paraId="7E0D4053" w14:textId="3B32F105" w:rsidR="005D1613" w:rsidRPr="002228BA" w:rsidRDefault="005D1613" w:rsidP="00AD1F12">
            <w:pPr>
              <w:pStyle w:val="Bezodstpw"/>
              <w:jc w:val="both"/>
              <w:rPr>
                <w:rFonts w:cs="Times New Roman"/>
                <w:sz w:val="20"/>
                <w:szCs w:val="20"/>
              </w:rPr>
            </w:pPr>
          </w:p>
        </w:tc>
        <w:tc>
          <w:tcPr>
            <w:tcW w:w="4816" w:type="dxa"/>
          </w:tcPr>
          <w:p w14:paraId="7678921B" w14:textId="77422E43" w:rsidR="0001309F" w:rsidRPr="002228BA" w:rsidRDefault="00DC4C42" w:rsidP="005F797D">
            <w:pPr>
              <w:pStyle w:val="Bezodstpw"/>
              <w:jc w:val="both"/>
              <w:rPr>
                <w:rFonts w:cs="Times New Roman"/>
                <w:b/>
                <w:bCs/>
                <w:sz w:val="20"/>
                <w:szCs w:val="20"/>
              </w:rPr>
            </w:pPr>
            <w:r w:rsidRPr="002228BA">
              <w:rPr>
                <w:rFonts w:cs="Times New Roman"/>
                <w:b/>
                <w:bCs/>
                <w:sz w:val="20"/>
                <w:szCs w:val="20"/>
              </w:rPr>
              <w:t xml:space="preserve">Uwaga uwzględniona. </w:t>
            </w:r>
          </w:p>
        </w:tc>
      </w:tr>
      <w:tr w:rsidR="002228BA" w:rsidRPr="002228BA" w14:paraId="5D597E5C" w14:textId="77777777" w:rsidTr="00F0600D">
        <w:trPr>
          <w:trHeight w:val="1098"/>
        </w:trPr>
        <w:tc>
          <w:tcPr>
            <w:tcW w:w="834" w:type="dxa"/>
          </w:tcPr>
          <w:p w14:paraId="32B3CD68" w14:textId="28822053" w:rsidR="00AD1F12" w:rsidRPr="002228BA" w:rsidRDefault="00950A57" w:rsidP="008138E3">
            <w:pPr>
              <w:pStyle w:val="Bezodstpw"/>
              <w:jc w:val="center"/>
              <w:rPr>
                <w:rFonts w:cs="Times New Roman"/>
                <w:sz w:val="20"/>
                <w:szCs w:val="20"/>
              </w:rPr>
            </w:pPr>
            <w:r w:rsidRPr="002228BA">
              <w:rPr>
                <w:rFonts w:cs="Times New Roman"/>
                <w:sz w:val="20"/>
                <w:szCs w:val="20"/>
              </w:rPr>
              <w:t>2</w:t>
            </w:r>
          </w:p>
        </w:tc>
        <w:tc>
          <w:tcPr>
            <w:tcW w:w="1566" w:type="dxa"/>
          </w:tcPr>
          <w:p w14:paraId="36DBE074" w14:textId="299C8510" w:rsidR="00AD1F12" w:rsidRPr="002228BA" w:rsidRDefault="00AD1F12" w:rsidP="00F00F5B">
            <w:pPr>
              <w:pStyle w:val="Bezodstpw"/>
              <w:jc w:val="center"/>
              <w:rPr>
                <w:rFonts w:cs="Times New Roman"/>
                <w:b/>
                <w:bCs/>
                <w:sz w:val="20"/>
                <w:szCs w:val="20"/>
              </w:rPr>
            </w:pPr>
            <w:r w:rsidRPr="002228BA">
              <w:rPr>
                <w:rFonts w:cs="Times New Roman"/>
                <w:b/>
                <w:bCs/>
                <w:sz w:val="20"/>
                <w:szCs w:val="20"/>
              </w:rPr>
              <w:t>Uwagi ogólne</w:t>
            </w:r>
          </w:p>
        </w:tc>
        <w:tc>
          <w:tcPr>
            <w:tcW w:w="2131" w:type="dxa"/>
          </w:tcPr>
          <w:p w14:paraId="2C3E9B88" w14:textId="5ADCC96A" w:rsidR="00AD1F12" w:rsidRPr="002228BA" w:rsidRDefault="00AD1F12" w:rsidP="00F00F5B">
            <w:pPr>
              <w:pStyle w:val="Bezodstpw"/>
              <w:jc w:val="center"/>
              <w:rPr>
                <w:rFonts w:cs="Times New Roman"/>
                <w:b/>
                <w:bCs/>
                <w:sz w:val="20"/>
                <w:szCs w:val="20"/>
              </w:rPr>
            </w:pPr>
            <w:r w:rsidRPr="002228BA">
              <w:rPr>
                <w:rFonts w:cs="Times New Roman"/>
                <w:b/>
                <w:bCs/>
                <w:sz w:val="20"/>
                <w:szCs w:val="20"/>
              </w:rPr>
              <w:t>Prezes PGRP</w:t>
            </w:r>
          </w:p>
        </w:tc>
        <w:tc>
          <w:tcPr>
            <w:tcW w:w="4962" w:type="dxa"/>
          </w:tcPr>
          <w:p w14:paraId="3FA2AB84" w14:textId="0A8C41A3" w:rsidR="00AD1F12" w:rsidRPr="002228BA" w:rsidRDefault="00AD1F12" w:rsidP="00AD1F12">
            <w:pPr>
              <w:autoSpaceDE w:val="0"/>
              <w:autoSpaceDN w:val="0"/>
              <w:adjustRightInd w:val="0"/>
              <w:jc w:val="both"/>
              <w:rPr>
                <w:rFonts w:cs="Times New Roman"/>
                <w:sz w:val="20"/>
                <w:szCs w:val="20"/>
              </w:rPr>
            </w:pPr>
            <w:r w:rsidRPr="002228BA">
              <w:rPr>
                <w:rFonts w:cs="Times New Roman"/>
                <w:sz w:val="20"/>
                <w:szCs w:val="20"/>
              </w:rPr>
              <w:t>Postulowano doprecyzowanie przepisów w zakresie zarządzania kontem podmiotu niebędącego osobą fizyczną</w:t>
            </w:r>
            <w:r w:rsidR="00FC6858">
              <w:rPr>
                <w:rFonts w:cs="Times New Roman"/>
                <w:sz w:val="20"/>
                <w:szCs w:val="20"/>
              </w:rPr>
              <w:t>,</w:t>
            </w:r>
            <w:r w:rsidRPr="002228BA">
              <w:rPr>
                <w:rFonts w:cs="Times New Roman"/>
                <w:sz w:val="20"/>
                <w:szCs w:val="20"/>
              </w:rPr>
              <w:t xml:space="preserve"> co dotyczy m.in. konta Prokuratorii. Nie jest bowiem jasne, czy po wejściu w życie proj. rozporządzenia zostaną utrzymane w dalszym ciągu tzw. subkonta w ramach konta instytucjonalnego, umożliwiające obecnie radcom oraz referendarzom zatrudnionym w Prokuratorii dostęp do pism sądowych zamieszczanych w PI, a także odrębne subkonta dla osób uprawnionych do odbierania pisma ze skutkiem doręczenia. Proj. przepisy nie regulują, w jaki sposób będą funkcjonowały subkonta, w tym kto i w jakim trybie będzie je tworzył.</w:t>
            </w:r>
          </w:p>
          <w:p w14:paraId="78E17EA1" w14:textId="77777777" w:rsidR="00AD1F12" w:rsidRPr="002228BA" w:rsidRDefault="00AD1F12" w:rsidP="00AD1F12">
            <w:pPr>
              <w:pStyle w:val="Bezodstpw"/>
              <w:jc w:val="both"/>
              <w:rPr>
                <w:rFonts w:cs="Times New Roman"/>
                <w:sz w:val="20"/>
                <w:szCs w:val="20"/>
              </w:rPr>
            </w:pPr>
          </w:p>
        </w:tc>
        <w:tc>
          <w:tcPr>
            <w:tcW w:w="4816" w:type="dxa"/>
          </w:tcPr>
          <w:p w14:paraId="7DC3D89A" w14:textId="1F52A83B" w:rsidR="00AD1F12" w:rsidRPr="002228BA" w:rsidRDefault="00DC4C42" w:rsidP="00AB0FF4">
            <w:pPr>
              <w:pStyle w:val="Bezodstpw"/>
              <w:jc w:val="both"/>
              <w:rPr>
                <w:rFonts w:cs="Times New Roman"/>
                <w:b/>
                <w:bCs/>
                <w:sz w:val="20"/>
                <w:szCs w:val="20"/>
              </w:rPr>
            </w:pPr>
            <w:r w:rsidRPr="002228BA">
              <w:rPr>
                <w:rFonts w:cs="Times New Roman"/>
                <w:b/>
                <w:bCs/>
                <w:sz w:val="20"/>
                <w:szCs w:val="20"/>
              </w:rPr>
              <w:t xml:space="preserve">Uwaga uwzględniona. </w:t>
            </w:r>
          </w:p>
        </w:tc>
      </w:tr>
      <w:tr w:rsidR="002228BA" w:rsidRPr="002228BA" w14:paraId="47991935" w14:textId="77777777" w:rsidTr="00F0600D">
        <w:trPr>
          <w:trHeight w:val="1098"/>
        </w:trPr>
        <w:tc>
          <w:tcPr>
            <w:tcW w:w="834" w:type="dxa"/>
          </w:tcPr>
          <w:p w14:paraId="3EF82A35" w14:textId="231EC68D" w:rsidR="00AD1F12" w:rsidRPr="002228BA" w:rsidRDefault="00950A57" w:rsidP="008138E3">
            <w:pPr>
              <w:pStyle w:val="Bezodstpw"/>
              <w:jc w:val="center"/>
              <w:rPr>
                <w:rFonts w:cs="Times New Roman"/>
                <w:sz w:val="20"/>
                <w:szCs w:val="20"/>
              </w:rPr>
            </w:pPr>
            <w:r w:rsidRPr="002228BA">
              <w:rPr>
                <w:rFonts w:cs="Times New Roman"/>
                <w:sz w:val="20"/>
                <w:szCs w:val="20"/>
              </w:rPr>
              <w:t>3</w:t>
            </w:r>
          </w:p>
        </w:tc>
        <w:tc>
          <w:tcPr>
            <w:tcW w:w="1566" w:type="dxa"/>
          </w:tcPr>
          <w:p w14:paraId="51780FB7" w14:textId="53F91787" w:rsidR="00AD1F12" w:rsidRPr="002228BA" w:rsidRDefault="00AD1F12" w:rsidP="00F00F5B">
            <w:pPr>
              <w:pStyle w:val="Bezodstpw"/>
              <w:jc w:val="center"/>
              <w:rPr>
                <w:rFonts w:cs="Times New Roman"/>
                <w:b/>
                <w:bCs/>
                <w:sz w:val="20"/>
                <w:szCs w:val="20"/>
                <w:highlight w:val="green"/>
              </w:rPr>
            </w:pPr>
            <w:r w:rsidRPr="002228BA">
              <w:rPr>
                <w:rFonts w:cs="Times New Roman"/>
                <w:b/>
                <w:bCs/>
                <w:sz w:val="20"/>
                <w:szCs w:val="20"/>
              </w:rPr>
              <w:t>Uwagi ogólne</w:t>
            </w:r>
          </w:p>
        </w:tc>
        <w:tc>
          <w:tcPr>
            <w:tcW w:w="2131" w:type="dxa"/>
          </w:tcPr>
          <w:p w14:paraId="05FFBEDE" w14:textId="023B3019" w:rsidR="00AD1F12" w:rsidRPr="002228BA" w:rsidRDefault="00AD1F12" w:rsidP="00F00F5B">
            <w:pPr>
              <w:pStyle w:val="Bezodstpw"/>
              <w:jc w:val="center"/>
              <w:rPr>
                <w:rFonts w:cs="Times New Roman"/>
                <w:b/>
                <w:bCs/>
                <w:sz w:val="20"/>
                <w:szCs w:val="20"/>
              </w:rPr>
            </w:pPr>
            <w:r w:rsidRPr="002228BA">
              <w:rPr>
                <w:rFonts w:cs="Times New Roman"/>
                <w:b/>
                <w:bCs/>
                <w:sz w:val="20"/>
                <w:szCs w:val="20"/>
              </w:rPr>
              <w:t>Prokurator Krajowy</w:t>
            </w:r>
          </w:p>
        </w:tc>
        <w:tc>
          <w:tcPr>
            <w:tcW w:w="4962" w:type="dxa"/>
          </w:tcPr>
          <w:p w14:paraId="697DE33C" w14:textId="77777777" w:rsidR="00AD1F12" w:rsidRPr="002228BA" w:rsidRDefault="00AD1F12" w:rsidP="00AD1F12">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 xml:space="preserve">Zarówno w przepisach proj. rozporządzenia, jak i przepisach p.u.s.p. oraz </w:t>
            </w:r>
            <w:r w:rsidRPr="002228BA">
              <w:rPr>
                <w:rFonts w:eastAsiaTheme="minorEastAsia" w:cs="Times New Roman"/>
                <w:i/>
                <w:iCs/>
                <w:sz w:val="20"/>
                <w:szCs w:val="20"/>
                <w:lang w:eastAsia="pl-PL"/>
              </w:rPr>
              <w:t xml:space="preserve">proj. rozporządzenia MS w sprawie szczegółowego trybu i sposobu  doręczania pism sądowych za pośrednictwem portalu informacyjnego (A516) </w:t>
            </w:r>
            <w:r w:rsidRPr="002228BA">
              <w:rPr>
                <w:rFonts w:eastAsiaTheme="minorEastAsia" w:cs="Times New Roman"/>
                <w:sz w:val="20"/>
                <w:szCs w:val="20"/>
                <w:lang w:eastAsia="pl-PL"/>
              </w:rPr>
              <w:t xml:space="preserve">brak definicji </w:t>
            </w:r>
            <w:r w:rsidRPr="002228BA">
              <w:rPr>
                <w:rFonts w:eastAsiaTheme="minorEastAsia" w:cs="Times New Roman"/>
                <w:i/>
                <w:iCs/>
                <w:sz w:val="20"/>
                <w:szCs w:val="20"/>
                <w:lang w:eastAsia="pl-PL"/>
              </w:rPr>
              <w:t xml:space="preserve">„portalu informacyjnego sądu". </w:t>
            </w:r>
            <w:r w:rsidRPr="002228BA">
              <w:rPr>
                <w:rFonts w:eastAsiaTheme="minorEastAsia" w:cs="Times New Roman"/>
                <w:sz w:val="20"/>
                <w:szCs w:val="20"/>
                <w:lang w:eastAsia="pl-PL"/>
              </w:rPr>
              <w:t xml:space="preserve">O ile jednak pewne elementy definicji można odnaleźć w art. 53e § 1 i </w:t>
            </w:r>
            <w:r w:rsidRPr="002228BA">
              <w:rPr>
                <w:rFonts w:eastAsiaTheme="minorEastAsia" w:cs="Times New Roman"/>
                <w:sz w:val="20"/>
                <w:szCs w:val="20"/>
                <w:lang w:eastAsia="pl-PL"/>
              </w:rPr>
              <w:lastRenderedPageBreak/>
              <w:t xml:space="preserve">art. 175da § 2 p.u.s.p., </w:t>
            </w:r>
            <w:r w:rsidRPr="002228BA">
              <w:rPr>
                <w:rFonts w:eastAsiaTheme="minorEastAsia" w:cs="Times New Roman"/>
                <w:sz w:val="20"/>
                <w:szCs w:val="20"/>
                <w:u w:val="single"/>
                <w:lang w:eastAsia="pl-PL"/>
              </w:rPr>
              <w:t>o tyle proj. rozporządzenie nie zawiera w ogóle unormowań dotyczących funkcjonowania PI.</w:t>
            </w:r>
            <w:r w:rsidRPr="002228BA">
              <w:rPr>
                <w:rFonts w:eastAsiaTheme="minorEastAsia" w:cs="Times New Roman"/>
                <w:sz w:val="20"/>
                <w:szCs w:val="20"/>
                <w:lang w:eastAsia="pl-PL"/>
              </w:rPr>
              <w:t xml:space="preserve"> Wskazówkę w tym zakresie stanowić może wyłącznie zawarta w uzasadnieniu proj. deklaracja proj., iż dla potrzeb zinformatyzowania doręczeń dokonywanych przez sądy, wykorzystywany będzie jeden system teleinformatyczny, umożliwiający dokonywanie doręczeń pism sądowych. Powyższe powinno jednak znaleźć swoje odzwierciedlenie nie w treści uzasadnienia, a w części normatywnej dotyczącej warunków technicznych funkcjonowania PI. </w:t>
            </w:r>
          </w:p>
          <w:p w14:paraId="3F4A06E4" w14:textId="77777777" w:rsidR="00AD1F12" w:rsidRPr="002228BA" w:rsidRDefault="00AD1F12" w:rsidP="00AD1F12">
            <w:pPr>
              <w:pStyle w:val="Bezodstpw"/>
              <w:jc w:val="both"/>
              <w:rPr>
                <w:rFonts w:cs="Times New Roman"/>
                <w:sz w:val="20"/>
                <w:szCs w:val="20"/>
              </w:rPr>
            </w:pPr>
          </w:p>
        </w:tc>
        <w:tc>
          <w:tcPr>
            <w:tcW w:w="4816" w:type="dxa"/>
          </w:tcPr>
          <w:p w14:paraId="15F7342B" w14:textId="5DD609F7" w:rsidR="00AD1F12" w:rsidRPr="002228BA" w:rsidRDefault="00100041" w:rsidP="00AB0FF4">
            <w:pPr>
              <w:pStyle w:val="Bezodstpw"/>
              <w:jc w:val="both"/>
              <w:rPr>
                <w:rFonts w:cs="Times New Roman"/>
                <w:b/>
                <w:bCs/>
                <w:sz w:val="20"/>
                <w:szCs w:val="20"/>
              </w:rPr>
            </w:pPr>
            <w:r w:rsidRPr="002228BA">
              <w:rPr>
                <w:rFonts w:cs="Times New Roman"/>
                <w:b/>
                <w:bCs/>
                <w:sz w:val="20"/>
                <w:szCs w:val="20"/>
              </w:rPr>
              <w:lastRenderedPageBreak/>
              <w:t xml:space="preserve">Uwaga uwzględniona. </w:t>
            </w:r>
          </w:p>
        </w:tc>
      </w:tr>
      <w:tr w:rsidR="002228BA" w:rsidRPr="002228BA" w14:paraId="23BD9AFA" w14:textId="77777777" w:rsidTr="00F0600D">
        <w:trPr>
          <w:trHeight w:val="1098"/>
        </w:trPr>
        <w:tc>
          <w:tcPr>
            <w:tcW w:w="834" w:type="dxa"/>
          </w:tcPr>
          <w:p w14:paraId="46604352" w14:textId="6EB3E41D" w:rsidR="00AD1F12" w:rsidRPr="002228BA" w:rsidRDefault="00950A57" w:rsidP="009E22C2">
            <w:pPr>
              <w:pStyle w:val="Bezodstpw"/>
              <w:jc w:val="center"/>
              <w:rPr>
                <w:rFonts w:cs="Times New Roman"/>
                <w:sz w:val="20"/>
                <w:szCs w:val="20"/>
              </w:rPr>
            </w:pPr>
            <w:r w:rsidRPr="002228BA">
              <w:rPr>
                <w:rFonts w:cs="Times New Roman"/>
                <w:sz w:val="20"/>
                <w:szCs w:val="20"/>
              </w:rPr>
              <w:t>4</w:t>
            </w:r>
          </w:p>
        </w:tc>
        <w:tc>
          <w:tcPr>
            <w:tcW w:w="1566" w:type="dxa"/>
          </w:tcPr>
          <w:p w14:paraId="7603850A" w14:textId="19FEF213" w:rsidR="00AD1F12" w:rsidRPr="002228BA" w:rsidRDefault="00AD1F12" w:rsidP="00F00F5B">
            <w:pPr>
              <w:pStyle w:val="Bezodstpw"/>
              <w:jc w:val="center"/>
              <w:rPr>
                <w:rFonts w:cs="Times New Roman"/>
                <w:b/>
                <w:bCs/>
                <w:sz w:val="20"/>
                <w:szCs w:val="20"/>
              </w:rPr>
            </w:pPr>
            <w:r w:rsidRPr="002228BA">
              <w:rPr>
                <w:rFonts w:cs="Times New Roman"/>
                <w:b/>
                <w:bCs/>
                <w:sz w:val="20"/>
                <w:szCs w:val="20"/>
              </w:rPr>
              <w:t>Uwagi ogólne</w:t>
            </w:r>
          </w:p>
        </w:tc>
        <w:tc>
          <w:tcPr>
            <w:tcW w:w="2131" w:type="dxa"/>
          </w:tcPr>
          <w:p w14:paraId="0013D230" w14:textId="541FF8F2" w:rsidR="00AD1F12" w:rsidRPr="002228BA" w:rsidRDefault="00AD1F12" w:rsidP="00F00F5B">
            <w:pPr>
              <w:pStyle w:val="Bezodstpw"/>
              <w:jc w:val="center"/>
              <w:rPr>
                <w:rFonts w:cs="Times New Roman"/>
                <w:b/>
                <w:bCs/>
                <w:sz w:val="20"/>
                <w:szCs w:val="20"/>
              </w:rPr>
            </w:pPr>
            <w:r w:rsidRPr="002228BA">
              <w:rPr>
                <w:rFonts w:cs="Times New Roman"/>
                <w:b/>
                <w:bCs/>
                <w:sz w:val="20"/>
                <w:szCs w:val="20"/>
              </w:rPr>
              <w:t xml:space="preserve">Prokurator Krajowy </w:t>
            </w:r>
          </w:p>
        </w:tc>
        <w:tc>
          <w:tcPr>
            <w:tcW w:w="4962" w:type="dxa"/>
          </w:tcPr>
          <w:p w14:paraId="71AC28DA" w14:textId="77777777" w:rsidR="00AD1F12" w:rsidRPr="002228BA" w:rsidRDefault="00AD1F12" w:rsidP="00AD1F12">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 xml:space="preserve">Zakładając jedyne akceptowalne dla prokuratury rozwiązanie w postaci tworzenia kont dla powszechnych jednostek organizacyjnych, na które kierowane będą pisma ze skutkami doręczeń przewidzianymi w k.p.c. oraz k.p.k., </w:t>
            </w:r>
            <w:r w:rsidRPr="002228BA">
              <w:rPr>
                <w:rFonts w:eastAsiaTheme="minorEastAsia" w:cs="Times New Roman"/>
                <w:b/>
                <w:bCs/>
                <w:sz w:val="20"/>
                <w:szCs w:val="20"/>
                <w:lang w:eastAsia="pl-PL"/>
              </w:rPr>
              <w:t>w części rozporządzenia określającej sposób korzystania z kont w systemie teleinformatycznym</w:t>
            </w:r>
            <w:r w:rsidRPr="002228BA">
              <w:rPr>
                <w:rFonts w:eastAsiaTheme="minorEastAsia" w:cs="Times New Roman"/>
                <w:sz w:val="20"/>
                <w:szCs w:val="20"/>
                <w:lang w:eastAsia="pl-PL"/>
              </w:rPr>
              <w:t xml:space="preserve"> winien zostać uwzględniony zapis wskazujący, że powyższy skutek wywoływać będzie skierowanie przez sąd pisma wyłącznie na konto instytucjonalne powszechnej jednostki organizacyjnej prokuratury. Proj. powinien również regulować kwestię, czy prokurator posiadający imienne konto na PI będzie poprzez PI powiadamiany o odebraniu pisma przez jednostkę prokuratury na koncie instytucjonalnym i czy będzie miał i od kiedy dostęp do pisma po zalogowaniu się na konto imienne w PI.</w:t>
            </w:r>
          </w:p>
          <w:p w14:paraId="1373312A" w14:textId="77777777" w:rsidR="00AD1F12" w:rsidRPr="002228BA" w:rsidRDefault="00AD1F12" w:rsidP="00AD1F12">
            <w:pPr>
              <w:pStyle w:val="Bezodstpw"/>
              <w:jc w:val="both"/>
              <w:rPr>
                <w:rFonts w:eastAsiaTheme="minorEastAsia" w:cs="Times New Roman"/>
                <w:sz w:val="20"/>
                <w:szCs w:val="20"/>
                <w:lang w:eastAsia="pl-PL"/>
              </w:rPr>
            </w:pPr>
          </w:p>
        </w:tc>
        <w:tc>
          <w:tcPr>
            <w:tcW w:w="4816" w:type="dxa"/>
          </w:tcPr>
          <w:p w14:paraId="4531D4CD" w14:textId="67AABA37" w:rsidR="00AD1F12" w:rsidRPr="002228BA" w:rsidRDefault="0001309F" w:rsidP="00AB0FF4">
            <w:pPr>
              <w:pStyle w:val="Bezodstpw"/>
              <w:jc w:val="both"/>
              <w:rPr>
                <w:rFonts w:cs="Times New Roman"/>
                <w:sz w:val="20"/>
                <w:szCs w:val="20"/>
              </w:rPr>
            </w:pPr>
            <w:r w:rsidRPr="002228BA">
              <w:rPr>
                <w:rFonts w:cs="Times New Roman"/>
                <w:b/>
                <w:bCs/>
                <w:sz w:val="20"/>
                <w:szCs w:val="20"/>
              </w:rPr>
              <w:t>Do omówienia Podobnie jak subkonta w PGRP</w:t>
            </w:r>
          </w:p>
        </w:tc>
      </w:tr>
      <w:tr w:rsidR="002228BA" w:rsidRPr="002228BA" w14:paraId="1D63FD31" w14:textId="77777777" w:rsidTr="00F0600D">
        <w:trPr>
          <w:trHeight w:val="1098"/>
        </w:trPr>
        <w:tc>
          <w:tcPr>
            <w:tcW w:w="834" w:type="dxa"/>
          </w:tcPr>
          <w:p w14:paraId="71FBDC9B" w14:textId="06432506" w:rsidR="00AD1F12" w:rsidRPr="002228BA" w:rsidRDefault="00950A57" w:rsidP="009E22C2">
            <w:pPr>
              <w:pStyle w:val="Bezodstpw"/>
              <w:jc w:val="center"/>
              <w:rPr>
                <w:rFonts w:cs="Times New Roman"/>
                <w:sz w:val="20"/>
                <w:szCs w:val="20"/>
              </w:rPr>
            </w:pPr>
            <w:bookmarkStart w:id="0" w:name="_Hlk158031844"/>
            <w:r w:rsidRPr="002228BA">
              <w:rPr>
                <w:rFonts w:cs="Times New Roman"/>
                <w:sz w:val="20"/>
                <w:szCs w:val="20"/>
              </w:rPr>
              <w:t>5</w:t>
            </w:r>
          </w:p>
        </w:tc>
        <w:tc>
          <w:tcPr>
            <w:tcW w:w="1566" w:type="dxa"/>
          </w:tcPr>
          <w:p w14:paraId="664B1C05" w14:textId="12FDAE94" w:rsidR="00AD1F12" w:rsidRPr="002228BA" w:rsidRDefault="00AD1F12" w:rsidP="00F00F5B">
            <w:pPr>
              <w:pStyle w:val="Bezodstpw"/>
              <w:jc w:val="center"/>
              <w:rPr>
                <w:rFonts w:cs="Times New Roman"/>
                <w:b/>
                <w:bCs/>
                <w:sz w:val="20"/>
                <w:szCs w:val="20"/>
              </w:rPr>
            </w:pPr>
            <w:r w:rsidRPr="002228BA">
              <w:rPr>
                <w:rFonts w:cs="Times New Roman"/>
                <w:b/>
                <w:bCs/>
                <w:sz w:val="20"/>
                <w:szCs w:val="20"/>
              </w:rPr>
              <w:t>Uwagi ogólne</w:t>
            </w:r>
          </w:p>
        </w:tc>
        <w:tc>
          <w:tcPr>
            <w:tcW w:w="2131" w:type="dxa"/>
          </w:tcPr>
          <w:p w14:paraId="6A7ED371" w14:textId="397182B0" w:rsidR="00AD1F12" w:rsidRPr="002228BA" w:rsidRDefault="00AD1F12" w:rsidP="00F00F5B">
            <w:pPr>
              <w:pStyle w:val="Bezodstpw"/>
              <w:jc w:val="center"/>
              <w:rPr>
                <w:rFonts w:cs="Times New Roman"/>
                <w:b/>
                <w:bCs/>
                <w:sz w:val="20"/>
                <w:szCs w:val="20"/>
              </w:rPr>
            </w:pPr>
            <w:r w:rsidRPr="002228BA">
              <w:rPr>
                <w:rFonts w:cs="Times New Roman"/>
                <w:b/>
                <w:bCs/>
                <w:sz w:val="20"/>
                <w:szCs w:val="20"/>
              </w:rPr>
              <w:t xml:space="preserve">Prokurator Krajowy </w:t>
            </w:r>
          </w:p>
        </w:tc>
        <w:tc>
          <w:tcPr>
            <w:tcW w:w="4962" w:type="dxa"/>
          </w:tcPr>
          <w:p w14:paraId="73AEC30A" w14:textId="77777777" w:rsidR="00AD1F12" w:rsidRPr="002228BA" w:rsidRDefault="00AD1F12" w:rsidP="00AD1F12">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 xml:space="preserve">Niezależnie od kont instytucjonalnych dla powszechnych jednostek organizacyjnych prokuratury, z którymi wiązać się będą skutki doręczeń, proj. rozporządzenie powinno zapewniać możliwość założenia kont dla prokuratorów o funkcjonalności nieposiadającej opcji skutecznego </w:t>
            </w:r>
            <w:r w:rsidRPr="002228BA">
              <w:rPr>
                <w:rFonts w:eastAsiaTheme="minorEastAsia" w:cs="Times New Roman"/>
                <w:sz w:val="20"/>
                <w:szCs w:val="20"/>
                <w:lang w:eastAsia="pl-PL"/>
              </w:rPr>
              <w:lastRenderedPageBreak/>
              <w:t>doręczenia pisma sądowego, tzn. takiego doręczenia, które wywoływałoby skutek prawny związany z doręczeniem tego pisma lub z zapoznaniem się z jego treścią. Dopiero bowiem wprowadzenie wskazanego podziału kont użytkowników portalu zapewni oczekiwany skutek w postaci doręczenia pisma sądowego z wykorzystaniem portalu z jednoczesnym zachowaniem możliwości korzystania przez prokuratora referenta sprawy lub prokuratora sesyjnego z pozostałych treści udostępnianych w PI (np. protokół rozprawy wywołującego skutek prawny po upływie 14 dni od wysłania go na konto imienne prokuratora, pomimo jego nieodczytania przez użytkownika tego konta np. z uwagi na długotrwałą nieobecność w pracy z powodu choroby).</w:t>
            </w:r>
          </w:p>
          <w:p w14:paraId="1E8277E9" w14:textId="77777777" w:rsidR="00AD1F12" w:rsidRPr="002228BA" w:rsidRDefault="00AD1F12" w:rsidP="00AD1F12">
            <w:pPr>
              <w:pStyle w:val="Bezodstpw"/>
              <w:jc w:val="both"/>
              <w:rPr>
                <w:rFonts w:eastAsiaTheme="minorEastAsia" w:cs="Times New Roman"/>
                <w:sz w:val="20"/>
                <w:szCs w:val="20"/>
                <w:lang w:eastAsia="pl-PL"/>
              </w:rPr>
            </w:pPr>
          </w:p>
        </w:tc>
        <w:tc>
          <w:tcPr>
            <w:tcW w:w="4816" w:type="dxa"/>
          </w:tcPr>
          <w:p w14:paraId="10FADF28" w14:textId="77777777" w:rsidR="00AD1F12" w:rsidRPr="002228BA" w:rsidRDefault="00100041" w:rsidP="00AB0FF4">
            <w:pPr>
              <w:pStyle w:val="Bezodstpw"/>
              <w:jc w:val="both"/>
              <w:rPr>
                <w:rFonts w:cs="Times New Roman"/>
                <w:b/>
                <w:bCs/>
                <w:sz w:val="20"/>
                <w:szCs w:val="20"/>
              </w:rPr>
            </w:pPr>
            <w:r w:rsidRPr="002228BA">
              <w:rPr>
                <w:rFonts w:cs="Times New Roman"/>
                <w:b/>
                <w:bCs/>
                <w:sz w:val="20"/>
                <w:szCs w:val="20"/>
              </w:rPr>
              <w:lastRenderedPageBreak/>
              <w:t xml:space="preserve">Uwaga wyjaśniona. </w:t>
            </w:r>
          </w:p>
          <w:p w14:paraId="0E3EE1AA" w14:textId="6064B1D0" w:rsidR="00100041" w:rsidRPr="002228BA" w:rsidRDefault="00100041" w:rsidP="00AB0FF4">
            <w:pPr>
              <w:pStyle w:val="Bezodstpw"/>
              <w:jc w:val="both"/>
              <w:rPr>
                <w:rFonts w:cs="Times New Roman"/>
                <w:sz w:val="20"/>
                <w:szCs w:val="20"/>
              </w:rPr>
            </w:pPr>
            <w:r w:rsidRPr="002228BA">
              <w:rPr>
                <w:rFonts w:cs="Times New Roman"/>
                <w:sz w:val="20"/>
                <w:szCs w:val="20"/>
              </w:rPr>
              <w:t>Dla jednostek organizacyjnych prokuratury będzie zakładane konto instytucjonalne, zaś dla konkretnego prokuratora z danej jednostki organizacyjnej – konto zależne. Za zakładanie</w:t>
            </w:r>
            <w:r w:rsidR="00C93F49" w:rsidRPr="002228BA">
              <w:rPr>
                <w:rFonts w:cs="Times New Roman"/>
                <w:sz w:val="20"/>
                <w:szCs w:val="20"/>
              </w:rPr>
              <w:t xml:space="preserve">, zarządzanie kontami zależnymi </w:t>
            </w:r>
            <w:r w:rsidR="00C93F49" w:rsidRPr="002228BA">
              <w:rPr>
                <w:rFonts w:cs="Times New Roman"/>
                <w:sz w:val="20"/>
                <w:szCs w:val="20"/>
              </w:rPr>
              <w:lastRenderedPageBreak/>
              <w:t xml:space="preserve">konta instytucjonalnego oraz uprawnieniami użytkowników tych kont będzie odpowiadał administrator konta instytucjonalnego, wyznaczony przez użytkownika konta instytucjonalnego. </w:t>
            </w:r>
          </w:p>
        </w:tc>
      </w:tr>
      <w:bookmarkEnd w:id="0"/>
      <w:tr w:rsidR="002228BA" w:rsidRPr="002228BA" w14:paraId="0C877B44" w14:textId="77777777" w:rsidTr="00F0600D">
        <w:trPr>
          <w:trHeight w:val="1098"/>
        </w:trPr>
        <w:tc>
          <w:tcPr>
            <w:tcW w:w="834" w:type="dxa"/>
          </w:tcPr>
          <w:p w14:paraId="1F1778E2" w14:textId="58F00DA7" w:rsidR="00AD1F12" w:rsidRPr="002228BA" w:rsidRDefault="00950A57" w:rsidP="009E22C2">
            <w:pPr>
              <w:pStyle w:val="Bezodstpw"/>
              <w:jc w:val="center"/>
              <w:rPr>
                <w:rFonts w:cs="Times New Roman"/>
                <w:sz w:val="20"/>
                <w:szCs w:val="20"/>
              </w:rPr>
            </w:pPr>
            <w:r w:rsidRPr="002228BA">
              <w:rPr>
                <w:rFonts w:cs="Times New Roman"/>
                <w:sz w:val="20"/>
                <w:szCs w:val="20"/>
              </w:rPr>
              <w:lastRenderedPageBreak/>
              <w:t>6</w:t>
            </w:r>
          </w:p>
        </w:tc>
        <w:tc>
          <w:tcPr>
            <w:tcW w:w="1566" w:type="dxa"/>
          </w:tcPr>
          <w:p w14:paraId="628529BA" w14:textId="291F1EA9" w:rsidR="00AD1F12" w:rsidRPr="002228BA" w:rsidRDefault="00AD1F12" w:rsidP="00F00F5B">
            <w:pPr>
              <w:pStyle w:val="Bezodstpw"/>
              <w:jc w:val="center"/>
              <w:rPr>
                <w:rFonts w:cs="Times New Roman"/>
                <w:b/>
                <w:bCs/>
                <w:sz w:val="20"/>
                <w:szCs w:val="20"/>
              </w:rPr>
            </w:pPr>
            <w:r w:rsidRPr="002228BA">
              <w:rPr>
                <w:rFonts w:cs="Times New Roman"/>
                <w:b/>
                <w:bCs/>
                <w:sz w:val="20"/>
                <w:szCs w:val="20"/>
              </w:rPr>
              <w:t>Uwagi ogólne</w:t>
            </w:r>
          </w:p>
        </w:tc>
        <w:tc>
          <w:tcPr>
            <w:tcW w:w="2131" w:type="dxa"/>
          </w:tcPr>
          <w:p w14:paraId="299EA42E" w14:textId="1A31EE05" w:rsidR="00AD1F12" w:rsidRPr="002228BA" w:rsidRDefault="00AD1F12" w:rsidP="00F00F5B">
            <w:pPr>
              <w:pStyle w:val="Bezodstpw"/>
              <w:jc w:val="center"/>
              <w:rPr>
                <w:rFonts w:cs="Times New Roman"/>
                <w:b/>
                <w:bCs/>
                <w:sz w:val="20"/>
                <w:szCs w:val="20"/>
              </w:rPr>
            </w:pPr>
            <w:r w:rsidRPr="002228BA">
              <w:rPr>
                <w:rFonts w:cs="Times New Roman"/>
                <w:b/>
                <w:bCs/>
                <w:sz w:val="20"/>
                <w:szCs w:val="20"/>
              </w:rPr>
              <w:t xml:space="preserve">Prokurator Krajowy </w:t>
            </w:r>
          </w:p>
        </w:tc>
        <w:tc>
          <w:tcPr>
            <w:tcW w:w="4962" w:type="dxa"/>
          </w:tcPr>
          <w:p w14:paraId="12E55EEC" w14:textId="77777777" w:rsidR="00AD1F12" w:rsidRPr="002228BA" w:rsidRDefault="00AD1F12" w:rsidP="00AD1F12">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 xml:space="preserve">Pomimo del. ustawowej dla ustalenia warunków technicznych korzystania z PI i jego funkcjonowania, proj.  nie zawiera regulacji odnoszących się do istotnych z punktu widzenia użytkownika PI informacji o formatach plików, w jakich będą na PI zamieszczane w portalu, które w przypadku licznie wpływającej z sądów do prokuratury korespondencji pozwoliłyby na ułatwienie identyfikacji pobieranych i otwieranych plików. </w:t>
            </w:r>
          </w:p>
          <w:p w14:paraId="0477412E" w14:textId="77777777" w:rsidR="00AD1F12" w:rsidRPr="002228BA" w:rsidRDefault="00AD1F12" w:rsidP="00AD1F12">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Proj. nie odnosi się również do zagadnień bezpieczeństwa korzystania z PI oraz pomija kwestie związane z dalszym działaniem dotychczasowych kont założonych administratorom poszczególnych jednostek organizacyjnych prokuratury na PI, którzy w oparciu o nadane uprawnienia zakładali konta imienne prokuratorom.</w:t>
            </w:r>
          </w:p>
          <w:p w14:paraId="460D49DC" w14:textId="77777777" w:rsidR="00AD1F12" w:rsidRPr="002228BA" w:rsidRDefault="00AD1F12" w:rsidP="00AD1F12">
            <w:pPr>
              <w:pStyle w:val="Bezodstpw"/>
              <w:jc w:val="both"/>
              <w:rPr>
                <w:rFonts w:eastAsiaTheme="minorEastAsia" w:cs="Times New Roman"/>
                <w:sz w:val="20"/>
                <w:szCs w:val="20"/>
                <w:lang w:eastAsia="pl-PL"/>
              </w:rPr>
            </w:pPr>
          </w:p>
        </w:tc>
        <w:tc>
          <w:tcPr>
            <w:tcW w:w="4816" w:type="dxa"/>
          </w:tcPr>
          <w:p w14:paraId="06D74BE6" w14:textId="6505F9C3" w:rsidR="00AD1F12" w:rsidRPr="002228BA" w:rsidRDefault="00100041" w:rsidP="00AB0FF4">
            <w:pPr>
              <w:pStyle w:val="Bezodstpw"/>
              <w:jc w:val="both"/>
              <w:rPr>
                <w:rFonts w:cs="Times New Roman"/>
                <w:b/>
                <w:bCs/>
                <w:sz w:val="20"/>
                <w:szCs w:val="20"/>
              </w:rPr>
            </w:pPr>
            <w:r w:rsidRPr="002228BA">
              <w:rPr>
                <w:rFonts w:cs="Times New Roman"/>
                <w:b/>
                <w:bCs/>
                <w:sz w:val="20"/>
                <w:szCs w:val="20"/>
              </w:rPr>
              <w:t xml:space="preserve">Uwaga uwzględniona. </w:t>
            </w:r>
          </w:p>
        </w:tc>
      </w:tr>
      <w:tr w:rsidR="002228BA" w:rsidRPr="002228BA" w14:paraId="42519137" w14:textId="77777777" w:rsidTr="00F0600D">
        <w:trPr>
          <w:trHeight w:val="1098"/>
        </w:trPr>
        <w:tc>
          <w:tcPr>
            <w:tcW w:w="834" w:type="dxa"/>
          </w:tcPr>
          <w:p w14:paraId="528C5A55" w14:textId="0C489B89" w:rsidR="00AD1F12" w:rsidRPr="002228BA" w:rsidRDefault="00950A57" w:rsidP="009E22C2">
            <w:pPr>
              <w:pStyle w:val="Bezodstpw"/>
              <w:jc w:val="center"/>
              <w:rPr>
                <w:rFonts w:cs="Times New Roman"/>
                <w:sz w:val="20"/>
                <w:szCs w:val="20"/>
              </w:rPr>
            </w:pPr>
            <w:r w:rsidRPr="002228BA">
              <w:rPr>
                <w:rFonts w:cs="Times New Roman"/>
                <w:sz w:val="20"/>
                <w:szCs w:val="20"/>
              </w:rPr>
              <w:lastRenderedPageBreak/>
              <w:t>7</w:t>
            </w:r>
          </w:p>
        </w:tc>
        <w:tc>
          <w:tcPr>
            <w:tcW w:w="1566" w:type="dxa"/>
          </w:tcPr>
          <w:p w14:paraId="6D7254C7" w14:textId="29E80A65" w:rsidR="00AD1F12" w:rsidRPr="002228BA" w:rsidRDefault="00AD1F12" w:rsidP="00F00F5B">
            <w:pPr>
              <w:pStyle w:val="Bezodstpw"/>
              <w:jc w:val="center"/>
              <w:rPr>
                <w:rFonts w:cs="Times New Roman"/>
                <w:b/>
                <w:bCs/>
                <w:sz w:val="20"/>
                <w:szCs w:val="20"/>
              </w:rPr>
            </w:pPr>
            <w:r w:rsidRPr="002228BA">
              <w:rPr>
                <w:rFonts w:cs="Times New Roman"/>
                <w:b/>
                <w:bCs/>
                <w:sz w:val="20"/>
                <w:szCs w:val="20"/>
              </w:rPr>
              <w:t>Uwagi ogólne</w:t>
            </w:r>
          </w:p>
        </w:tc>
        <w:tc>
          <w:tcPr>
            <w:tcW w:w="2131" w:type="dxa"/>
          </w:tcPr>
          <w:p w14:paraId="562B57B1" w14:textId="57FE6491" w:rsidR="00AD1F12" w:rsidRPr="002228BA" w:rsidRDefault="00AD1F12"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77F8E314" w14:textId="77777777" w:rsidR="00AD1F12" w:rsidRPr="002228BA" w:rsidRDefault="00AD1F12" w:rsidP="00AD1F12">
            <w:pPr>
              <w:pStyle w:val="Bezodstpw"/>
              <w:jc w:val="both"/>
              <w:rPr>
                <w:rStyle w:val="FontStyle12"/>
                <w:sz w:val="20"/>
                <w:szCs w:val="20"/>
              </w:rPr>
            </w:pPr>
            <w:r w:rsidRPr="002228BA">
              <w:rPr>
                <w:rStyle w:val="FontStyle12"/>
                <w:sz w:val="20"/>
                <w:szCs w:val="20"/>
              </w:rPr>
              <w:t>Założenia na jakich zbudowano proj. rozporządzenie jest wadliwe i w żaden sposób nie oddaje funkcjonalności PI, bowiem jego zakres ograniczył się jedynie do zasad tworzenia kont dla adresatów doręczeń elektronicznej i do jednej usługi elektronicznej (doręczenie elektroniczne). PI, oprócz obsługi doręczeń elektronicznych realizuje również inne usługi elektroniczne, a także spełnia funkcję sądowego systemu teleinformatycznego zapewniającego uprawnionym lub upoważnionym na mocy przepisów szczególnych podmiotom dostęp do informacji o sprawie. W związku z tym, w PI konta posiadają również podmioty niebędące adresatami doręczeń elektronicznych, a taki kształt rozporządzenia wiązałby się z usunięciem kilkudziesięciu tysięcy kont obecnych użytkowników, a także wyłączeniem obecnie funkcjonujących rozwiązań.</w:t>
            </w:r>
          </w:p>
          <w:p w14:paraId="57D015D0" w14:textId="77777777" w:rsidR="00AD1F12" w:rsidRPr="002228BA" w:rsidRDefault="00AD1F12" w:rsidP="00AD1F12">
            <w:pPr>
              <w:pStyle w:val="Bezodstpw"/>
              <w:jc w:val="both"/>
              <w:rPr>
                <w:rFonts w:eastAsiaTheme="minorEastAsia" w:cs="Times New Roman"/>
                <w:sz w:val="20"/>
                <w:szCs w:val="20"/>
                <w:lang w:eastAsia="pl-PL"/>
              </w:rPr>
            </w:pPr>
          </w:p>
        </w:tc>
        <w:tc>
          <w:tcPr>
            <w:tcW w:w="4816" w:type="dxa"/>
          </w:tcPr>
          <w:p w14:paraId="64E1B7B5" w14:textId="110226DE" w:rsidR="0001309F" w:rsidRPr="002228BA" w:rsidRDefault="00182B67" w:rsidP="00182B67">
            <w:pPr>
              <w:pStyle w:val="Bezodstpw"/>
              <w:jc w:val="both"/>
              <w:rPr>
                <w:rFonts w:cs="Times New Roman"/>
                <w:sz w:val="20"/>
                <w:szCs w:val="20"/>
              </w:rPr>
            </w:pPr>
            <w:r w:rsidRPr="002228BA">
              <w:rPr>
                <w:rFonts w:cs="Times New Roman"/>
                <w:b/>
                <w:bCs/>
                <w:sz w:val="20"/>
                <w:szCs w:val="20"/>
              </w:rPr>
              <w:t>Uwaga uwzględniona.</w:t>
            </w:r>
          </w:p>
        </w:tc>
      </w:tr>
      <w:tr w:rsidR="002228BA" w:rsidRPr="002228BA" w14:paraId="61BBA843" w14:textId="77777777" w:rsidTr="00F0600D">
        <w:trPr>
          <w:trHeight w:val="1098"/>
        </w:trPr>
        <w:tc>
          <w:tcPr>
            <w:tcW w:w="834" w:type="dxa"/>
          </w:tcPr>
          <w:p w14:paraId="74B3C73C" w14:textId="58837E68" w:rsidR="00AD1F12" w:rsidRPr="002228BA" w:rsidRDefault="00950A57" w:rsidP="009E22C2">
            <w:pPr>
              <w:pStyle w:val="Bezodstpw"/>
              <w:jc w:val="center"/>
              <w:rPr>
                <w:rFonts w:cs="Times New Roman"/>
                <w:sz w:val="20"/>
                <w:szCs w:val="20"/>
              </w:rPr>
            </w:pPr>
            <w:r w:rsidRPr="002228BA">
              <w:rPr>
                <w:rFonts w:cs="Times New Roman"/>
                <w:sz w:val="20"/>
                <w:szCs w:val="20"/>
              </w:rPr>
              <w:t>8</w:t>
            </w:r>
          </w:p>
        </w:tc>
        <w:tc>
          <w:tcPr>
            <w:tcW w:w="1566" w:type="dxa"/>
          </w:tcPr>
          <w:p w14:paraId="2FEF4255" w14:textId="1BD2CD7C" w:rsidR="00AD1F12" w:rsidRPr="002228BA" w:rsidRDefault="00AD1F12" w:rsidP="00F00F5B">
            <w:pPr>
              <w:pStyle w:val="Bezodstpw"/>
              <w:jc w:val="center"/>
              <w:rPr>
                <w:rFonts w:cs="Times New Roman"/>
                <w:b/>
                <w:bCs/>
                <w:sz w:val="20"/>
                <w:szCs w:val="20"/>
              </w:rPr>
            </w:pPr>
            <w:r w:rsidRPr="002228BA">
              <w:rPr>
                <w:rFonts w:cs="Times New Roman"/>
                <w:b/>
                <w:bCs/>
                <w:sz w:val="20"/>
                <w:szCs w:val="20"/>
              </w:rPr>
              <w:t>Uwagi ogólne</w:t>
            </w:r>
          </w:p>
        </w:tc>
        <w:tc>
          <w:tcPr>
            <w:tcW w:w="2131" w:type="dxa"/>
          </w:tcPr>
          <w:p w14:paraId="08D08256" w14:textId="5564FF4B" w:rsidR="00AD1F12" w:rsidRPr="002228BA" w:rsidRDefault="00AD1F12"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6ADBB865" w14:textId="77777777" w:rsidR="00950A57" w:rsidRPr="002228BA" w:rsidRDefault="00950A57" w:rsidP="00950A57">
            <w:pPr>
              <w:pStyle w:val="Bezodstpw"/>
              <w:jc w:val="both"/>
              <w:rPr>
                <w:rStyle w:val="FontStyle12"/>
                <w:sz w:val="20"/>
                <w:szCs w:val="20"/>
                <w:u w:val="single"/>
              </w:rPr>
            </w:pPr>
            <w:r w:rsidRPr="002228BA">
              <w:rPr>
                <w:rStyle w:val="FontStyle12"/>
                <w:sz w:val="20"/>
                <w:szCs w:val="20"/>
                <w:u w:val="single"/>
              </w:rPr>
              <w:t xml:space="preserve">Najważniejsze braki w zakresie trybu zakładania kont: </w:t>
            </w:r>
          </w:p>
          <w:p w14:paraId="0A3DF73A" w14:textId="77777777" w:rsidR="00950A57" w:rsidRPr="002228BA" w:rsidRDefault="00950A57" w:rsidP="00950A57">
            <w:pPr>
              <w:pStyle w:val="Bezodstpw"/>
              <w:jc w:val="both"/>
              <w:rPr>
                <w:rStyle w:val="FontStyle12"/>
                <w:sz w:val="20"/>
                <w:szCs w:val="20"/>
              </w:rPr>
            </w:pPr>
            <w:r w:rsidRPr="002228BA">
              <w:rPr>
                <w:rStyle w:val="FontStyle12"/>
                <w:sz w:val="20"/>
                <w:szCs w:val="20"/>
              </w:rPr>
              <w:t xml:space="preserve">- w proj. nie przewidziano kont osób fizycznych (zwykłych), </w:t>
            </w:r>
          </w:p>
          <w:p w14:paraId="06421B5B" w14:textId="77777777" w:rsidR="00950A57" w:rsidRPr="002228BA" w:rsidRDefault="00950A57" w:rsidP="00950A57">
            <w:pPr>
              <w:pStyle w:val="Bezodstpw"/>
              <w:jc w:val="both"/>
              <w:rPr>
                <w:rStyle w:val="FontStyle12"/>
                <w:sz w:val="20"/>
                <w:szCs w:val="20"/>
              </w:rPr>
            </w:pPr>
            <w:r w:rsidRPr="002228BA">
              <w:rPr>
                <w:rStyle w:val="FontStyle12"/>
                <w:sz w:val="20"/>
                <w:szCs w:val="20"/>
              </w:rPr>
              <w:t xml:space="preserve">- nie rozstrzygnięto zagadnienia kont uczestników postępowania innych niż osoby fizyczne i instytucje publiczne (np. konta dla osób prawnych), </w:t>
            </w:r>
          </w:p>
          <w:p w14:paraId="312016C6" w14:textId="77777777" w:rsidR="00950A57" w:rsidRPr="002228BA" w:rsidRDefault="00950A57" w:rsidP="00950A57">
            <w:pPr>
              <w:pStyle w:val="Bezodstpw"/>
              <w:jc w:val="both"/>
              <w:rPr>
                <w:rFonts w:cs="Times New Roman"/>
                <w:sz w:val="20"/>
                <w:szCs w:val="20"/>
              </w:rPr>
            </w:pPr>
            <w:r w:rsidRPr="002228BA">
              <w:rPr>
                <w:rFonts w:cs="Times New Roman"/>
                <w:sz w:val="20"/>
                <w:szCs w:val="20"/>
              </w:rPr>
              <w:t>-</w:t>
            </w:r>
            <w:r w:rsidRPr="002228BA">
              <w:t xml:space="preserve"> </w:t>
            </w:r>
            <w:r w:rsidRPr="002228BA">
              <w:rPr>
                <w:rFonts w:cs="Times New Roman"/>
                <w:sz w:val="20"/>
                <w:szCs w:val="20"/>
              </w:rPr>
              <w:t xml:space="preserve">nie przewidziano kont instytucji publicznych innych niż adresaci doręczeń, </w:t>
            </w:r>
          </w:p>
          <w:p w14:paraId="371683EB" w14:textId="77777777" w:rsidR="00950A57" w:rsidRPr="002228BA" w:rsidRDefault="00950A57" w:rsidP="00950A57">
            <w:pPr>
              <w:pStyle w:val="Bezodstpw"/>
              <w:jc w:val="both"/>
              <w:rPr>
                <w:rFonts w:cs="Times New Roman"/>
                <w:sz w:val="20"/>
                <w:szCs w:val="20"/>
              </w:rPr>
            </w:pPr>
            <w:r w:rsidRPr="002228BA">
              <w:t xml:space="preserve">- </w:t>
            </w:r>
            <w:r w:rsidRPr="002228BA">
              <w:rPr>
                <w:rFonts w:cs="Times New Roman"/>
                <w:sz w:val="20"/>
                <w:szCs w:val="20"/>
              </w:rPr>
              <w:t xml:space="preserve">wadliwie uregulowano konta prokuratury (konto tworzy się dla prokuratury, prokuratorzy powinni mieć konta zależne), </w:t>
            </w:r>
          </w:p>
          <w:p w14:paraId="75CFADFA" w14:textId="77777777" w:rsidR="00950A57" w:rsidRPr="002228BA" w:rsidRDefault="00950A57" w:rsidP="00950A57">
            <w:pPr>
              <w:pStyle w:val="Bezodstpw"/>
              <w:jc w:val="both"/>
              <w:rPr>
                <w:rFonts w:cs="Times New Roman"/>
                <w:sz w:val="20"/>
                <w:szCs w:val="20"/>
              </w:rPr>
            </w:pPr>
            <w:r w:rsidRPr="002228BA">
              <w:t xml:space="preserve">- </w:t>
            </w:r>
            <w:r w:rsidRPr="002228BA">
              <w:rPr>
                <w:rFonts w:cs="Times New Roman"/>
                <w:sz w:val="20"/>
                <w:szCs w:val="20"/>
              </w:rPr>
              <w:t xml:space="preserve">nie ma kont komorników, biegłych oraz mediatorów, </w:t>
            </w:r>
          </w:p>
          <w:p w14:paraId="3B524755" w14:textId="77777777" w:rsidR="00950A57" w:rsidRPr="002228BA" w:rsidRDefault="00950A57" w:rsidP="00950A57">
            <w:pPr>
              <w:pStyle w:val="Bezodstpw"/>
              <w:jc w:val="both"/>
              <w:rPr>
                <w:rFonts w:cs="Times New Roman"/>
                <w:sz w:val="20"/>
                <w:szCs w:val="20"/>
              </w:rPr>
            </w:pPr>
            <w:r w:rsidRPr="002228BA">
              <w:t xml:space="preserve">- </w:t>
            </w:r>
            <w:r w:rsidRPr="002228BA">
              <w:rPr>
                <w:rFonts w:cs="Times New Roman"/>
                <w:sz w:val="20"/>
                <w:szCs w:val="20"/>
              </w:rPr>
              <w:t xml:space="preserve">brak przepisów dotyczących integracji z systemem ROBUS w zakresie tworzenia i likwidacji kont, a także w zakresie nadawania i odbierania dostępu do sprawy, </w:t>
            </w:r>
          </w:p>
          <w:p w14:paraId="5E8756ED" w14:textId="77777777" w:rsidR="00950A57" w:rsidRPr="002228BA" w:rsidRDefault="00950A57" w:rsidP="00950A57">
            <w:pPr>
              <w:pStyle w:val="Bezodstpw"/>
              <w:jc w:val="both"/>
              <w:rPr>
                <w:rFonts w:cs="Times New Roman"/>
                <w:sz w:val="20"/>
                <w:szCs w:val="20"/>
              </w:rPr>
            </w:pPr>
            <w:r w:rsidRPr="002228BA">
              <w:lastRenderedPageBreak/>
              <w:t xml:space="preserve">- </w:t>
            </w:r>
            <w:r w:rsidRPr="002228BA">
              <w:rPr>
                <w:rFonts w:cs="Times New Roman"/>
                <w:sz w:val="20"/>
                <w:szCs w:val="20"/>
              </w:rPr>
              <w:t xml:space="preserve">brak procedury degradacji kont w przypadku pełnomocnika zawodowego, który utraci uprawnienia (konto ma wtedy status konta użytkownika zwykłego), </w:t>
            </w:r>
          </w:p>
          <w:p w14:paraId="091EB424" w14:textId="77777777" w:rsidR="00950A57" w:rsidRPr="002228BA" w:rsidRDefault="00950A57" w:rsidP="00950A57">
            <w:pPr>
              <w:pStyle w:val="Bezodstpw"/>
              <w:jc w:val="both"/>
              <w:rPr>
                <w:rFonts w:cs="Times New Roman"/>
                <w:sz w:val="20"/>
                <w:szCs w:val="20"/>
              </w:rPr>
            </w:pPr>
            <w:r w:rsidRPr="002228BA">
              <w:t xml:space="preserve">- </w:t>
            </w:r>
            <w:r w:rsidRPr="002228BA">
              <w:rPr>
                <w:rFonts w:cs="Times New Roman"/>
                <w:sz w:val="20"/>
                <w:szCs w:val="20"/>
              </w:rPr>
              <w:t xml:space="preserve">nie uregulowano kont zależnych i ich uprawnień (konto zależne nie mieści się w definicji osoby uprawnionej). </w:t>
            </w:r>
          </w:p>
          <w:p w14:paraId="79F18E15" w14:textId="77777777" w:rsidR="00950A57" w:rsidRPr="002228BA" w:rsidRDefault="00950A57" w:rsidP="00950A57">
            <w:pPr>
              <w:pStyle w:val="Bezodstpw"/>
              <w:jc w:val="both"/>
              <w:rPr>
                <w:rFonts w:cs="Times New Roman"/>
                <w:sz w:val="20"/>
                <w:szCs w:val="20"/>
                <w:u w:val="single"/>
              </w:rPr>
            </w:pPr>
            <w:r w:rsidRPr="002228BA">
              <w:rPr>
                <w:rFonts w:cs="Times New Roman"/>
                <w:sz w:val="20"/>
                <w:szCs w:val="20"/>
                <w:u w:val="single"/>
              </w:rPr>
              <w:t xml:space="preserve">Najważniejsze braki w zakresie uregulowania warunków technicznych funkcjonowania PI: </w:t>
            </w:r>
          </w:p>
          <w:p w14:paraId="42E4C6FF"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 zasady udostępniania sprawy w PI (z urzędu lub na wniosek), </w:t>
            </w:r>
          </w:p>
          <w:p w14:paraId="283A1DDD"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 załącznik do rozporządzenia z repertoriami podlegającymi publikacji, </w:t>
            </w:r>
          </w:p>
          <w:p w14:paraId="589860E7"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 określenie katalogu pism czasowo albo permanentnie wyłącznych od publikacji, </w:t>
            </w:r>
          </w:p>
          <w:p w14:paraId="68CA71E8"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 zasady publikacji dokumentów sądowych w PI, </w:t>
            </w:r>
          </w:p>
          <w:p w14:paraId="3980B204"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 opis pozostałych usług świadczonych przez PI, </w:t>
            </w:r>
          </w:p>
          <w:p w14:paraId="193A0A0A"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 brak definicji i opisu funkcjonalności Biura Podawczego Komornika, </w:t>
            </w:r>
          </w:p>
          <w:p w14:paraId="629FD927"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 brak umocowania do wydania Regulaminu (w drodze zarządzenia Ministra Sprawiedliwości), </w:t>
            </w:r>
          </w:p>
          <w:p w14:paraId="295A9DDD"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 brak zasad archiwizacji (w PI znajdują się oryginały akt sądowych, tj. EPOK), </w:t>
            </w:r>
          </w:p>
          <w:p w14:paraId="1466E1F5"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 brak zasad archiwizacji dla danych udostępnionych w PI. </w:t>
            </w:r>
          </w:p>
          <w:p w14:paraId="49F73019" w14:textId="77777777" w:rsidR="00950A57" w:rsidRPr="002228BA" w:rsidRDefault="00950A57" w:rsidP="00950A57">
            <w:pPr>
              <w:pStyle w:val="Bezodstpw"/>
              <w:jc w:val="both"/>
              <w:rPr>
                <w:rStyle w:val="FontStyle12"/>
                <w:sz w:val="20"/>
                <w:szCs w:val="20"/>
              </w:rPr>
            </w:pPr>
          </w:p>
          <w:p w14:paraId="2AFCFC7C" w14:textId="77777777" w:rsidR="00950A57" w:rsidRPr="002228BA" w:rsidRDefault="00950A57" w:rsidP="00950A57">
            <w:pPr>
              <w:pStyle w:val="Bezodstpw"/>
              <w:jc w:val="both"/>
              <w:rPr>
                <w:rFonts w:cs="Times New Roman"/>
                <w:sz w:val="20"/>
                <w:szCs w:val="20"/>
              </w:rPr>
            </w:pPr>
            <w:r w:rsidRPr="002228BA">
              <w:rPr>
                <w:rFonts w:cs="Times New Roman"/>
                <w:sz w:val="20"/>
                <w:szCs w:val="20"/>
              </w:rPr>
              <w:t xml:space="preserve">Obecnie zagadnienia te są uregulowane w regulaminach poszczególnych apelacji. Wobec centralizacji PI, stracą racje bytu zarządzenia prezesów o powołaniu PI w danym sądzie oraz o zakresie publikacji (jakie repertoria są wyłączone od publikacji, jakie pisma podlegają stałemu lub czasowemu wyłączeniu od publikacji), a także zarządzenia prezesów SA, gdzie uregulowane są regulaminy PI. Niezbędnym jest upoważnienie MS albo w proj. rozporządzeniu, albo w regulaminie urzędowania sądów </w:t>
            </w:r>
            <w:r w:rsidRPr="002228BA">
              <w:rPr>
                <w:rFonts w:cs="Times New Roman"/>
                <w:sz w:val="20"/>
                <w:szCs w:val="20"/>
              </w:rPr>
              <w:lastRenderedPageBreak/>
              <w:t>powszechnych do wydania regulaminu funkcjonowania PI, a także uzupełnienie proj. rozporządzenia w sposób odpowiadający delegacji ustawowej.</w:t>
            </w:r>
          </w:p>
          <w:p w14:paraId="53BA2C16" w14:textId="77777777" w:rsidR="00950A57" w:rsidRPr="002228BA" w:rsidRDefault="00950A57" w:rsidP="00950A57">
            <w:pPr>
              <w:pStyle w:val="Bezodstpw"/>
              <w:jc w:val="both"/>
              <w:rPr>
                <w:rFonts w:cs="Times New Roman"/>
                <w:sz w:val="20"/>
                <w:szCs w:val="20"/>
              </w:rPr>
            </w:pPr>
          </w:p>
          <w:p w14:paraId="4224CD59" w14:textId="77777777" w:rsidR="00AD1F12" w:rsidRPr="002228BA" w:rsidRDefault="00AD1F12" w:rsidP="00AD1F12">
            <w:pPr>
              <w:pStyle w:val="Bezodstpw"/>
              <w:jc w:val="both"/>
              <w:rPr>
                <w:rFonts w:eastAsiaTheme="minorEastAsia" w:cs="Times New Roman"/>
                <w:sz w:val="20"/>
                <w:szCs w:val="20"/>
                <w:lang w:eastAsia="pl-PL"/>
              </w:rPr>
            </w:pPr>
          </w:p>
        </w:tc>
        <w:tc>
          <w:tcPr>
            <w:tcW w:w="4816" w:type="dxa"/>
          </w:tcPr>
          <w:p w14:paraId="18E69A57" w14:textId="18EAE472" w:rsidR="00AD1F12" w:rsidRPr="002228BA" w:rsidRDefault="00182B67" w:rsidP="00854708">
            <w:pPr>
              <w:pStyle w:val="Bezodstpw"/>
              <w:jc w:val="both"/>
              <w:rPr>
                <w:rFonts w:cs="Times New Roman"/>
                <w:sz w:val="20"/>
                <w:szCs w:val="20"/>
              </w:rPr>
            </w:pPr>
            <w:r w:rsidRPr="002228BA">
              <w:rPr>
                <w:rFonts w:cs="Times New Roman"/>
                <w:b/>
                <w:bCs/>
                <w:sz w:val="20"/>
                <w:szCs w:val="20"/>
              </w:rPr>
              <w:lastRenderedPageBreak/>
              <w:t>Uwaga uwzględniona.</w:t>
            </w:r>
          </w:p>
        </w:tc>
      </w:tr>
      <w:tr w:rsidR="002228BA" w:rsidRPr="002228BA" w14:paraId="016BEB85" w14:textId="77777777" w:rsidTr="00F0600D">
        <w:trPr>
          <w:trHeight w:val="1098"/>
        </w:trPr>
        <w:tc>
          <w:tcPr>
            <w:tcW w:w="834" w:type="dxa"/>
          </w:tcPr>
          <w:p w14:paraId="064947DD" w14:textId="1C95F6BE" w:rsidR="00AD1F12" w:rsidRPr="002228BA" w:rsidRDefault="008138E3" w:rsidP="009E22C2">
            <w:pPr>
              <w:pStyle w:val="Bezodstpw"/>
              <w:jc w:val="center"/>
              <w:rPr>
                <w:rFonts w:cs="Times New Roman"/>
                <w:sz w:val="20"/>
                <w:szCs w:val="20"/>
              </w:rPr>
            </w:pPr>
            <w:r w:rsidRPr="002228BA">
              <w:rPr>
                <w:rFonts w:cs="Times New Roman"/>
                <w:sz w:val="20"/>
                <w:szCs w:val="20"/>
              </w:rPr>
              <w:lastRenderedPageBreak/>
              <w:t>9</w:t>
            </w:r>
          </w:p>
        </w:tc>
        <w:tc>
          <w:tcPr>
            <w:tcW w:w="1566" w:type="dxa"/>
          </w:tcPr>
          <w:p w14:paraId="44569B43" w14:textId="406A20AB" w:rsidR="00AD1F12" w:rsidRPr="002228BA" w:rsidRDefault="005D40EA" w:rsidP="00F00F5B">
            <w:pPr>
              <w:pStyle w:val="Bezodstpw"/>
              <w:jc w:val="center"/>
              <w:rPr>
                <w:rFonts w:cs="Times New Roman"/>
                <w:b/>
                <w:bCs/>
                <w:sz w:val="20"/>
                <w:szCs w:val="20"/>
              </w:rPr>
            </w:pPr>
            <w:r w:rsidRPr="002228BA">
              <w:rPr>
                <w:rFonts w:cs="Times New Roman"/>
                <w:b/>
                <w:bCs/>
                <w:sz w:val="20"/>
                <w:szCs w:val="20"/>
              </w:rPr>
              <w:t>§ 1 projektu oraz uwagi ogólne</w:t>
            </w:r>
          </w:p>
        </w:tc>
        <w:tc>
          <w:tcPr>
            <w:tcW w:w="2131" w:type="dxa"/>
          </w:tcPr>
          <w:p w14:paraId="498F3919" w14:textId="0F7F09AC" w:rsidR="00AD1F12" w:rsidRPr="002228BA" w:rsidRDefault="005D40EA" w:rsidP="00F00F5B">
            <w:pPr>
              <w:pStyle w:val="Bezodstpw"/>
              <w:jc w:val="center"/>
              <w:rPr>
                <w:rFonts w:cs="Times New Roman"/>
                <w:b/>
                <w:bCs/>
                <w:sz w:val="20"/>
                <w:szCs w:val="20"/>
              </w:rPr>
            </w:pPr>
            <w:r w:rsidRPr="002228BA">
              <w:rPr>
                <w:rFonts w:cs="Times New Roman"/>
                <w:b/>
                <w:bCs/>
                <w:sz w:val="20"/>
                <w:szCs w:val="20"/>
              </w:rPr>
              <w:t>Prokurator Krajowy</w:t>
            </w:r>
          </w:p>
        </w:tc>
        <w:tc>
          <w:tcPr>
            <w:tcW w:w="4962" w:type="dxa"/>
          </w:tcPr>
          <w:p w14:paraId="415AC887" w14:textId="77777777" w:rsidR="005D40EA" w:rsidRPr="002228BA" w:rsidRDefault="005D40EA" w:rsidP="005D40EA">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Proj. rozporządzenia wpłynie w znaczący sposób na organizację pracy w powszechnych jednostkach organizacyjnych prokuratury, wprowadzając kolejną drogę odbioru sądowej korespondencji. Biorąc pod uwagę przewidziane w k.p.k. oraz k.p.c. od dnia 14 marca 2024 r. skutki doręczeń pism prokuratorowi poprzez PI, dotychczasowy sposób dostępu prokuratorów do danych zamieszczanych w PI sądu poprzez imienne konta nie może służyć skutecznemu realizowaniu doręczeń w tej nowej formie.</w:t>
            </w:r>
          </w:p>
          <w:p w14:paraId="52CBB756" w14:textId="77777777" w:rsidR="005D40EA" w:rsidRPr="002228BA" w:rsidRDefault="005D40EA" w:rsidP="005D40EA">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Proj. powinien zawierać przede wszystkim precyzyjne regulacje odnoszące się do kwestii zakładania kont dla powszechnych jednostek organizacyjnych prokuratury oraz odmiennych skutków doręczania pism na konto jednostki i konto imienne prokuratora, których w jego tekście brakuje.</w:t>
            </w:r>
          </w:p>
          <w:p w14:paraId="73EC9ED4" w14:textId="77777777" w:rsidR="005D40EA" w:rsidRPr="002228BA" w:rsidRDefault="005D40EA" w:rsidP="005D40EA">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 xml:space="preserve">Przyjęta w proj. terminologia kont przewidzianych w ramach w PI nie jest spójna z </w:t>
            </w:r>
            <w:r w:rsidRPr="002228BA">
              <w:rPr>
                <w:rFonts w:eastAsiaTheme="minorEastAsia" w:cs="Times New Roman"/>
                <w:i/>
                <w:iCs/>
                <w:sz w:val="20"/>
                <w:szCs w:val="20"/>
                <w:lang w:eastAsia="pl-PL"/>
              </w:rPr>
              <w:t xml:space="preserve">proj. rozporządzenia MS w sprawie szczegółowego trybu i sposobu doręczania pism sądowych za pośrednictwem portalu informacyjnego (A 516), </w:t>
            </w:r>
            <w:r w:rsidRPr="002228BA">
              <w:rPr>
                <w:rFonts w:eastAsiaTheme="minorEastAsia" w:cs="Times New Roman"/>
                <w:sz w:val="20"/>
                <w:szCs w:val="20"/>
                <w:lang w:eastAsia="pl-PL"/>
              </w:rPr>
              <w:t xml:space="preserve">w którym proj. posługuje się, również niezdefiniowanym, pojęciem </w:t>
            </w:r>
            <w:r w:rsidRPr="002228BA">
              <w:rPr>
                <w:rFonts w:eastAsiaTheme="minorEastAsia" w:cs="Times New Roman"/>
                <w:i/>
                <w:iCs/>
                <w:sz w:val="20"/>
                <w:szCs w:val="20"/>
                <w:lang w:eastAsia="pl-PL"/>
              </w:rPr>
              <w:t xml:space="preserve">„konta instytucjonalnego". </w:t>
            </w:r>
            <w:r w:rsidRPr="002228BA">
              <w:rPr>
                <w:rFonts w:eastAsiaTheme="minorEastAsia" w:cs="Times New Roman"/>
                <w:sz w:val="20"/>
                <w:szCs w:val="20"/>
                <w:lang w:eastAsia="pl-PL"/>
              </w:rPr>
              <w:t xml:space="preserve">Z tych względów konieczne jest uzupełnienie słownika pojęć używanych w proj. rozporządzenia. Jest to szczególnie istotne w kontekście przywołanego zapisu § 6 </w:t>
            </w:r>
            <w:r w:rsidRPr="002228BA">
              <w:rPr>
                <w:rFonts w:eastAsiaTheme="minorEastAsia" w:cs="Times New Roman"/>
                <w:i/>
                <w:iCs/>
                <w:sz w:val="20"/>
                <w:szCs w:val="20"/>
                <w:lang w:eastAsia="pl-PL"/>
              </w:rPr>
              <w:t xml:space="preserve">proj. rozporządzenia MS w sprawie szczegółowego trybu i sposobu doręczania pism sądowych za pośrednictwem portalu informacyjnego, </w:t>
            </w:r>
            <w:r w:rsidRPr="002228BA">
              <w:rPr>
                <w:rFonts w:eastAsiaTheme="minorEastAsia" w:cs="Times New Roman"/>
                <w:sz w:val="20"/>
                <w:szCs w:val="20"/>
                <w:lang w:eastAsia="pl-PL"/>
              </w:rPr>
              <w:t xml:space="preserve">w którym przewidziano, że pisma </w:t>
            </w:r>
            <w:r w:rsidRPr="002228BA">
              <w:rPr>
                <w:rFonts w:eastAsiaTheme="minorEastAsia" w:cs="Times New Roman"/>
                <w:sz w:val="20"/>
                <w:szCs w:val="20"/>
                <w:lang w:eastAsia="pl-PL"/>
              </w:rPr>
              <w:lastRenderedPageBreak/>
              <w:t>podlegające doręczeniu prokuratorowi, organowi emerytalnemu określonemu przez ministra właściwego do spraw wewnętrznych oraz PGRP udostępnia się wyłącznie za pośrednictwem kont instytucjonalnych tych podmiotów.</w:t>
            </w:r>
          </w:p>
          <w:p w14:paraId="579618C9" w14:textId="77777777" w:rsidR="005D40EA" w:rsidRPr="002228BA" w:rsidRDefault="005D40EA" w:rsidP="005D40EA">
            <w:pPr>
              <w:pStyle w:val="Bezodstpw"/>
              <w:jc w:val="both"/>
              <w:rPr>
                <w:rFonts w:eastAsiaTheme="minorEastAsia" w:cs="Times New Roman"/>
                <w:i/>
                <w:iCs/>
                <w:sz w:val="20"/>
                <w:szCs w:val="20"/>
                <w:lang w:eastAsia="pl-PL"/>
              </w:rPr>
            </w:pPr>
            <w:r w:rsidRPr="002228BA">
              <w:rPr>
                <w:rFonts w:eastAsiaTheme="minorEastAsia" w:cs="Times New Roman"/>
                <w:sz w:val="20"/>
                <w:szCs w:val="20"/>
                <w:lang w:eastAsia="pl-PL"/>
              </w:rPr>
              <w:t>Z tych względów proj. rozporządzenie powinno regulować możliwość utworzenia kont instytucjonalnych dla takich podmiotów jak powszechne jednostki organizacyjne prokuratury (osobne konta dla każdej jednostki oraz każdego z wydziałów zamiejscowych Departamentu do Spraw Przestępczości Zorganizowanej i Korupcji Prokuratury Krajowej), organów emerytalnych określonych przez ministra właściwego do spraw wewnętrznych oraz oddziałów PGRP. Zasadność utworzenia kont instytucjonalnych jest podyktowana wykreowanym sposobem doręczenia pism sądowych implikującym konieczność podjęcia określonych działań oraz wiążącym zaistnienie nieodwracalnego skutku prawnego tak z ich podjęciem, jak i z bezczynnością (np. upływ terminu procesowego). Wskazane konta instytucjonalne stanowiłyby zatem środek do korespondencji sąd - instytucja.</w:t>
            </w:r>
          </w:p>
          <w:p w14:paraId="168E532B" w14:textId="3441B4E8" w:rsidR="00AD1F12" w:rsidRPr="002228BA" w:rsidRDefault="00AD1F12" w:rsidP="005D40EA">
            <w:pPr>
              <w:pStyle w:val="Bezodstpw"/>
              <w:jc w:val="both"/>
              <w:rPr>
                <w:rFonts w:eastAsiaTheme="minorEastAsia" w:cs="Times New Roman"/>
                <w:sz w:val="20"/>
                <w:szCs w:val="20"/>
                <w:lang w:eastAsia="pl-PL"/>
              </w:rPr>
            </w:pPr>
          </w:p>
        </w:tc>
        <w:tc>
          <w:tcPr>
            <w:tcW w:w="4816" w:type="dxa"/>
          </w:tcPr>
          <w:p w14:paraId="6D195F5A" w14:textId="06D52EB8" w:rsidR="00AD1F12" w:rsidRPr="002228BA" w:rsidRDefault="00A764C3" w:rsidP="00AB0FF4">
            <w:pPr>
              <w:pStyle w:val="Bezodstpw"/>
              <w:jc w:val="both"/>
              <w:rPr>
                <w:rFonts w:cs="Times New Roman"/>
                <w:b/>
                <w:bCs/>
                <w:sz w:val="20"/>
                <w:szCs w:val="20"/>
              </w:rPr>
            </w:pPr>
            <w:r w:rsidRPr="002228BA">
              <w:rPr>
                <w:rFonts w:cs="Times New Roman"/>
                <w:b/>
                <w:bCs/>
                <w:sz w:val="20"/>
                <w:szCs w:val="20"/>
              </w:rPr>
              <w:lastRenderedPageBreak/>
              <w:t xml:space="preserve">Uwaga uwzględniona – projekt reguluje kwestie związane z kontem instytucjonalnym. </w:t>
            </w:r>
          </w:p>
        </w:tc>
      </w:tr>
      <w:tr w:rsidR="002228BA" w:rsidRPr="002228BA" w14:paraId="6A9D9ECD" w14:textId="77777777" w:rsidTr="00F0600D">
        <w:trPr>
          <w:trHeight w:val="1098"/>
        </w:trPr>
        <w:tc>
          <w:tcPr>
            <w:tcW w:w="834" w:type="dxa"/>
          </w:tcPr>
          <w:p w14:paraId="39F8E078" w14:textId="4A6BC5FA" w:rsidR="005D40EA" w:rsidRPr="002228BA" w:rsidRDefault="008138E3" w:rsidP="009E22C2">
            <w:pPr>
              <w:pStyle w:val="Bezodstpw"/>
              <w:jc w:val="center"/>
              <w:rPr>
                <w:rFonts w:cs="Times New Roman"/>
                <w:sz w:val="20"/>
                <w:szCs w:val="20"/>
              </w:rPr>
            </w:pPr>
            <w:r w:rsidRPr="002228BA">
              <w:rPr>
                <w:rFonts w:cs="Times New Roman"/>
                <w:sz w:val="20"/>
                <w:szCs w:val="20"/>
              </w:rPr>
              <w:t>10</w:t>
            </w:r>
          </w:p>
        </w:tc>
        <w:tc>
          <w:tcPr>
            <w:tcW w:w="1566" w:type="dxa"/>
          </w:tcPr>
          <w:p w14:paraId="1BC82926" w14:textId="04A64925" w:rsidR="005D40EA" w:rsidRPr="002228BA" w:rsidRDefault="005D40EA" w:rsidP="00F00F5B">
            <w:pPr>
              <w:pStyle w:val="Bezodstpw"/>
              <w:jc w:val="center"/>
              <w:rPr>
                <w:rFonts w:cs="Times New Roman"/>
                <w:b/>
                <w:bCs/>
                <w:sz w:val="20"/>
                <w:szCs w:val="20"/>
              </w:rPr>
            </w:pPr>
            <w:r w:rsidRPr="002228BA">
              <w:rPr>
                <w:rFonts w:cs="Times New Roman"/>
                <w:b/>
                <w:bCs/>
                <w:sz w:val="20"/>
                <w:szCs w:val="20"/>
              </w:rPr>
              <w:t>§ 1 projektu</w:t>
            </w:r>
          </w:p>
        </w:tc>
        <w:tc>
          <w:tcPr>
            <w:tcW w:w="2131" w:type="dxa"/>
          </w:tcPr>
          <w:p w14:paraId="68DF4A34" w14:textId="53285DB3" w:rsidR="005D40EA" w:rsidRPr="002228BA" w:rsidRDefault="005D40EA" w:rsidP="00F00F5B">
            <w:pPr>
              <w:pStyle w:val="Bezodstpw"/>
              <w:jc w:val="center"/>
              <w:rPr>
                <w:rFonts w:cs="Times New Roman"/>
                <w:b/>
                <w:bCs/>
                <w:sz w:val="20"/>
                <w:szCs w:val="20"/>
              </w:rPr>
            </w:pPr>
            <w:r w:rsidRPr="002228BA">
              <w:rPr>
                <w:rFonts w:cs="Times New Roman"/>
                <w:b/>
                <w:bCs/>
                <w:sz w:val="20"/>
                <w:szCs w:val="20"/>
              </w:rPr>
              <w:t>Prokurator Krajowy</w:t>
            </w:r>
          </w:p>
        </w:tc>
        <w:tc>
          <w:tcPr>
            <w:tcW w:w="4962" w:type="dxa"/>
          </w:tcPr>
          <w:p w14:paraId="5FF92BB4" w14:textId="77777777" w:rsidR="005D40EA" w:rsidRPr="002228BA" w:rsidRDefault="005D40EA" w:rsidP="005D40EA">
            <w:pPr>
              <w:pStyle w:val="Bezodstpw"/>
              <w:jc w:val="both"/>
              <w:rPr>
                <w:rFonts w:cs="Times New Roman"/>
                <w:sz w:val="20"/>
                <w:szCs w:val="20"/>
              </w:rPr>
            </w:pPr>
            <w:r w:rsidRPr="002228BA">
              <w:rPr>
                <w:rFonts w:cs="Times New Roman"/>
                <w:sz w:val="20"/>
                <w:szCs w:val="20"/>
              </w:rPr>
              <w:t xml:space="preserve">Proj. rozporządzenia nie wyczerpuje całości regulacji wynikającej z zawartej w art. 53e § 2 p.u.s.p. del. ustawowej. Tymczasem § 1 proj., określający zakres przedmiotowy aktu został ograniczony do „trybu zakładania, udostępniania i likwidacji konta w PI”, co znalazło rozwinięcie w pozostałych ujętych w proj. regulacjach. Natomiast pomimo zawartej w uzasadnieniu proj. deklaracji proj., że przedmiotowe rozporządzenie jest rozporządzeniem technicznym, nie zostały w nim unormowane kwestie warunków technicznych korzystania </w:t>
            </w:r>
            <w:r w:rsidRPr="002228BA">
              <w:rPr>
                <w:rFonts w:cs="Times New Roman"/>
                <w:sz w:val="20"/>
                <w:szCs w:val="20"/>
              </w:rPr>
              <w:lastRenderedPageBreak/>
              <w:t>z PI oraz jego funkcjonowania, a uregulowania dotyczące trybu zakładania, udostępniania i likwidacji konta w PI również okazują się być niepełne. Tym samym proj. w tym zakresie jest niezgodny z regulacjami § 125 ZTP, zgodnie z którymi przepis określający przedmiot rozporządzenia musi być znacznie bardziej precyzyjny niż część tytułu rozporządzenia, która określa jego przedmiot, albowiem tytuł nie ma charakteru normatywnego.</w:t>
            </w:r>
          </w:p>
          <w:p w14:paraId="592E9DF5" w14:textId="77777777" w:rsidR="005D40EA" w:rsidRPr="002228BA" w:rsidRDefault="005D40EA" w:rsidP="00AD1F12">
            <w:pPr>
              <w:pStyle w:val="Bezodstpw"/>
              <w:jc w:val="both"/>
              <w:rPr>
                <w:rFonts w:eastAsiaTheme="minorEastAsia" w:cs="Times New Roman"/>
                <w:sz w:val="20"/>
                <w:szCs w:val="20"/>
                <w:lang w:eastAsia="pl-PL"/>
              </w:rPr>
            </w:pPr>
          </w:p>
        </w:tc>
        <w:tc>
          <w:tcPr>
            <w:tcW w:w="4816" w:type="dxa"/>
          </w:tcPr>
          <w:p w14:paraId="6C6E9D83" w14:textId="7274D3D7" w:rsidR="005D40EA" w:rsidRPr="002228BA" w:rsidRDefault="00A764C3" w:rsidP="00AB0FF4">
            <w:pPr>
              <w:pStyle w:val="Bezodstpw"/>
              <w:jc w:val="both"/>
              <w:rPr>
                <w:rFonts w:cs="Times New Roman"/>
                <w:b/>
                <w:bCs/>
                <w:sz w:val="20"/>
                <w:szCs w:val="20"/>
              </w:rPr>
            </w:pPr>
            <w:r w:rsidRPr="002228BA">
              <w:rPr>
                <w:rFonts w:cs="Times New Roman"/>
                <w:b/>
                <w:bCs/>
                <w:sz w:val="20"/>
                <w:szCs w:val="20"/>
              </w:rPr>
              <w:lastRenderedPageBreak/>
              <w:t xml:space="preserve">Uwaga uwzględniona. </w:t>
            </w:r>
          </w:p>
        </w:tc>
      </w:tr>
      <w:tr w:rsidR="002228BA" w:rsidRPr="002228BA" w14:paraId="267422D3" w14:textId="77777777" w:rsidTr="00F0600D">
        <w:trPr>
          <w:trHeight w:val="1098"/>
        </w:trPr>
        <w:tc>
          <w:tcPr>
            <w:tcW w:w="834" w:type="dxa"/>
          </w:tcPr>
          <w:p w14:paraId="294E8951" w14:textId="71A33C4D" w:rsidR="001B587A" w:rsidRPr="002228BA" w:rsidRDefault="008138E3" w:rsidP="009E22C2">
            <w:pPr>
              <w:pStyle w:val="Bezodstpw"/>
              <w:jc w:val="center"/>
              <w:rPr>
                <w:rFonts w:cs="Times New Roman"/>
                <w:sz w:val="20"/>
                <w:szCs w:val="20"/>
              </w:rPr>
            </w:pPr>
            <w:r w:rsidRPr="002228BA">
              <w:rPr>
                <w:rFonts w:cs="Times New Roman"/>
                <w:sz w:val="20"/>
                <w:szCs w:val="20"/>
              </w:rPr>
              <w:t>11</w:t>
            </w:r>
          </w:p>
        </w:tc>
        <w:tc>
          <w:tcPr>
            <w:tcW w:w="1566" w:type="dxa"/>
          </w:tcPr>
          <w:p w14:paraId="44F6B155" w14:textId="20E4D70B" w:rsidR="001B587A" w:rsidRPr="002228BA" w:rsidRDefault="005013CF" w:rsidP="00F00F5B">
            <w:pPr>
              <w:pStyle w:val="Bezodstpw"/>
              <w:jc w:val="center"/>
              <w:rPr>
                <w:rFonts w:cs="Times New Roman"/>
                <w:b/>
                <w:bCs/>
                <w:sz w:val="20"/>
                <w:szCs w:val="20"/>
              </w:rPr>
            </w:pPr>
            <w:r w:rsidRPr="002228BA">
              <w:rPr>
                <w:rFonts w:cs="Times New Roman"/>
                <w:b/>
                <w:bCs/>
                <w:sz w:val="20"/>
                <w:szCs w:val="20"/>
              </w:rPr>
              <w:t>§ 2 projektu</w:t>
            </w:r>
          </w:p>
        </w:tc>
        <w:tc>
          <w:tcPr>
            <w:tcW w:w="2131" w:type="dxa"/>
          </w:tcPr>
          <w:p w14:paraId="46FDD99A" w14:textId="21CB6725" w:rsidR="001B587A" w:rsidRPr="002228BA" w:rsidRDefault="005013CF" w:rsidP="00F00F5B">
            <w:pPr>
              <w:pStyle w:val="Bezodstpw"/>
              <w:jc w:val="center"/>
              <w:rPr>
                <w:rFonts w:cs="Times New Roman"/>
                <w:b/>
                <w:bCs/>
                <w:sz w:val="20"/>
                <w:szCs w:val="20"/>
              </w:rPr>
            </w:pPr>
            <w:r w:rsidRPr="002228BA">
              <w:rPr>
                <w:rFonts w:cs="Times New Roman"/>
                <w:b/>
                <w:bCs/>
                <w:sz w:val="20"/>
                <w:szCs w:val="20"/>
              </w:rPr>
              <w:t>Prokurator Krajowy</w:t>
            </w:r>
          </w:p>
        </w:tc>
        <w:tc>
          <w:tcPr>
            <w:tcW w:w="4962" w:type="dxa"/>
          </w:tcPr>
          <w:p w14:paraId="34192484" w14:textId="2073C779" w:rsidR="005013CF" w:rsidRPr="002228BA" w:rsidRDefault="005013CF" w:rsidP="005013CF">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Kompletne uregulowanie sposobu korzystania z konta usunęłoby wątpliwości, które powstają po zapoznaniu się z treścią proj. w odniesieniu do rodzaju kont, jakie będą w PI dostępne i korzystaniem z których kont - w przypadku powszechnych jednostek organizacyjnych prokuratury -założonych dla podmiotów niebędących osobami fizycznym czy imiennych dla prokuratorów i pracowników prokuratury, wiązać się będą skutki procesowe wynikające z terminów doręczeń pism sądowych.</w:t>
            </w:r>
          </w:p>
          <w:p w14:paraId="1391CCFA" w14:textId="439AB08C" w:rsidR="001B587A" w:rsidRPr="002228BA" w:rsidRDefault="001B587A" w:rsidP="00DA6480">
            <w:pPr>
              <w:pStyle w:val="Bezodstpw"/>
              <w:jc w:val="both"/>
              <w:rPr>
                <w:rFonts w:cs="Times New Roman"/>
                <w:sz w:val="20"/>
                <w:szCs w:val="20"/>
              </w:rPr>
            </w:pPr>
          </w:p>
        </w:tc>
        <w:tc>
          <w:tcPr>
            <w:tcW w:w="4816" w:type="dxa"/>
          </w:tcPr>
          <w:p w14:paraId="5B71591A" w14:textId="6DE2CAC9" w:rsidR="001B587A" w:rsidRPr="002228BA" w:rsidRDefault="00A764C3" w:rsidP="00AB0FF4">
            <w:pPr>
              <w:pStyle w:val="Bezodstpw"/>
              <w:jc w:val="both"/>
              <w:rPr>
                <w:rFonts w:cs="Times New Roman"/>
                <w:b/>
                <w:bCs/>
                <w:sz w:val="20"/>
                <w:szCs w:val="20"/>
              </w:rPr>
            </w:pPr>
            <w:r w:rsidRPr="002228BA">
              <w:rPr>
                <w:rFonts w:cs="Times New Roman"/>
                <w:b/>
                <w:bCs/>
                <w:sz w:val="20"/>
                <w:szCs w:val="20"/>
              </w:rPr>
              <w:t xml:space="preserve">Uwaga uwzględniona. </w:t>
            </w:r>
          </w:p>
        </w:tc>
      </w:tr>
      <w:tr w:rsidR="002228BA" w:rsidRPr="002228BA" w14:paraId="4AF5887F" w14:textId="77777777" w:rsidTr="00F0600D">
        <w:trPr>
          <w:trHeight w:val="1098"/>
        </w:trPr>
        <w:tc>
          <w:tcPr>
            <w:tcW w:w="834" w:type="dxa"/>
          </w:tcPr>
          <w:p w14:paraId="00806A09" w14:textId="15C22730" w:rsidR="00F000DB" w:rsidRPr="002228BA" w:rsidRDefault="008138E3" w:rsidP="009E22C2">
            <w:pPr>
              <w:pStyle w:val="Bezodstpw"/>
              <w:jc w:val="center"/>
              <w:rPr>
                <w:rFonts w:cs="Times New Roman"/>
                <w:sz w:val="20"/>
                <w:szCs w:val="20"/>
              </w:rPr>
            </w:pPr>
            <w:r w:rsidRPr="002228BA">
              <w:rPr>
                <w:rFonts w:cs="Times New Roman"/>
                <w:sz w:val="20"/>
                <w:szCs w:val="20"/>
              </w:rPr>
              <w:t>12</w:t>
            </w:r>
          </w:p>
        </w:tc>
        <w:tc>
          <w:tcPr>
            <w:tcW w:w="1566" w:type="dxa"/>
          </w:tcPr>
          <w:p w14:paraId="60DA3AED" w14:textId="74AFB07F" w:rsidR="001E1948" w:rsidRPr="002228BA" w:rsidRDefault="00020B66" w:rsidP="00F00F5B">
            <w:pPr>
              <w:autoSpaceDE w:val="0"/>
              <w:autoSpaceDN w:val="0"/>
              <w:adjustRightInd w:val="0"/>
              <w:jc w:val="center"/>
              <w:rPr>
                <w:rFonts w:cs="Times New Roman"/>
                <w:b/>
                <w:bCs/>
                <w:sz w:val="20"/>
                <w:szCs w:val="20"/>
              </w:rPr>
            </w:pPr>
            <w:r w:rsidRPr="002228BA">
              <w:rPr>
                <w:rFonts w:cs="Times New Roman"/>
                <w:b/>
                <w:bCs/>
                <w:sz w:val="20"/>
                <w:szCs w:val="20"/>
              </w:rPr>
              <w:t>§ 2 ust. 1 pkt 1</w:t>
            </w:r>
            <w:r w:rsidR="007548FF" w:rsidRPr="002228BA">
              <w:rPr>
                <w:rFonts w:cs="Times New Roman"/>
                <w:b/>
                <w:bCs/>
                <w:sz w:val="20"/>
                <w:szCs w:val="20"/>
              </w:rPr>
              <w:t>)</w:t>
            </w:r>
            <w:r w:rsidR="001E1948" w:rsidRPr="002228BA">
              <w:rPr>
                <w:rFonts w:cs="Times New Roman"/>
                <w:b/>
                <w:bCs/>
                <w:sz w:val="20"/>
                <w:szCs w:val="20"/>
              </w:rPr>
              <w:t>, 3</w:t>
            </w:r>
            <w:r w:rsidR="007E046D" w:rsidRPr="002228BA">
              <w:rPr>
                <w:rFonts w:cs="Times New Roman"/>
                <w:b/>
                <w:bCs/>
                <w:sz w:val="20"/>
                <w:szCs w:val="20"/>
              </w:rPr>
              <w:t>)</w:t>
            </w:r>
            <w:r w:rsidR="001E1948" w:rsidRPr="002228BA">
              <w:rPr>
                <w:rFonts w:cs="Times New Roman"/>
                <w:b/>
                <w:bCs/>
                <w:sz w:val="20"/>
                <w:szCs w:val="20"/>
              </w:rPr>
              <w:t xml:space="preserve"> i 7</w:t>
            </w:r>
            <w:r w:rsidR="007E046D" w:rsidRPr="002228BA">
              <w:rPr>
                <w:rFonts w:cs="Times New Roman"/>
                <w:b/>
                <w:bCs/>
                <w:sz w:val="20"/>
                <w:szCs w:val="20"/>
              </w:rPr>
              <w:t>)</w:t>
            </w:r>
            <w:r w:rsidR="001E1948" w:rsidRPr="002228BA">
              <w:rPr>
                <w:rFonts w:cs="Times New Roman"/>
                <w:b/>
                <w:bCs/>
                <w:sz w:val="20"/>
                <w:szCs w:val="20"/>
              </w:rPr>
              <w:t xml:space="preserve"> projektu</w:t>
            </w:r>
          </w:p>
          <w:p w14:paraId="1A497E60" w14:textId="77777777" w:rsidR="001E1948" w:rsidRPr="002228BA" w:rsidRDefault="001E1948" w:rsidP="00F00F5B">
            <w:pPr>
              <w:autoSpaceDE w:val="0"/>
              <w:autoSpaceDN w:val="0"/>
              <w:adjustRightInd w:val="0"/>
              <w:jc w:val="center"/>
              <w:rPr>
                <w:rFonts w:cs="Times New Roman"/>
                <w:sz w:val="20"/>
                <w:szCs w:val="20"/>
              </w:rPr>
            </w:pPr>
          </w:p>
          <w:p w14:paraId="14662B99" w14:textId="6A509F47" w:rsidR="00020B66" w:rsidRPr="002228BA" w:rsidRDefault="00020B66" w:rsidP="00F00F5B">
            <w:pPr>
              <w:autoSpaceDE w:val="0"/>
              <w:autoSpaceDN w:val="0"/>
              <w:adjustRightInd w:val="0"/>
              <w:jc w:val="center"/>
              <w:rPr>
                <w:rFonts w:cs="Times New Roman"/>
                <w:sz w:val="20"/>
                <w:szCs w:val="20"/>
              </w:rPr>
            </w:pPr>
          </w:p>
          <w:p w14:paraId="597082AE" w14:textId="77777777" w:rsidR="00F000DB" w:rsidRPr="002228BA" w:rsidRDefault="00F000DB" w:rsidP="00F00F5B">
            <w:pPr>
              <w:pStyle w:val="Bezodstpw"/>
              <w:jc w:val="center"/>
              <w:rPr>
                <w:rFonts w:cs="Times New Roman"/>
                <w:b/>
                <w:bCs/>
                <w:sz w:val="20"/>
                <w:szCs w:val="20"/>
              </w:rPr>
            </w:pPr>
          </w:p>
        </w:tc>
        <w:tc>
          <w:tcPr>
            <w:tcW w:w="2131" w:type="dxa"/>
          </w:tcPr>
          <w:p w14:paraId="4C523BE1" w14:textId="5EB4260B" w:rsidR="00F000DB" w:rsidRPr="002228BA" w:rsidRDefault="006D5E3D" w:rsidP="00F00F5B">
            <w:pPr>
              <w:pStyle w:val="Bezodstpw"/>
              <w:jc w:val="center"/>
              <w:rPr>
                <w:rFonts w:cs="Times New Roman"/>
                <w:b/>
                <w:bCs/>
                <w:sz w:val="20"/>
                <w:szCs w:val="20"/>
              </w:rPr>
            </w:pPr>
            <w:r w:rsidRPr="002228BA">
              <w:rPr>
                <w:rFonts w:cs="Times New Roman"/>
                <w:b/>
                <w:bCs/>
                <w:sz w:val="20"/>
                <w:szCs w:val="20"/>
              </w:rPr>
              <w:t>Prezes PGRP</w:t>
            </w:r>
          </w:p>
        </w:tc>
        <w:tc>
          <w:tcPr>
            <w:tcW w:w="4962" w:type="dxa"/>
          </w:tcPr>
          <w:p w14:paraId="0769179F" w14:textId="77777777" w:rsidR="0013092E" w:rsidRPr="002228BA" w:rsidRDefault="00F000DB" w:rsidP="00005920">
            <w:pPr>
              <w:autoSpaceDE w:val="0"/>
              <w:autoSpaceDN w:val="0"/>
              <w:adjustRightInd w:val="0"/>
              <w:jc w:val="both"/>
              <w:rPr>
                <w:rFonts w:cs="Times New Roman"/>
                <w:sz w:val="20"/>
                <w:szCs w:val="20"/>
              </w:rPr>
            </w:pPr>
            <w:r w:rsidRPr="002228BA">
              <w:rPr>
                <w:rFonts w:cs="Times New Roman"/>
                <w:sz w:val="20"/>
                <w:szCs w:val="20"/>
              </w:rPr>
              <w:t>Nie jest jasna relacja tych pojęć, w szczególności co do Prokuratorii, która obecnie korzysta</w:t>
            </w:r>
            <w:r w:rsidR="00005920" w:rsidRPr="002228BA">
              <w:rPr>
                <w:rFonts w:cs="Times New Roman"/>
                <w:sz w:val="20"/>
                <w:szCs w:val="20"/>
              </w:rPr>
              <w:t xml:space="preserve"> </w:t>
            </w:r>
            <w:r w:rsidRPr="002228BA">
              <w:rPr>
                <w:rFonts w:cs="Times New Roman"/>
                <w:sz w:val="20"/>
                <w:szCs w:val="20"/>
              </w:rPr>
              <w:t>z tzw. konta instytucjonalnego. Może z nich wynikać, że uprawnionym użytkownikiem</w:t>
            </w:r>
            <w:r w:rsidR="00005920" w:rsidRPr="002228BA">
              <w:rPr>
                <w:rFonts w:cs="Times New Roman"/>
                <w:sz w:val="20"/>
                <w:szCs w:val="20"/>
              </w:rPr>
              <w:t xml:space="preserve"> </w:t>
            </w:r>
            <w:r w:rsidRPr="002228BA">
              <w:rPr>
                <w:rFonts w:cs="Times New Roman"/>
                <w:sz w:val="20"/>
                <w:szCs w:val="20"/>
              </w:rPr>
              <w:t>w rozumieniu § 2 ust. 1 pkt 7 jest wyłącznie Prokuratoria jako instytucja, a nie pracownicy</w:t>
            </w:r>
            <w:r w:rsidR="00005920" w:rsidRPr="002228BA">
              <w:rPr>
                <w:rFonts w:cs="Times New Roman"/>
                <w:sz w:val="20"/>
                <w:szCs w:val="20"/>
              </w:rPr>
              <w:t xml:space="preserve"> </w:t>
            </w:r>
            <w:r w:rsidRPr="002228BA">
              <w:rPr>
                <w:rFonts w:cs="Times New Roman"/>
                <w:sz w:val="20"/>
                <w:szCs w:val="20"/>
              </w:rPr>
              <w:t>wykonujący w jej imieniu czynności na koncie instytucjonalnym.</w:t>
            </w:r>
            <w:r w:rsidR="00005920" w:rsidRPr="002228BA">
              <w:rPr>
                <w:rFonts w:cs="Times New Roman"/>
                <w:sz w:val="20"/>
                <w:szCs w:val="20"/>
              </w:rPr>
              <w:t xml:space="preserve"> </w:t>
            </w:r>
          </w:p>
          <w:p w14:paraId="09D016E9" w14:textId="308869BB" w:rsidR="006D5E3D" w:rsidRPr="002228BA" w:rsidRDefault="006D5E3D" w:rsidP="0013092E">
            <w:pPr>
              <w:autoSpaceDE w:val="0"/>
              <w:autoSpaceDN w:val="0"/>
              <w:adjustRightInd w:val="0"/>
              <w:jc w:val="both"/>
              <w:rPr>
                <w:rFonts w:cs="Times New Roman"/>
                <w:sz w:val="20"/>
                <w:szCs w:val="20"/>
              </w:rPr>
            </w:pPr>
          </w:p>
        </w:tc>
        <w:tc>
          <w:tcPr>
            <w:tcW w:w="4816" w:type="dxa"/>
          </w:tcPr>
          <w:p w14:paraId="0F0B98E7" w14:textId="23718D08" w:rsidR="00F000DB" w:rsidRPr="002228BA" w:rsidRDefault="00DC4C42" w:rsidP="00AB0FF4">
            <w:pPr>
              <w:pStyle w:val="Bezodstpw"/>
              <w:jc w:val="both"/>
              <w:rPr>
                <w:rFonts w:cs="Times New Roman"/>
                <w:b/>
                <w:bCs/>
                <w:sz w:val="20"/>
                <w:szCs w:val="20"/>
              </w:rPr>
            </w:pPr>
            <w:r w:rsidRPr="002228BA">
              <w:rPr>
                <w:rFonts w:cs="Times New Roman"/>
                <w:b/>
                <w:bCs/>
                <w:sz w:val="20"/>
                <w:szCs w:val="20"/>
              </w:rPr>
              <w:t xml:space="preserve">Uwaga uwzględniona. </w:t>
            </w:r>
          </w:p>
        </w:tc>
      </w:tr>
      <w:tr w:rsidR="002228BA" w:rsidRPr="002228BA" w14:paraId="324C4D51" w14:textId="77777777" w:rsidTr="00F0600D">
        <w:trPr>
          <w:trHeight w:val="1098"/>
        </w:trPr>
        <w:tc>
          <w:tcPr>
            <w:tcW w:w="834" w:type="dxa"/>
          </w:tcPr>
          <w:p w14:paraId="223421A4" w14:textId="6A8BB508" w:rsidR="00F000DB" w:rsidRPr="002228BA" w:rsidRDefault="008138E3" w:rsidP="009E22C2">
            <w:pPr>
              <w:pStyle w:val="Bezodstpw"/>
              <w:jc w:val="center"/>
              <w:rPr>
                <w:rFonts w:cs="Times New Roman"/>
                <w:sz w:val="20"/>
                <w:szCs w:val="20"/>
              </w:rPr>
            </w:pPr>
            <w:r w:rsidRPr="002228BA">
              <w:rPr>
                <w:rFonts w:cs="Times New Roman"/>
                <w:sz w:val="20"/>
                <w:szCs w:val="20"/>
              </w:rPr>
              <w:t>13</w:t>
            </w:r>
          </w:p>
        </w:tc>
        <w:tc>
          <w:tcPr>
            <w:tcW w:w="1566" w:type="dxa"/>
          </w:tcPr>
          <w:p w14:paraId="4B341412" w14:textId="1B3A363D" w:rsidR="001C201C" w:rsidRPr="002228BA" w:rsidRDefault="007E62AB" w:rsidP="00F00F5B">
            <w:pPr>
              <w:autoSpaceDE w:val="0"/>
              <w:autoSpaceDN w:val="0"/>
              <w:adjustRightInd w:val="0"/>
              <w:jc w:val="center"/>
              <w:rPr>
                <w:rFonts w:cs="Times New Roman"/>
                <w:sz w:val="20"/>
                <w:szCs w:val="20"/>
              </w:rPr>
            </w:pPr>
            <w:r w:rsidRPr="002228BA">
              <w:rPr>
                <w:rFonts w:cs="Times New Roman"/>
                <w:b/>
                <w:bCs/>
                <w:sz w:val="20"/>
                <w:szCs w:val="20"/>
              </w:rPr>
              <w:t>§ 2 ust. 1 pkt 3</w:t>
            </w:r>
            <w:r w:rsidR="007548FF" w:rsidRPr="002228BA">
              <w:rPr>
                <w:rFonts w:cs="Times New Roman"/>
                <w:b/>
                <w:bCs/>
                <w:sz w:val="20"/>
                <w:szCs w:val="20"/>
              </w:rPr>
              <w:t>)</w:t>
            </w:r>
            <w:r w:rsidRPr="002228BA">
              <w:rPr>
                <w:rFonts w:cs="Times New Roman"/>
                <w:b/>
                <w:bCs/>
                <w:sz w:val="20"/>
                <w:szCs w:val="20"/>
              </w:rPr>
              <w:t xml:space="preserve"> projektu w zw. z </w:t>
            </w:r>
            <w:r w:rsidR="001C201C" w:rsidRPr="002228BA">
              <w:rPr>
                <w:rFonts w:cs="Times New Roman"/>
                <w:b/>
                <w:bCs/>
                <w:sz w:val="20"/>
                <w:szCs w:val="20"/>
              </w:rPr>
              <w:t>1 str.</w:t>
            </w:r>
            <w:r w:rsidR="007548FF" w:rsidRPr="002228BA">
              <w:rPr>
                <w:rFonts w:cs="Times New Roman"/>
                <w:b/>
                <w:bCs/>
                <w:sz w:val="20"/>
                <w:szCs w:val="20"/>
              </w:rPr>
              <w:t xml:space="preserve"> - </w:t>
            </w:r>
            <w:r w:rsidR="001C201C" w:rsidRPr="002228BA">
              <w:rPr>
                <w:rFonts w:cs="Times New Roman"/>
                <w:b/>
                <w:bCs/>
                <w:sz w:val="20"/>
                <w:szCs w:val="20"/>
              </w:rPr>
              <w:t xml:space="preserve">akapit 3 uzasadnienia </w:t>
            </w:r>
          </w:p>
          <w:p w14:paraId="44FB5C1B" w14:textId="13327DA2" w:rsidR="00F000DB" w:rsidRPr="002228BA" w:rsidRDefault="00F000DB" w:rsidP="00F00F5B">
            <w:pPr>
              <w:pStyle w:val="Bezodstpw"/>
              <w:jc w:val="center"/>
              <w:rPr>
                <w:rFonts w:cs="Times New Roman"/>
                <w:b/>
                <w:bCs/>
                <w:sz w:val="20"/>
                <w:szCs w:val="20"/>
              </w:rPr>
            </w:pPr>
          </w:p>
        </w:tc>
        <w:tc>
          <w:tcPr>
            <w:tcW w:w="2131" w:type="dxa"/>
          </w:tcPr>
          <w:p w14:paraId="7A09553E" w14:textId="53B9CAC0" w:rsidR="00F000DB" w:rsidRPr="002228BA" w:rsidRDefault="006D5E3D" w:rsidP="00F00F5B">
            <w:pPr>
              <w:pStyle w:val="Bezodstpw"/>
              <w:jc w:val="center"/>
              <w:rPr>
                <w:rFonts w:cs="Times New Roman"/>
                <w:b/>
                <w:bCs/>
                <w:sz w:val="20"/>
                <w:szCs w:val="20"/>
              </w:rPr>
            </w:pPr>
            <w:r w:rsidRPr="002228BA">
              <w:rPr>
                <w:rFonts w:cs="Times New Roman"/>
                <w:b/>
                <w:bCs/>
                <w:sz w:val="20"/>
                <w:szCs w:val="20"/>
              </w:rPr>
              <w:t>Prezes PGRP</w:t>
            </w:r>
          </w:p>
        </w:tc>
        <w:tc>
          <w:tcPr>
            <w:tcW w:w="4962" w:type="dxa"/>
          </w:tcPr>
          <w:p w14:paraId="531818C5" w14:textId="6F014817" w:rsidR="00F000DB" w:rsidRPr="002228BA" w:rsidRDefault="00F000DB" w:rsidP="005013CF">
            <w:pPr>
              <w:autoSpaceDE w:val="0"/>
              <w:autoSpaceDN w:val="0"/>
              <w:adjustRightInd w:val="0"/>
              <w:jc w:val="both"/>
              <w:rPr>
                <w:rFonts w:cs="Times New Roman"/>
                <w:b/>
                <w:bCs/>
                <w:sz w:val="20"/>
                <w:szCs w:val="20"/>
              </w:rPr>
            </w:pPr>
            <w:r w:rsidRPr="002228BA">
              <w:rPr>
                <w:rFonts w:cs="Times New Roman"/>
                <w:sz w:val="20"/>
                <w:szCs w:val="20"/>
              </w:rPr>
              <w:t>Z uzasadnienia proj</w:t>
            </w:r>
            <w:r w:rsidR="00681C9E" w:rsidRPr="002228BA">
              <w:rPr>
                <w:rFonts w:cs="Times New Roman"/>
                <w:sz w:val="20"/>
                <w:szCs w:val="20"/>
              </w:rPr>
              <w:t xml:space="preserve">. </w:t>
            </w:r>
            <w:r w:rsidRPr="002228BA">
              <w:rPr>
                <w:rFonts w:cs="Times New Roman"/>
                <w:sz w:val="20"/>
                <w:szCs w:val="20"/>
              </w:rPr>
              <w:t>wynika, że użytkownikiem konta ma być osoba fizyczna (str. 1, akapit trzeci), natomiast treść § 2 ust. 1 pkt 3 proj</w:t>
            </w:r>
            <w:r w:rsidR="002F5C54" w:rsidRPr="002228BA">
              <w:rPr>
                <w:rFonts w:cs="Times New Roman"/>
                <w:sz w:val="20"/>
                <w:szCs w:val="20"/>
              </w:rPr>
              <w:t xml:space="preserve">. </w:t>
            </w:r>
            <w:r w:rsidRPr="002228BA">
              <w:rPr>
                <w:rFonts w:cs="Times New Roman"/>
                <w:sz w:val="20"/>
                <w:szCs w:val="20"/>
              </w:rPr>
              <w:t>wskazuje, że użytkownikiem ma być</w:t>
            </w:r>
            <w:r w:rsidR="00681C9E" w:rsidRPr="002228BA">
              <w:rPr>
                <w:rFonts w:cs="Times New Roman"/>
                <w:sz w:val="20"/>
                <w:szCs w:val="20"/>
              </w:rPr>
              <w:t xml:space="preserve"> </w:t>
            </w:r>
            <w:r w:rsidRPr="002228BA">
              <w:rPr>
                <w:rFonts w:cs="Times New Roman"/>
                <w:sz w:val="20"/>
                <w:szCs w:val="20"/>
              </w:rPr>
              <w:t>też organ emerytalny i Prokuratoria.</w:t>
            </w:r>
          </w:p>
        </w:tc>
        <w:tc>
          <w:tcPr>
            <w:tcW w:w="4816" w:type="dxa"/>
          </w:tcPr>
          <w:p w14:paraId="5E7B111C" w14:textId="5A4E0CC2" w:rsidR="00F000DB" w:rsidRPr="002228BA" w:rsidRDefault="00FC016E" w:rsidP="00AB0FF4">
            <w:pPr>
              <w:pStyle w:val="Bezodstpw"/>
              <w:jc w:val="both"/>
              <w:rPr>
                <w:rFonts w:cs="Times New Roman"/>
                <w:sz w:val="20"/>
                <w:szCs w:val="20"/>
              </w:rPr>
            </w:pPr>
            <w:r w:rsidRPr="002228BA">
              <w:rPr>
                <w:rFonts w:cs="Times New Roman"/>
                <w:b/>
                <w:bCs/>
                <w:sz w:val="20"/>
                <w:szCs w:val="20"/>
              </w:rPr>
              <w:t>Uwaga uwzględnion</w:t>
            </w:r>
            <w:r w:rsidR="00A764C3" w:rsidRPr="002228BA">
              <w:rPr>
                <w:rFonts w:cs="Times New Roman"/>
                <w:b/>
                <w:bCs/>
                <w:sz w:val="20"/>
                <w:szCs w:val="20"/>
              </w:rPr>
              <w:t>a</w:t>
            </w:r>
            <w:r w:rsidRPr="002228BA">
              <w:rPr>
                <w:rFonts w:cs="Times New Roman"/>
                <w:sz w:val="20"/>
                <w:szCs w:val="20"/>
              </w:rPr>
              <w:t xml:space="preserve">. </w:t>
            </w:r>
          </w:p>
        </w:tc>
      </w:tr>
      <w:tr w:rsidR="002228BA" w:rsidRPr="002228BA" w14:paraId="6FF8DE77" w14:textId="77777777" w:rsidTr="00F0600D">
        <w:trPr>
          <w:trHeight w:val="1098"/>
        </w:trPr>
        <w:tc>
          <w:tcPr>
            <w:tcW w:w="834" w:type="dxa"/>
          </w:tcPr>
          <w:p w14:paraId="7071EE41" w14:textId="5EF5EC2F" w:rsidR="00DA6480" w:rsidRPr="002228BA" w:rsidRDefault="008138E3" w:rsidP="009E22C2">
            <w:pPr>
              <w:pStyle w:val="Bezodstpw"/>
              <w:jc w:val="center"/>
              <w:rPr>
                <w:rFonts w:cs="Times New Roman"/>
                <w:sz w:val="20"/>
                <w:szCs w:val="20"/>
              </w:rPr>
            </w:pPr>
            <w:r w:rsidRPr="002228BA">
              <w:rPr>
                <w:rFonts w:cs="Times New Roman"/>
                <w:sz w:val="20"/>
                <w:szCs w:val="20"/>
              </w:rPr>
              <w:lastRenderedPageBreak/>
              <w:t>14</w:t>
            </w:r>
          </w:p>
        </w:tc>
        <w:tc>
          <w:tcPr>
            <w:tcW w:w="1566" w:type="dxa"/>
          </w:tcPr>
          <w:p w14:paraId="5DCE2906" w14:textId="233F7557" w:rsidR="00DA6480" w:rsidRPr="002228BA" w:rsidRDefault="00DA6480" w:rsidP="00F00F5B">
            <w:pPr>
              <w:pStyle w:val="Bezodstpw"/>
              <w:jc w:val="center"/>
              <w:rPr>
                <w:rFonts w:cs="Times New Roman"/>
                <w:b/>
                <w:bCs/>
                <w:sz w:val="20"/>
                <w:szCs w:val="20"/>
              </w:rPr>
            </w:pPr>
            <w:r w:rsidRPr="002228BA">
              <w:rPr>
                <w:rFonts w:cs="Times New Roman"/>
                <w:b/>
                <w:bCs/>
                <w:sz w:val="20"/>
                <w:szCs w:val="20"/>
              </w:rPr>
              <w:t>§ 2 ust. 1 pkt 3</w:t>
            </w:r>
            <w:r w:rsidR="007548FF" w:rsidRPr="002228BA">
              <w:rPr>
                <w:rFonts w:cs="Times New Roman"/>
                <w:b/>
                <w:bCs/>
                <w:sz w:val="20"/>
                <w:szCs w:val="20"/>
              </w:rPr>
              <w:t>)</w:t>
            </w:r>
            <w:r w:rsidRPr="002228BA">
              <w:rPr>
                <w:rFonts w:cs="Times New Roman"/>
                <w:b/>
                <w:bCs/>
                <w:sz w:val="20"/>
                <w:szCs w:val="20"/>
              </w:rPr>
              <w:t xml:space="preserve"> projektu</w:t>
            </w:r>
          </w:p>
        </w:tc>
        <w:tc>
          <w:tcPr>
            <w:tcW w:w="2131" w:type="dxa"/>
          </w:tcPr>
          <w:p w14:paraId="4908BD4C" w14:textId="7BD70BCC" w:rsidR="00DA6480" w:rsidRPr="002228BA" w:rsidRDefault="00DA6480"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6F52D896" w14:textId="620D8F7B" w:rsidR="00DA6480" w:rsidRPr="002228BA" w:rsidRDefault="00DA6480" w:rsidP="006D0799">
            <w:pPr>
              <w:pStyle w:val="Bezodstpw"/>
              <w:jc w:val="both"/>
              <w:rPr>
                <w:rFonts w:eastAsiaTheme="minorEastAsia" w:cs="Times New Roman"/>
                <w:sz w:val="20"/>
                <w:szCs w:val="20"/>
                <w:lang w:eastAsia="pl-PL"/>
              </w:rPr>
            </w:pPr>
            <w:r w:rsidRPr="002228BA">
              <w:rPr>
                <w:rStyle w:val="FontStyle12"/>
                <w:sz w:val="20"/>
                <w:szCs w:val="20"/>
              </w:rPr>
              <w:t>Taka definicja użytkownika pomija kilkadziesiąt tysięcy kont. Jej pozostawienie wiąże się z koniecznością usunięcia tych kont i pozbawienia uczestników postępowania dostępów do spraw.</w:t>
            </w:r>
          </w:p>
        </w:tc>
        <w:tc>
          <w:tcPr>
            <w:tcW w:w="4816" w:type="dxa"/>
          </w:tcPr>
          <w:p w14:paraId="584BD360" w14:textId="5E94D89E" w:rsidR="003813C6" w:rsidRPr="002228BA" w:rsidRDefault="00B67C75" w:rsidP="00B67C75">
            <w:pPr>
              <w:pStyle w:val="Bezodstpw"/>
              <w:jc w:val="both"/>
              <w:rPr>
                <w:rFonts w:cs="Times New Roman"/>
                <w:sz w:val="20"/>
                <w:szCs w:val="20"/>
              </w:rPr>
            </w:pPr>
            <w:r w:rsidRPr="002228BA">
              <w:rPr>
                <w:rFonts w:cs="Times New Roman"/>
                <w:b/>
                <w:bCs/>
                <w:sz w:val="20"/>
                <w:szCs w:val="20"/>
              </w:rPr>
              <w:t xml:space="preserve">Uwaga uwzględniona </w:t>
            </w:r>
            <w:r w:rsidRPr="002228BA">
              <w:rPr>
                <w:rFonts w:cs="Times New Roman"/>
                <w:sz w:val="20"/>
                <w:szCs w:val="20"/>
              </w:rPr>
              <w:t>– zmieniono definicję użytkownika konta - § 2 pkt 10 projektu</w:t>
            </w:r>
          </w:p>
        </w:tc>
      </w:tr>
      <w:tr w:rsidR="002228BA" w:rsidRPr="002228BA" w14:paraId="0EDA23B3" w14:textId="77777777" w:rsidTr="00F0600D">
        <w:trPr>
          <w:trHeight w:val="1098"/>
        </w:trPr>
        <w:tc>
          <w:tcPr>
            <w:tcW w:w="834" w:type="dxa"/>
          </w:tcPr>
          <w:p w14:paraId="7EE9B8AD" w14:textId="1893D72C" w:rsidR="00DA6480" w:rsidRPr="002228BA" w:rsidRDefault="008138E3" w:rsidP="009E22C2">
            <w:pPr>
              <w:pStyle w:val="Bezodstpw"/>
              <w:jc w:val="center"/>
              <w:rPr>
                <w:rFonts w:cs="Times New Roman"/>
                <w:sz w:val="20"/>
                <w:szCs w:val="20"/>
              </w:rPr>
            </w:pPr>
            <w:r w:rsidRPr="002228BA">
              <w:rPr>
                <w:rFonts w:cs="Times New Roman"/>
                <w:sz w:val="20"/>
                <w:szCs w:val="20"/>
              </w:rPr>
              <w:t>15</w:t>
            </w:r>
          </w:p>
        </w:tc>
        <w:tc>
          <w:tcPr>
            <w:tcW w:w="1566" w:type="dxa"/>
          </w:tcPr>
          <w:p w14:paraId="675ECF3D" w14:textId="26799EF9" w:rsidR="00DA6480" w:rsidRPr="002228BA" w:rsidRDefault="00DA6480" w:rsidP="00F00F5B">
            <w:pPr>
              <w:pStyle w:val="Bezodstpw"/>
              <w:jc w:val="center"/>
              <w:rPr>
                <w:rFonts w:cs="Times New Roman"/>
                <w:b/>
                <w:bCs/>
                <w:sz w:val="20"/>
                <w:szCs w:val="20"/>
              </w:rPr>
            </w:pPr>
            <w:r w:rsidRPr="002228BA">
              <w:rPr>
                <w:rFonts w:cs="Times New Roman"/>
                <w:b/>
                <w:bCs/>
                <w:sz w:val="20"/>
                <w:szCs w:val="20"/>
              </w:rPr>
              <w:t>§ 2 ust. 1 pkt 9</w:t>
            </w:r>
            <w:r w:rsidR="007548FF" w:rsidRPr="002228BA">
              <w:rPr>
                <w:rFonts w:cs="Times New Roman"/>
                <w:b/>
                <w:bCs/>
                <w:sz w:val="20"/>
                <w:szCs w:val="20"/>
              </w:rPr>
              <w:t xml:space="preserve">) </w:t>
            </w:r>
            <w:r w:rsidRPr="002228BA">
              <w:rPr>
                <w:rFonts w:cs="Times New Roman"/>
                <w:b/>
                <w:bCs/>
                <w:sz w:val="20"/>
                <w:szCs w:val="20"/>
              </w:rPr>
              <w:t>projektu</w:t>
            </w:r>
          </w:p>
        </w:tc>
        <w:tc>
          <w:tcPr>
            <w:tcW w:w="2131" w:type="dxa"/>
          </w:tcPr>
          <w:p w14:paraId="3B4143E2" w14:textId="6D9B73AD" w:rsidR="00DA6480" w:rsidRPr="002228BA" w:rsidRDefault="00DA6480"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461FB0EB" w14:textId="68D282DD" w:rsidR="00DA6480" w:rsidRPr="002228BA" w:rsidRDefault="00DA6480" w:rsidP="00DA6480">
            <w:pPr>
              <w:pStyle w:val="Bezodstpw"/>
              <w:jc w:val="both"/>
              <w:rPr>
                <w:rStyle w:val="FontStyle12"/>
                <w:sz w:val="20"/>
                <w:szCs w:val="20"/>
              </w:rPr>
            </w:pPr>
            <w:r w:rsidRPr="002228BA">
              <w:rPr>
                <w:rStyle w:val="FontStyle12"/>
                <w:sz w:val="20"/>
                <w:szCs w:val="20"/>
              </w:rPr>
              <w:t>Obecnie identyfikatorem osoby fizycznej jest nr PESEL – proponowana zmiana stanowi istotną ingerencję w architekturę PI i może nie być możliwe jej wdrożenie do 14 marca 2024</w:t>
            </w:r>
            <w:r w:rsidR="00460E47" w:rsidRPr="002228BA">
              <w:rPr>
                <w:rStyle w:val="FontStyle12"/>
                <w:sz w:val="20"/>
                <w:szCs w:val="20"/>
              </w:rPr>
              <w:t xml:space="preserve"> </w:t>
            </w:r>
            <w:r w:rsidRPr="002228BA">
              <w:rPr>
                <w:rStyle w:val="FontStyle12"/>
                <w:sz w:val="20"/>
                <w:szCs w:val="20"/>
              </w:rPr>
              <w:t>r. Ponadto wskazane zostało, że identyfikator nie powinien być zmienny (dot. lit e) i nie powinien bazować na nr legitymacji (po pierwsze może ulec zmianie jak ktoś zmieni korporację, a po drugie wymaga ponownego założenia konta w momencie utraty uprawnień (lit d).</w:t>
            </w:r>
          </w:p>
          <w:p w14:paraId="51D5FE15" w14:textId="77777777" w:rsidR="00DA6480" w:rsidRPr="002228BA" w:rsidRDefault="00DA6480" w:rsidP="006D0799">
            <w:pPr>
              <w:pStyle w:val="Bezodstpw"/>
              <w:jc w:val="both"/>
              <w:rPr>
                <w:rFonts w:eastAsiaTheme="minorEastAsia" w:cs="Times New Roman"/>
                <w:sz w:val="20"/>
                <w:szCs w:val="20"/>
                <w:lang w:eastAsia="pl-PL"/>
              </w:rPr>
            </w:pPr>
          </w:p>
        </w:tc>
        <w:tc>
          <w:tcPr>
            <w:tcW w:w="4816" w:type="dxa"/>
          </w:tcPr>
          <w:p w14:paraId="19814253" w14:textId="0F471053" w:rsidR="003813C6" w:rsidRPr="002228BA" w:rsidRDefault="00B67C75" w:rsidP="00B67C75">
            <w:pPr>
              <w:pStyle w:val="Bezodstpw"/>
              <w:jc w:val="both"/>
              <w:rPr>
                <w:rFonts w:cs="Times New Roman"/>
                <w:sz w:val="20"/>
                <w:szCs w:val="20"/>
              </w:rPr>
            </w:pPr>
            <w:r w:rsidRPr="002228BA">
              <w:rPr>
                <w:rFonts w:cs="Times New Roman"/>
                <w:b/>
                <w:bCs/>
                <w:sz w:val="20"/>
                <w:szCs w:val="20"/>
              </w:rPr>
              <w:t xml:space="preserve">Uwaga uwzględniona </w:t>
            </w:r>
            <w:r w:rsidRPr="002228BA">
              <w:rPr>
                <w:rFonts w:cs="Times New Roman"/>
                <w:sz w:val="20"/>
                <w:szCs w:val="20"/>
              </w:rPr>
              <w:t>– zmieniono definicję identyfikatora osoby fizycznej - § 2 pkt 12 projektu.</w:t>
            </w:r>
            <w:r w:rsidRPr="002228BA">
              <w:rPr>
                <w:rFonts w:cs="Times New Roman"/>
                <w:b/>
                <w:bCs/>
                <w:sz w:val="20"/>
                <w:szCs w:val="20"/>
              </w:rPr>
              <w:t xml:space="preserve">  </w:t>
            </w:r>
          </w:p>
        </w:tc>
      </w:tr>
      <w:tr w:rsidR="002228BA" w:rsidRPr="002228BA" w14:paraId="6429A122" w14:textId="77777777" w:rsidTr="00F0600D">
        <w:trPr>
          <w:trHeight w:val="1098"/>
        </w:trPr>
        <w:tc>
          <w:tcPr>
            <w:tcW w:w="834" w:type="dxa"/>
          </w:tcPr>
          <w:p w14:paraId="3AF75F58" w14:textId="2B871238" w:rsidR="00DA6480" w:rsidRPr="002228BA" w:rsidRDefault="008138E3" w:rsidP="009E22C2">
            <w:pPr>
              <w:pStyle w:val="Bezodstpw"/>
              <w:jc w:val="center"/>
              <w:rPr>
                <w:rFonts w:cs="Times New Roman"/>
                <w:sz w:val="20"/>
                <w:szCs w:val="20"/>
              </w:rPr>
            </w:pPr>
            <w:r w:rsidRPr="002228BA">
              <w:rPr>
                <w:rFonts w:cs="Times New Roman"/>
                <w:sz w:val="20"/>
                <w:szCs w:val="20"/>
              </w:rPr>
              <w:t>16</w:t>
            </w:r>
          </w:p>
        </w:tc>
        <w:tc>
          <w:tcPr>
            <w:tcW w:w="1566" w:type="dxa"/>
          </w:tcPr>
          <w:p w14:paraId="2C176EE4" w14:textId="4FB08548" w:rsidR="00DA6480" w:rsidRPr="002228BA" w:rsidRDefault="00DA6480" w:rsidP="00DA6480">
            <w:pPr>
              <w:pStyle w:val="Bezodstpw"/>
              <w:jc w:val="center"/>
              <w:rPr>
                <w:rFonts w:cs="Times New Roman"/>
                <w:b/>
                <w:bCs/>
                <w:sz w:val="20"/>
                <w:szCs w:val="20"/>
              </w:rPr>
            </w:pPr>
            <w:r w:rsidRPr="002228BA">
              <w:rPr>
                <w:rFonts w:cs="Times New Roman"/>
                <w:b/>
                <w:bCs/>
                <w:sz w:val="20"/>
                <w:szCs w:val="20"/>
              </w:rPr>
              <w:t>§ 2 ust. 1 pkt 9</w:t>
            </w:r>
            <w:r w:rsidR="007548FF" w:rsidRPr="002228BA">
              <w:rPr>
                <w:rFonts w:cs="Times New Roman"/>
                <w:b/>
                <w:bCs/>
                <w:sz w:val="20"/>
                <w:szCs w:val="20"/>
              </w:rPr>
              <w:t>)</w:t>
            </w:r>
            <w:r w:rsidRPr="002228BA">
              <w:rPr>
                <w:rFonts w:cs="Times New Roman"/>
                <w:b/>
                <w:bCs/>
                <w:sz w:val="20"/>
                <w:szCs w:val="20"/>
              </w:rPr>
              <w:t xml:space="preserve"> lit. d</w:t>
            </w:r>
            <w:r w:rsidR="007548FF" w:rsidRPr="002228BA">
              <w:rPr>
                <w:rFonts w:cs="Times New Roman"/>
                <w:b/>
                <w:bCs/>
                <w:sz w:val="20"/>
                <w:szCs w:val="20"/>
              </w:rPr>
              <w:t>)</w:t>
            </w:r>
            <w:r w:rsidRPr="002228BA">
              <w:rPr>
                <w:rFonts w:cs="Times New Roman"/>
                <w:b/>
                <w:bCs/>
                <w:sz w:val="20"/>
                <w:szCs w:val="20"/>
              </w:rPr>
              <w:t xml:space="preserve"> w zw. z</w:t>
            </w:r>
          </w:p>
          <w:p w14:paraId="3F118F22" w14:textId="1A05FCFE" w:rsidR="00DA6480" w:rsidRPr="002228BA" w:rsidRDefault="00DA6480" w:rsidP="00DA6480">
            <w:pPr>
              <w:pStyle w:val="Bezodstpw"/>
              <w:jc w:val="center"/>
              <w:rPr>
                <w:rFonts w:cs="Times New Roman"/>
                <w:b/>
                <w:bCs/>
                <w:sz w:val="20"/>
                <w:szCs w:val="20"/>
              </w:rPr>
            </w:pPr>
            <w:r w:rsidRPr="002228BA">
              <w:rPr>
                <w:rFonts w:cs="Times New Roman"/>
                <w:b/>
                <w:bCs/>
                <w:sz w:val="20"/>
                <w:szCs w:val="20"/>
              </w:rPr>
              <w:t>§ 3 ust. 2</w:t>
            </w:r>
            <w:r w:rsidRPr="002228BA">
              <w:rPr>
                <w:rFonts w:cs="Times New Roman"/>
                <w:sz w:val="20"/>
                <w:szCs w:val="20"/>
              </w:rPr>
              <w:t xml:space="preserve"> </w:t>
            </w:r>
            <w:r w:rsidRPr="002228BA">
              <w:rPr>
                <w:rFonts w:cs="Times New Roman"/>
                <w:b/>
                <w:bCs/>
                <w:sz w:val="20"/>
                <w:szCs w:val="20"/>
              </w:rPr>
              <w:t>projektu</w:t>
            </w:r>
          </w:p>
        </w:tc>
        <w:tc>
          <w:tcPr>
            <w:tcW w:w="2131" w:type="dxa"/>
          </w:tcPr>
          <w:p w14:paraId="1FACCEDD" w14:textId="476AD5BE" w:rsidR="00DA6480" w:rsidRPr="002228BA" w:rsidRDefault="00DA6480" w:rsidP="00F00F5B">
            <w:pPr>
              <w:pStyle w:val="Bezodstpw"/>
              <w:jc w:val="center"/>
              <w:rPr>
                <w:rFonts w:cs="Times New Roman"/>
                <w:b/>
                <w:bCs/>
                <w:sz w:val="20"/>
                <w:szCs w:val="20"/>
              </w:rPr>
            </w:pPr>
            <w:r w:rsidRPr="002228BA">
              <w:rPr>
                <w:rFonts w:cs="Times New Roman"/>
                <w:b/>
                <w:bCs/>
                <w:sz w:val="20"/>
                <w:szCs w:val="20"/>
              </w:rPr>
              <w:t>Prezes UODO</w:t>
            </w:r>
          </w:p>
        </w:tc>
        <w:tc>
          <w:tcPr>
            <w:tcW w:w="4962" w:type="dxa"/>
          </w:tcPr>
          <w:p w14:paraId="27D48514" w14:textId="77777777" w:rsidR="00DA6480" w:rsidRPr="002228BA" w:rsidRDefault="00DA6480" w:rsidP="00DA6480">
            <w:pPr>
              <w:pStyle w:val="Bezodstpw"/>
              <w:jc w:val="both"/>
              <w:rPr>
                <w:rFonts w:cs="Times New Roman"/>
                <w:sz w:val="20"/>
                <w:szCs w:val="20"/>
              </w:rPr>
            </w:pPr>
            <w:r w:rsidRPr="002228BA">
              <w:rPr>
                <w:rFonts w:cs="Times New Roman"/>
                <w:sz w:val="20"/>
                <w:szCs w:val="20"/>
              </w:rPr>
              <w:t xml:space="preserve">Popierane jest wprowadzane w proj. rozporządzeniu, rozwiązanie polegające na dopuszczeniu posługiwania się jako identyfikatorem w PI nr legitymacji służbowej jako alternatywy dla identyfikatorów takich jak: nr PESEL, nr dokumentu tożsamości czy nr paszportu. Rozwiązanie to sprzyja prawu do prywatności dając osobie wykonującej zawód adwokata, radcy prawnego lub rzecznika patentowego możliwość posługiwania się identyfikatorem służącym co do zasady wykonywaniu jego działalności zawodnej. Powstaje natomiast pytanie, czy w świetle unormowań § 3 ust. 2 proj. rozporządzenia będzie istniała możliwość założenia konta w PI w oparciu o nr legitymacji służbowej, gdyż co do zasady nie jest on zawarty w certyfikatach „podpisów elektronicznych”, o których mowa w tym przepisie. Jeżeli więc nr legitymacji służbowej nie może zostać użyty przy zakładaniu konta w PI, a jego użycie jako identyfikatora jest możliwe dopiero w wyniku działań użytkownika, który zdecyduje się na zmianę identyfikatora </w:t>
            </w:r>
            <w:r w:rsidRPr="002228BA">
              <w:rPr>
                <w:rFonts w:cs="Times New Roman"/>
                <w:sz w:val="20"/>
                <w:szCs w:val="20"/>
              </w:rPr>
              <w:lastRenderedPageBreak/>
              <w:t xml:space="preserve">(§ 3 ust. 6 proj.), to powinno to wyraźnie wynikać z przepisów proj. rozporządzenia lub dołączonego do niego uzasadnienia. Odpowiadałoby to zasadzie zgodności z prawem, rzetelności i przejrzystości (art. 5 ust. 1 lit. a rozporządzenia 2016/679). </w:t>
            </w:r>
          </w:p>
          <w:p w14:paraId="4388C103" w14:textId="77777777" w:rsidR="00DA6480" w:rsidRPr="002228BA" w:rsidRDefault="00DA6480" w:rsidP="00DA6480">
            <w:pPr>
              <w:pStyle w:val="Bezodstpw"/>
              <w:jc w:val="both"/>
              <w:rPr>
                <w:rStyle w:val="FontStyle12"/>
                <w:sz w:val="20"/>
                <w:szCs w:val="20"/>
              </w:rPr>
            </w:pPr>
          </w:p>
        </w:tc>
        <w:tc>
          <w:tcPr>
            <w:tcW w:w="4816" w:type="dxa"/>
          </w:tcPr>
          <w:p w14:paraId="30110BBE" w14:textId="3449FB59" w:rsidR="00B67C75" w:rsidRPr="002228BA" w:rsidRDefault="00B67C75" w:rsidP="00B67C75">
            <w:pPr>
              <w:jc w:val="both"/>
              <w:rPr>
                <w:rStyle w:val="Ppogrubienie"/>
                <w:b w:val="0"/>
                <w:sz w:val="20"/>
                <w:szCs w:val="20"/>
              </w:rPr>
            </w:pPr>
            <w:r w:rsidRPr="002228BA">
              <w:rPr>
                <w:rFonts w:cs="Times New Roman"/>
                <w:b/>
                <w:bCs/>
                <w:sz w:val="20"/>
                <w:szCs w:val="20"/>
              </w:rPr>
              <w:lastRenderedPageBreak/>
              <w:t>Uwaga uwzględniona</w:t>
            </w:r>
            <w:r w:rsidRPr="002228BA">
              <w:rPr>
                <w:rFonts w:cs="Times New Roman"/>
                <w:sz w:val="20"/>
                <w:szCs w:val="20"/>
              </w:rPr>
              <w:t xml:space="preserve"> </w:t>
            </w:r>
            <w:r w:rsidRPr="002228BA">
              <w:rPr>
                <w:rStyle w:val="Ppogrubienie"/>
                <w:b w:val="0"/>
                <w:sz w:val="20"/>
                <w:szCs w:val="20"/>
              </w:rPr>
              <w:t>– na skutek uwagi zmieniono definicję, która obecnie jest umieszczona w § 2 pkt 12 projektu. Zgodnie z nią przez – „identyfikator osoby fizycznej – należy rozumieć:</w:t>
            </w:r>
          </w:p>
          <w:p w14:paraId="18FC3F5C" w14:textId="77777777" w:rsidR="00B67C75" w:rsidRPr="002228BA" w:rsidRDefault="00B67C75" w:rsidP="00B67C75">
            <w:pPr>
              <w:jc w:val="both"/>
              <w:rPr>
                <w:rStyle w:val="Ppogrubienie"/>
                <w:b w:val="0"/>
                <w:sz w:val="20"/>
                <w:szCs w:val="20"/>
              </w:rPr>
            </w:pPr>
            <w:r w:rsidRPr="002228BA">
              <w:rPr>
                <w:rStyle w:val="Ppogrubienie"/>
                <w:b w:val="0"/>
                <w:sz w:val="20"/>
                <w:szCs w:val="20"/>
              </w:rPr>
              <w:t>a) osobisty krajowy numer identyfikacyjny (numer PESEL),</w:t>
            </w:r>
          </w:p>
          <w:p w14:paraId="20175CE7" w14:textId="77777777" w:rsidR="00B67C75" w:rsidRPr="002228BA" w:rsidRDefault="00B67C75" w:rsidP="00B67C75">
            <w:pPr>
              <w:jc w:val="both"/>
              <w:rPr>
                <w:rStyle w:val="Ppogrubienie"/>
                <w:b w:val="0"/>
                <w:sz w:val="20"/>
                <w:szCs w:val="20"/>
              </w:rPr>
            </w:pPr>
            <w:r w:rsidRPr="002228BA">
              <w:rPr>
                <w:rStyle w:val="Ppogrubienie"/>
                <w:b w:val="0"/>
                <w:sz w:val="20"/>
                <w:szCs w:val="20"/>
              </w:rPr>
              <w:t>b) unikalny w systemie ciąg znaków ustalany w podczas rejestracji konta, zbudowany z oznaczenia kraju, serii i/lub numeru dokumentu stwierdzającego tożsamość i obywatelstwo, którym posługuje się obcokrajowiec nieposiadający osobistego krajowego numeru identyfikacyjnego.”</w:t>
            </w:r>
          </w:p>
          <w:p w14:paraId="706169ED" w14:textId="1545164C" w:rsidR="00DA6480" w:rsidRPr="002228BA" w:rsidRDefault="00DA6480" w:rsidP="00AB0FF4">
            <w:pPr>
              <w:pStyle w:val="Bezodstpw"/>
              <w:jc w:val="both"/>
              <w:rPr>
                <w:rFonts w:cs="Times New Roman"/>
                <w:sz w:val="20"/>
                <w:szCs w:val="20"/>
              </w:rPr>
            </w:pPr>
          </w:p>
        </w:tc>
      </w:tr>
      <w:tr w:rsidR="002228BA" w:rsidRPr="002228BA" w14:paraId="38C69CFD" w14:textId="77777777" w:rsidTr="00F0600D">
        <w:trPr>
          <w:trHeight w:val="1098"/>
        </w:trPr>
        <w:tc>
          <w:tcPr>
            <w:tcW w:w="834" w:type="dxa"/>
          </w:tcPr>
          <w:p w14:paraId="66E3BEFA" w14:textId="6942E82E" w:rsidR="00C72DF2" w:rsidRPr="002228BA" w:rsidRDefault="008138E3" w:rsidP="009E22C2">
            <w:pPr>
              <w:pStyle w:val="Bezodstpw"/>
              <w:jc w:val="center"/>
              <w:rPr>
                <w:rFonts w:cs="Times New Roman"/>
                <w:sz w:val="20"/>
                <w:szCs w:val="20"/>
              </w:rPr>
            </w:pPr>
            <w:r w:rsidRPr="002228BA">
              <w:rPr>
                <w:rFonts w:cs="Times New Roman"/>
                <w:sz w:val="20"/>
                <w:szCs w:val="20"/>
              </w:rPr>
              <w:t>17</w:t>
            </w:r>
          </w:p>
        </w:tc>
        <w:tc>
          <w:tcPr>
            <w:tcW w:w="1566" w:type="dxa"/>
          </w:tcPr>
          <w:p w14:paraId="4A226BA4" w14:textId="41F5F48C" w:rsidR="00C72DF2" w:rsidRPr="002228BA" w:rsidRDefault="00C72DF2" w:rsidP="00F00F5B">
            <w:pPr>
              <w:pStyle w:val="Bezodstpw"/>
              <w:jc w:val="center"/>
              <w:rPr>
                <w:rFonts w:cs="Times New Roman"/>
                <w:b/>
                <w:bCs/>
                <w:sz w:val="20"/>
                <w:szCs w:val="20"/>
              </w:rPr>
            </w:pPr>
            <w:r w:rsidRPr="002228BA">
              <w:rPr>
                <w:rFonts w:eastAsiaTheme="minorEastAsia" w:cs="Times New Roman"/>
                <w:b/>
                <w:bCs/>
                <w:sz w:val="20"/>
                <w:szCs w:val="20"/>
                <w:lang w:eastAsia="pl-PL"/>
              </w:rPr>
              <w:t xml:space="preserve">§ 2 </w:t>
            </w:r>
            <w:r w:rsidR="00DA6480" w:rsidRPr="002228BA">
              <w:rPr>
                <w:rFonts w:eastAsiaTheme="minorEastAsia" w:cs="Times New Roman"/>
                <w:b/>
                <w:bCs/>
                <w:sz w:val="20"/>
                <w:szCs w:val="20"/>
                <w:lang w:eastAsia="pl-PL"/>
              </w:rPr>
              <w:t xml:space="preserve">ust. 1 </w:t>
            </w:r>
            <w:r w:rsidRPr="002228BA">
              <w:rPr>
                <w:rFonts w:eastAsiaTheme="minorEastAsia" w:cs="Times New Roman"/>
                <w:b/>
                <w:bCs/>
                <w:sz w:val="20"/>
                <w:szCs w:val="20"/>
                <w:lang w:eastAsia="pl-PL"/>
              </w:rPr>
              <w:t>pkt 10</w:t>
            </w:r>
            <w:r w:rsidR="007548FF" w:rsidRPr="002228BA">
              <w:rPr>
                <w:rFonts w:eastAsiaTheme="minorEastAsia" w:cs="Times New Roman"/>
                <w:b/>
                <w:bCs/>
                <w:sz w:val="20"/>
                <w:szCs w:val="20"/>
                <w:lang w:eastAsia="pl-PL"/>
              </w:rPr>
              <w:t>)</w:t>
            </w:r>
            <w:r w:rsidRPr="002228BA">
              <w:rPr>
                <w:rFonts w:eastAsiaTheme="minorEastAsia" w:cs="Times New Roman"/>
                <w:b/>
                <w:bCs/>
                <w:sz w:val="20"/>
                <w:szCs w:val="20"/>
                <w:lang w:eastAsia="pl-PL"/>
              </w:rPr>
              <w:t xml:space="preserve"> projektu</w:t>
            </w:r>
          </w:p>
        </w:tc>
        <w:tc>
          <w:tcPr>
            <w:tcW w:w="2131" w:type="dxa"/>
          </w:tcPr>
          <w:p w14:paraId="25883EDB" w14:textId="474E459D" w:rsidR="00C72DF2" w:rsidRPr="002228BA" w:rsidRDefault="00C72DF2" w:rsidP="00F00F5B">
            <w:pPr>
              <w:pStyle w:val="Bezodstpw"/>
              <w:jc w:val="center"/>
              <w:rPr>
                <w:rFonts w:cs="Times New Roman"/>
                <w:b/>
                <w:bCs/>
                <w:sz w:val="20"/>
                <w:szCs w:val="20"/>
              </w:rPr>
            </w:pPr>
            <w:r w:rsidRPr="002228BA">
              <w:rPr>
                <w:rFonts w:cs="Times New Roman"/>
                <w:b/>
                <w:bCs/>
                <w:sz w:val="20"/>
                <w:szCs w:val="20"/>
              </w:rPr>
              <w:t>Prokurator Krajowy</w:t>
            </w:r>
          </w:p>
        </w:tc>
        <w:tc>
          <w:tcPr>
            <w:tcW w:w="4962" w:type="dxa"/>
          </w:tcPr>
          <w:p w14:paraId="48391CE8" w14:textId="77777777" w:rsidR="00C72DF2" w:rsidRPr="002228BA" w:rsidRDefault="00C72DF2" w:rsidP="00C72DF2">
            <w:pPr>
              <w:pStyle w:val="Bezodstpw"/>
              <w:jc w:val="both"/>
              <w:rPr>
                <w:rFonts w:eastAsiaTheme="minorEastAsia" w:cs="Times New Roman"/>
                <w:sz w:val="20"/>
                <w:szCs w:val="20"/>
                <w:lang w:eastAsia="pl-PL"/>
              </w:rPr>
            </w:pPr>
            <w:r w:rsidRPr="002228BA">
              <w:rPr>
                <w:rFonts w:eastAsiaTheme="minorEastAsia" w:cs="Times New Roman"/>
                <w:sz w:val="20"/>
                <w:szCs w:val="20"/>
                <w:lang w:eastAsia="pl-PL"/>
              </w:rPr>
              <w:t>Przy założeniu, że powszechne jednostki organizacyjne prokuratury będą zakładały konta jako podmioty niebędące osobą fizyczną (i będą to konta instytucjonalne), doprecyzowania wymaga także proj. przepis wskazujący, że identyfikatorem takiego podmiotu może być NIP albo inne dane pozwalające zidentyfikować jednostkę organizacyjną sektora finansów publicznych. Z uwagi na to, że prokuratury rejonowe nie mają nadanego numeru NIP, w celu wyeliminowania rozbieżności, jakie mogą powstać przy interpretacji proj. zapisu, należy wprowadzić jasne kryteria danych pozwalających na zidentyfikowanie jednostki.</w:t>
            </w:r>
          </w:p>
          <w:p w14:paraId="76E02DF3" w14:textId="6566DA6A" w:rsidR="00AD1F12" w:rsidRPr="002228BA" w:rsidRDefault="00AD1F12" w:rsidP="00C72DF2">
            <w:pPr>
              <w:pStyle w:val="Bezodstpw"/>
              <w:jc w:val="both"/>
              <w:rPr>
                <w:rFonts w:eastAsiaTheme="minorEastAsia" w:cs="Times New Roman"/>
                <w:sz w:val="20"/>
                <w:szCs w:val="20"/>
                <w:lang w:eastAsia="pl-PL"/>
              </w:rPr>
            </w:pPr>
          </w:p>
        </w:tc>
        <w:tc>
          <w:tcPr>
            <w:tcW w:w="4816" w:type="dxa"/>
          </w:tcPr>
          <w:p w14:paraId="5E8AE27B" w14:textId="77777777" w:rsidR="00C72DF2" w:rsidRPr="002228BA" w:rsidRDefault="00250E8C" w:rsidP="00AB0FF4">
            <w:pPr>
              <w:pStyle w:val="Bezodstpw"/>
              <w:jc w:val="both"/>
              <w:rPr>
                <w:rFonts w:cs="Times New Roman"/>
                <w:b/>
                <w:bCs/>
                <w:sz w:val="20"/>
                <w:szCs w:val="20"/>
              </w:rPr>
            </w:pPr>
            <w:r w:rsidRPr="002228BA">
              <w:rPr>
                <w:rFonts w:cs="Times New Roman"/>
                <w:b/>
                <w:bCs/>
                <w:sz w:val="20"/>
                <w:szCs w:val="20"/>
              </w:rPr>
              <w:t xml:space="preserve">Uwaga częściowo uwzględniona. </w:t>
            </w:r>
          </w:p>
          <w:p w14:paraId="114FADAE" w14:textId="72D49A77" w:rsidR="00250E8C" w:rsidRPr="002228BA" w:rsidRDefault="00250E8C" w:rsidP="00AB0FF4">
            <w:pPr>
              <w:pStyle w:val="Bezodstpw"/>
              <w:jc w:val="both"/>
              <w:rPr>
                <w:rFonts w:cs="Times New Roman"/>
                <w:sz w:val="20"/>
                <w:szCs w:val="20"/>
                <w:highlight w:val="cyan"/>
              </w:rPr>
            </w:pPr>
            <w:bookmarkStart w:id="1" w:name="_Hlk158030764"/>
            <w:r w:rsidRPr="002228BA">
              <w:rPr>
                <w:rFonts w:cs="Times New Roman"/>
                <w:sz w:val="20"/>
                <w:szCs w:val="20"/>
              </w:rPr>
              <w:t xml:space="preserve">W celu realizacji postulatu zawartego w niniejszej uwadze, projekt uzupełniono o przepisy dotyczące konta instytucjonalnego. Odnośnie zaś do kwestii identyfikatora podmiotu publicznego (takim bowiem pojęciem posługuje się obecnie projekt), to należy zauważyć, że zgodnie z proj. § 5 ust. 3 zgłoszenie podmiotu publicznego będzie zawierało m. in. numer NIP lub inne dane pozwalające zidentyfikować podmiot publiczny. Natomiast </w:t>
            </w:r>
            <w:r w:rsidR="004E203D" w:rsidRPr="002228BA">
              <w:rPr>
                <w:rFonts w:cs="Times New Roman"/>
                <w:sz w:val="20"/>
                <w:szCs w:val="20"/>
              </w:rPr>
              <w:t>identyfikatorem</w:t>
            </w:r>
            <w:r w:rsidRPr="002228BA">
              <w:rPr>
                <w:rFonts w:cs="Times New Roman"/>
                <w:sz w:val="20"/>
                <w:szCs w:val="20"/>
              </w:rPr>
              <w:t xml:space="preserve"> osoby publicznej to niepowtarzalny ciąg znaków pozwalający zidentyfikować podmiot publiczny, który będzie nadawany po </w:t>
            </w:r>
            <w:r w:rsidR="004E203D" w:rsidRPr="002228BA">
              <w:rPr>
                <w:rFonts w:cs="Times New Roman"/>
                <w:sz w:val="20"/>
                <w:szCs w:val="20"/>
              </w:rPr>
              <w:t xml:space="preserve">założeniu konta instytucjonalnego. </w:t>
            </w:r>
            <w:bookmarkEnd w:id="1"/>
          </w:p>
        </w:tc>
      </w:tr>
      <w:tr w:rsidR="002228BA" w:rsidRPr="002228BA" w14:paraId="0D30EEE6" w14:textId="77777777" w:rsidTr="00F0600D">
        <w:trPr>
          <w:trHeight w:val="1098"/>
        </w:trPr>
        <w:tc>
          <w:tcPr>
            <w:tcW w:w="834" w:type="dxa"/>
          </w:tcPr>
          <w:p w14:paraId="4DE634F0" w14:textId="04BF04F7" w:rsidR="00985A4B" w:rsidRPr="002228BA" w:rsidRDefault="008138E3" w:rsidP="009E22C2">
            <w:pPr>
              <w:pStyle w:val="Bezodstpw"/>
              <w:jc w:val="center"/>
              <w:rPr>
                <w:rFonts w:cs="Times New Roman"/>
                <w:sz w:val="20"/>
                <w:szCs w:val="20"/>
              </w:rPr>
            </w:pPr>
            <w:r w:rsidRPr="002228BA">
              <w:rPr>
                <w:rFonts w:cs="Times New Roman"/>
                <w:sz w:val="20"/>
                <w:szCs w:val="20"/>
              </w:rPr>
              <w:t>18</w:t>
            </w:r>
          </w:p>
        </w:tc>
        <w:tc>
          <w:tcPr>
            <w:tcW w:w="1566" w:type="dxa"/>
          </w:tcPr>
          <w:p w14:paraId="1389BD0C" w14:textId="13B36D16" w:rsidR="00985A4B" w:rsidRPr="002228BA" w:rsidRDefault="00985A4B" w:rsidP="00F00F5B">
            <w:pPr>
              <w:pStyle w:val="Bezodstpw"/>
              <w:jc w:val="center"/>
              <w:rPr>
                <w:rFonts w:cs="Times New Roman"/>
                <w:b/>
                <w:bCs/>
                <w:sz w:val="20"/>
                <w:szCs w:val="20"/>
              </w:rPr>
            </w:pPr>
            <w:r w:rsidRPr="002228BA">
              <w:rPr>
                <w:rFonts w:cs="Times New Roman"/>
                <w:b/>
                <w:bCs/>
                <w:sz w:val="20"/>
                <w:szCs w:val="20"/>
              </w:rPr>
              <w:t>§ 2 ust. 1 pkt 11</w:t>
            </w:r>
            <w:r w:rsidR="007548FF" w:rsidRPr="002228BA">
              <w:rPr>
                <w:rFonts w:cs="Times New Roman"/>
                <w:b/>
                <w:bCs/>
                <w:sz w:val="20"/>
                <w:szCs w:val="20"/>
              </w:rPr>
              <w:t>)</w:t>
            </w:r>
            <w:r w:rsidR="004F63E7" w:rsidRPr="002228BA">
              <w:rPr>
                <w:rFonts w:cs="Times New Roman"/>
                <w:b/>
                <w:bCs/>
                <w:sz w:val="20"/>
                <w:szCs w:val="20"/>
              </w:rPr>
              <w:t xml:space="preserve"> projektu</w:t>
            </w:r>
          </w:p>
        </w:tc>
        <w:tc>
          <w:tcPr>
            <w:tcW w:w="2131" w:type="dxa"/>
          </w:tcPr>
          <w:p w14:paraId="26263161" w14:textId="3B9A10E9"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22411CAC" w14:textId="6984F36C" w:rsidR="00985A4B" w:rsidRPr="002228BA" w:rsidRDefault="00985A4B" w:rsidP="00AB0FF4">
            <w:pPr>
              <w:pStyle w:val="Bezodstpw"/>
              <w:jc w:val="both"/>
              <w:rPr>
                <w:rStyle w:val="FontStyle12"/>
                <w:sz w:val="20"/>
                <w:szCs w:val="20"/>
              </w:rPr>
            </w:pPr>
            <w:r w:rsidRPr="002228BA">
              <w:rPr>
                <w:rStyle w:val="FontStyle12"/>
                <w:sz w:val="20"/>
                <w:szCs w:val="20"/>
              </w:rPr>
              <w:t>W PI istnieje już alternatywny login więc użytkownik nie musi się logować swoim identyfikatorem konta.</w:t>
            </w:r>
          </w:p>
        </w:tc>
        <w:tc>
          <w:tcPr>
            <w:tcW w:w="4816" w:type="dxa"/>
          </w:tcPr>
          <w:p w14:paraId="36F5C26F" w14:textId="1DE4834A" w:rsidR="003813C6" w:rsidRPr="002228BA" w:rsidRDefault="006B1011" w:rsidP="00854708">
            <w:pPr>
              <w:pStyle w:val="Bezodstpw"/>
              <w:jc w:val="both"/>
              <w:rPr>
                <w:rFonts w:cs="Times New Roman"/>
                <w:sz w:val="20"/>
                <w:szCs w:val="20"/>
              </w:rPr>
            </w:pPr>
            <w:r w:rsidRPr="002228BA">
              <w:rPr>
                <w:rFonts w:cs="Times New Roman"/>
                <w:b/>
                <w:bCs/>
                <w:sz w:val="20"/>
                <w:szCs w:val="20"/>
              </w:rPr>
              <w:t xml:space="preserve">Uwaga nieuwzględniona; wyjaśniona.  </w:t>
            </w:r>
          </w:p>
        </w:tc>
      </w:tr>
      <w:tr w:rsidR="002228BA" w:rsidRPr="002228BA" w14:paraId="0AE36520" w14:textId="77777777" w:rsidTr="00F0600D">
        <w:trPr>
          <w:trHeight w:val="1098"/>
        </w:trPr>
        <w:tc>
          <w:tcPr>
            <w:tcW w:w="834" w:type="dxa"/>
          </w:tcPr>
          <w:p w14:paraId="04E650D3" w14:textId="18003028" w:rsidR="00985A4B" w:rsidRPr="002228BA" w:rsidRDefault="008138E3" w:rsidP="009E22C2">
            <w:pPr>
              <w:pStyle w:val="Bezodstpw"/>
              <w:jc w:val="center"/>
              <w:rPr>
                <w:rFonts w:cs="Times New Roman"/>
                <w:sz w:val="20"/>
                <w:szCs w:val="20"/>
              </w:rPr>
            </w:pPr>
            <w:r w:rsidRPr="002228BA">
              <w:rPr>
                <w:rFonts w:cs="Times New Roman"/>
                <w:sz w:val="20"/>
                <w:szCs w:val="20"/>
              </w:rPr>
              <w:t>19</w:t>
            </w:r>
          </w:p>
        </w:tc>
        <w:tc>
          <w:tcPr>
            <w:tcW w:w="1566" w:type="dxa"/>
          </w:tcPr>
          <w:p w14:paraId="12B75C23" w14:textId="656CB0BE" w:rsidR="00985A4B" w:rsidRPr="002228BA" w:rsidRDefault="00985A4B" w:rsidP="00F00F5B">
            <w:pPr>
              <w:pStyle w:val="Bezodstpw"/>
              <w:jc w:val="center"/>
              <w:rPr>
                <w:rFonts w:cs="Times New Roman"/>
                <w:b/>
                <w:bCs/>
                <w:sz w:val="20"/>
                <w:szCs w:val="20"/>
              </w:rPr>
            </w:pPr>
            <w:r w:rsidRPr="002228BA">
              <w:rPr>
                <w:rFonts w:cs="Times New Roman"/>
                <w:b/>
                <w:bCs/>
                <w:sz w:val="20"/>
                <w:szCs w:val="20"/>
              </w:rPr>
              <w:t>§ 2 ust. 1 pkt 12</w:t>
            </w:r>
            <w:r w:rsidR="007548FF" w:rsidRPr="002228BA">
              <w:rPr>
                <w:rFonts w:cs="Times New Roman"/>
                <w:b/>
                <w:bCs/>
                <w:sz w:val="20"/>
                <w:szCs w:val="20"/>
              </w:rPr>
              <w:t>)</w:t>
            </w:r>
            <w:r w:rsidR="004F63E7" w:rsidRPr="002228BA">
              <w:rPr>
                <w:rFonts w:cs="Times New Roman"/>
                <w:b/>
                <w:bCs/>
                <w:sz w:val="20"/>
                <w:szCs w:val="20"/>
              </w:rPr>
              <w:t xml:space="preserve"> projektu</w:t>
            </w:r>
          </w:p>
        </w:tc>
        <w:tc>
          <w:tcPr>
            <w:tcW w:w="2131" w:type="dxa"/>
          </w:tcPr>
          <w:p w14:paraId="1F566802" w14:textId="71BF9C96"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50E0DE88" w14:textId="3BA000F6" w:rsidR="00985A4B" w:rsidRPr="002228BA" w:rsidRDefault="00985A4B" w:rsidP="00AB0FF4">
            <w:pPr>
              <w:pStyle w:val="Bezodstpw"/>
              <w:jc w:val="both"/>
              <w:rPr>
                <w:rStyle w:val="FontStyle12"/>
                <w:sz w:val="20"/>
                <w:szCs w:val="20"/>
              </w:rPr>
            </w:pPr>
            <w:r w:rsidRPr="002228BA">
              <w:rPr>
                <w:rStyle w:val="FontStyle12"/>
                <w:sz w:val="20"/>
                <w:szCs w:val="20"/>
              </w:rPr>
              <w:t>Czym jest zamknięcie konta? Co z usunięciem konta? Co z czasowym zablokowaniem konta?</w:t>
            </w:r>
          </w:p>
        </w:tc>
        <w:tc>
          <w:tcPr>
            <w:tcW w:w="4816" w:type="dxa"/>
          </w:tcPr>
          <w:p w14:paraId="5DC5DE06" w14:textId="38AA26DA" w:rsidR="003813C6" w:rsidRPr="002228BA" w:rsidRDefault="006B1011" w:rsidP="00854708">
            <w:pPr>
              <w:pStyle w:val="Bezodstpw"/>
              <w:jc w:val="both"/>
              <w:rPr>
                <w:rFonts w:cs="Times New Roman"/>
                <w:sz w:val="20"/>
                <w:szCs w:val="20"/>
              </w:rPr>
            </w:pPr>
            <w:r w:rsidRPr="002228BA">
              <w:rPr>
                <w:rFonts w:cs="Times New Roman"/>
                <w:b/>
                <w:bCs/>
                <w:sz w:val="20"/>
                <w:szCs w:val="20"/>
              </w:rPr>
              <w:t xml:space="preserve">Uwaga wyjaśniona – </w:t>
            </w:r>
            <w:r w:rsidRPr="002228BA">
              <w:rPr>
                <w:rFonts w:cs="Times New Roman"/>
                <w:sz w:val="20"/>
                <w:szCs w:val="20"/>
              </w:rPr>
              <w:t>zrezygnowano z definiowania pojęcia - zamknięcie konta</w:t>
            </w:r>
          </w:p>
        </w:tc>
      </w:tr>
      <w:tr w:rsidR="002228BA" w:rsidRPr="002228BA" w14:paraId="03FE87A7" w14:textId="77777777" w:rsidTr="00F0600D">
        <w:trPr>
          <w:trHeight w:val="1098"/>
        </w:trPr>
        <w:tc>
          <w:tcPr>
            <w:tcW w:w="834" w:type="dxa"/>
          </w:tcPr>
          <w:p w14:paraId="4173A238" w14:textId="01BA0556" w:rsidR="00DA6480" w:rsidRPr="002228BA" w:rsidRDefault="008138E3" w:rsidP="008138E3">
            <w:pPr>
              <w:pStyle w:val="Bezodstpw"/>
              <w:jc w:val="center"/>
              <w:rPr>
                <w:rFonts w:cs="Times New Roman"/>
                <w:sz w:val="20"/>
                <w:szCs w:val="20"/>
              </w:rPr>
            </w:pPr>
            <w:r w:rsidRPr="002228BA">
              <w:rPr>
                <w:rFonts w:cs="Times New Roman"/>
                <w:sz w:val="20"/>
                <w:szCs w:val="20"/>
              </w:rPr>
              <w:lastRenderedPageBreak/>
              <w:t>20</w:t>
            </w:r>
          </w:p>
        </w:tc>
        <w:tc>
          <w:tcPr>
            <w:tcW w:w="1566" w:type="dxa"/>
          </w:tcPr>
          <w:p w14:paraId="0C230AB3" w14:textId="1312EE4D" w:rsidR="00DA6480" w:rsidRPr="002228BA" w:rsidRDefault="00DA6480" w:rsidP="00F00F5B">
            <w:pPr>
              <w:pStyle w:val="Bezodstpw"/>
              <w:jc w:val="center"/>
              <w:rPr>
                <w:rFonts w:cs="Times New Roman"/>
                <w:b/>
                <w:bCs/>
                <w:sz w:val="20"/>
                <w:szCs w:val="20"/>
              </w:rPr>
            </w:pPr>
            <w:r w:rsidRPr="002228BA">
              <w:rPr>
                <w:rFonts w:cs="Times New Roman"/>
                <w:b/>
                <w:bCs/>
                <w:sz w:val="20"/>
                <w:szCs w:val="20"/>
              </w:rPr>
              <w:t>§ 2 ust. 1 pkt 12</w:t>
            </w:r>
            <w:r w:rsidR="007548FF" w:rsidRPr="002228BA">
              <w:rPr>
                <w:rFonts w:cs="Times New Roman"/>
                <w:b/>
                <w:bCs/>
                <w:sz w:val="20"/>
                <w:szCs w:val="20"/>
              </w:rPr>
              <w:t>)</w:t>
            </w:r>
            <w:r w:rsidRPr="002228BA">
              <w:rPr>
                <w:rFonts w:cs="Times New Roman"/>
                <w:b/>
                <w:bCs/>
                <w:sz w:val="20"/>
                <w:szCs w:val="20"/>
              </w:rPr>
              <w:t xml:space="preserve"> projektu</w:t>
            </w:r>
          </w:p>
        </w:tc>
        <w:tc>
          <w:tcPr>
            <w:tcW w:w="2131" w:type="dxa"/>
          </w:tcPr>
          <w:p w14:paraId="375E2C07" w14:textId="5F56460D" w:rsidR="00DA6480" w:rsidRPr="002228BA" w:rsidRDefault="00DA6480" w:rsidP="00F00F5B">
            <w:pPr>
              <w:pStyle w:val="Bezodstpw"/>
              <w:jc w:val="center"/>
              <w:rPr>
                <w:rFonts w:cs="Times New Roman"/>
                <w:b/>
                <w:bCs/>
                <w:sz w:val="20"/>
                <w:szCs w:val="20"/>
              </w:rPr>
            </w:pPr>
            <w:r w:rsidRPr="002228BA">
              <w:rPr>
                <w:rFonts w:cs="Times New Roman"/>
                <w:b/>
                <w:bCs/>
                <w:sz w:val="20"/>
                <w:szCs w:val="20"/>
              </w:rPr>
              <w:t>Prokurator Krajowy</w:t>
            </w:r>
          </w:p>
        </w:tc>
        <w:tc>
          <w:tcPr>
            <w:tcW w:w="4962" w:type="dxa"/>
          </w:tcPr>
          <w:p w14:paraId="36EFDEE8" w14:textId="77777777" w:rsidR="00DA6480" w:rsidRPr="002228BA" w:rsidRDefault="00DA6480" w:rsidP="00DA6480">
            <w:pPr>
              <w:pStyle w:val="Bezodstpw"/>
              <w:jc w:val="both"/>
              <w:rPr>
                <w:rFonts w:cs="Times New Roman"/>
                <w:sz w:val="20"/>
                <w:szCs w:val="20"/>
              </w:rPr>
            </w:pPr>
            <w:r w:rsidRPr="002228BA">
              <w:rPr>
                <w:rFonts w:cs="Times New Roman"/>
                <w:sz w:val="20"/>
                <w:szCs w:val="20"/>
              </w:rPr>
              <w:t>Wątpliwości budzi fakt, że delegacja ustawowa dotyczy „likwidacji konta" w PI, zaś treść proj., w tym w § 2 pkt 12 określa zasady „zamknięcia konta". Pojęcia te nie są bowiem tożsame zakresowo. Zgodnie z definicją zawartą w słowniku j. pol. „likwidacja" oznacza „zniesienie, usunięcie lub rozwiązanie czegoś". Stąd „likwidacja konta" na PI winna oznaczać nie tylko jego „zamknięcie " na tym portalu, skutkujące brakiem możliwości uwierzytelnienia na koncie, ale i jego całkowite usunięcie z portalu informacyjnego.</w:t>
            </w:r>
          </w:p>
          <w:p w14:paraId="32CBC875" w14:textId="77777777" w:rsidR="00DA6480" w:rsidRPr="002228BA" w:rsidRDefault="00DA6480" w:rsidP="00AB0FF4">
            <w:pPr>
              <w:pStyle w:val="Bezodstpw"/>
              <w:jc w:val="both"/>
              <w:rPr>
                <w:rStyle w:val="FontStyle12"/>
                <w:sz w:val="20"/>
                <w:szCs w:val="20"/>
              </w:rPr>
            </w:pPr>
          </w:p>
        </w:tc>
        <w:tc>
          <w:tcPr>
            <w:tcW w:w="4816" w:type="dxa"/>
          </w:tcPr>
          <w:p w14:paraId="4ED60805" w14:textId="15E8C469" w:rsidR="00DA6480" w:rsidRPr="002228BA" w:rsidRDefault="006B1011" w:rsidP="006B1011">
            <w:pPr>
              <w:pStyle w:val="Bezodstpw"/>
              <w:jc w:val="both"/>
              <w:rPr>
                <w:rFonts w:cs="Times New Roman"/>
                <w:sz w:val="20"/>
                <w:szCs w:val="20"/>
              </w:rPr>
            </w:pPr>
            <w:r w:rsidRPr="002228BA">
              <w:rPr>
                <w:rFonts w:cs="Times New Roman"/>
                <w:b/>
                <w:bCs/>
                <w:sz w:val="20"/>
                <w:szCs w:val="20"/>
              </w:rPr>
              <w:t>Uwaga uwzględniona</w:t>
            </w:r>
            <w:r w:rsidRPr="002228BA">
              <w:rPr>
                <w:rFonts w:cs="Times New Roman"/>
                <w:sz w:val="20"/>
                <w:szCs w:val="20"/>
              </w:rPr>
              <w:t xml:space="preserve"> –  zrezygnowano z definiowania pojęcia – zamknięcie/likwidacja konta. </w:t>
            </w:r>
          </w:p>
        </w:tc>
      </w:tr>
      <w:tr w:rsidR="002228BA" w:rsidRPr="002228BA" w14:paraId="606E5714" w14:textId="77777777" w:rsidTr="00F0600D">
        <w:trPr>
          <w:trHeight w:val="1098"/>
        </w:trPr>
        <w:tc>
          <w:tcPr>
            <w:tcW w:w="834" w:type="dxa"/>
          </w:tcPr>
          <w:p w14:paraId="368C0D08" w14:textId="29EA215E" w:rsidR="00985A4B" w:rsidRPr="002228BA" w:rsidRDefault="008138E3" w:rsidP="008138E3">
            <w:pPr>
              <w:pStyle w:val="Bezodstpw"/>
              <w:jc w:val="center"/>
              <w:rPr>
                <w:rFonts w:cs="Times New Roman"/>
                <w:sz w:val="20"/>
                <w:szCs w:val="20"/>
              </w:rPr>
            </w:pPr>
            <w:r w:rsidRPr="002228BA">
              <w:rPr>
                <w:rFonts w:cs="Times New Roman"/>
                <w:sz w:val="20"/>
                <w:szCs w:val="20"/>
              </w:rPr>
              <w:t>21</w:t>
            </w:r>
          </w:p>
        </w:tc>
        <w:tc>
          <w:tcPr>
            <w:tcW w:w="1566" w:type="dxa"/>
          </w:tcPr>
          <w:p w14:paraId="35DCBB7B" w14:textId="02775139" w:rsidR="00985A4B" w:rsidRPr="002228BA" w:rsidRDefault="00985A4B" w:rsidP="00F00F5B">
            <w:pPr>
              <w:pStyle w:val="Bezodstpw"/>
              <w:jc w:val="center"/>
              <w:rPr>
                <w:rFonts w:cs="Times New Roman"/>
                <w:b/>
                <w:bCs/>
                <w:sz w:val="20"/>
                <w:szCs w:val="20"/>
              </w:rPr>
            </w:pPr>
            <w:r w:rsidRPr="002228BA">
              <w:rPr>
                <w:rFonts w:cs="Times New Roman"/>
                <w:b/>
                <w:bCs/>
                <w:sz w:val="20"/>
                <w:szCs w:val="20"/>
              </w:rPr>
              <w:t>§ 2 ust. 2</w:t>
            </w:r>
            <w:r w:rsidR="004F63E7" w:rsidRPr="002228BA">
              <w:rPr>
                <w:rFonts w:cs="Times New Roman"/>
                <w:b/>
                <w:bCs/>
                <w:sz w:val="20"/>
                <w:szCs w:val="20"/>
              </w:rPr>
              <w:t xml:space="preserve"> projektu</w:t>
            </w:r>
          </w:p>
        </w:tc>
        <w:tc>
          <w:tcPr>
            <w:tcW w:w="2131" w:type="dxa"/>
          </w:tcPr>
          <w:p w14:paraId="701133C6" w14:textId="2534DD33"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45D93A19" w14:textId="34D6D76A" w:rsidR="00985A4B" w:rsidRPr="002228BA" w:rsidRDefault="00985A4B" w:rsidP="00AB0FF4">
            <w:pPr>
              <w:pStyle w:val="Bezodstpw"/>
              <w:jc w:val="both"/>
              <w:rPr>
                <w:rStyle w:val="FontStyle12"/>
                <w:sz w:val="20"/>
                <w:szCs w:val="20"/>
              </w:rPr>
            </w:pPr>
            <w:r w:rsidRPr="002228BA">
              <w:rPr>
                <w:rStyle w:val="FontStyle12"/>
                <w:sz w:val="20"/>
                <w:szCs w:val="20"/>
              </w:rPr>
              <w:t>Po n</w:t>
            </w:r>
            <w:r w:rsidR="00875AB1" w:rsidRPr="002228BA">
              <w:rPr>
                <w:rStyle w:val="FontStyle12"/>
                <w:sz w:val="20"/>
                <w:szCs w:val="20"/>
              </w:rPr>
              <w:t xml:space="preserve">r </w:t>
            </w:r>
            <w:r w:rsidRPr="002228BA">
              <w:rPr>
                <w:rStyle w:val="FontStyle12"/>
                <w:sz w:val="20"/>
                <w:szCs w:val="20"/>
              </w:rPr>
              <w:t>NIP, n</w:t>
            </w:r>
            <w:r w:rsidR="00875AB1" w:rsidRPr="002228BA">
              <w:rPr>
                <w:rStyle w:val="FontStyle12"/>
                <w:sz w:val="20"/>
                <w:szCs w:val="20"/>
              </w:rPr>
              <w:t xml:space="preserve">r </w:t>
            </w:r>
            <w:r w:rsidRPr="002228BA">
              <w:rPr>
                <w:rStyle w:val="FontStyle12"/>
                <w:sz w:val="20"/>
                <w:szCs w:val="20"/>
              </w:rPr>
              <w:t>dowodu osobistego albo paszportu lub karty pobytu nie ma możliwości powiązania uczestnika postępowania ze sprawą. Identyfikacja odbywa się tylko po n</w:t>
            </w:r>
            <w:r w:rsidR="00875AB1" w:rsidRPr="002228BA">
              <w:rPr>
                <w:rStyle w:val="FontStyle12"/>
                <w:sz w:val="20"/>
                <w:szCs w:val="20"/>
              </w:rPr>
              <w:t>r</w:t>
            </w:r>
            <w:r w:rsidRPr="002228BA">
              <w:rPr>
                <w:rStyle w:val="FontStyle12"/>
                <w:sz w:val="20"/>
                <w:szCs w:val="20"/>
              </w:rPr>
              <w:t xml:space="preserve"> PESEL. Zapis wadliwy, nie ma możliwości jego realizacji w praktyce.</w:t>
            </w:r>
          </w:p>
          <w:p w14:paraId="5EFC27D1" w14:textId="1285BEEB" w:rsidR="00985A4B" w:rsidRPr="002228BA" w:rsidRDefault="00985A4B" w:rsidP="00AB0FF4">
            <w:pPr>
              <w:pStyle w:val="Bezodstpw"/>
              <w:jc w:val="both"/>
              <w:rPr>
                <w:rStyle w:val="FontStyle12"/>
                <w:sz w:val="20"/>
                <w:szCs w:val="20"/>
              </w:rPr>
            </w:pPr>
          </w:p>
        </w:tc>
        <w:tc>
          <w:tcPr>
            <w:tcW w:w="4816" w:type="dxa"/>
          </w:tcPr>
          <w:p w14:paraId="0A90648E" w14:textId="07FE322E" w:rsidR="003813C6" w:rsidRPr="002228BA" w:rsidRDefault="006B1011" w:rsidP="00854708">
            <w:pPr>
              <w:pStyle w:val="Bezodstpw"/>
              <w:jc w:val="both"/>
              <w:rPr>
                <w:rFonts w:cs="Times New Roman"/>
                <w:sz w:val="20"/>
                <w:szCs w:val="20"/>
              </w:rPr>
            </w:pPr>
            <w:r w:rsidRPr="002228BA">
              <w:rPr>
                <w:rFonts w:cs="Times New Roman"/>
                <w:b/>
                <w:bCs/>
                <w:sz w:val="20"/>
                <w:szCs w:val="20"/>
              </w:rPr>
              <w:t>Uwaga uwzględniona</w:t>
            </w:r>
            <w:r w:rsidRPr="002228BA">
              <w:rPr>
                <w:rFonts w:cs="Times New Roman"/>
                <w:sz w:val="20"/>
                <w:szCs w:val="20"/>
              </w:rPr>
              <w:t xml:space="preserve"> – zrezygnowano z treści § 2 ust. 2 projektu</w:t>
            </w:r>
          </w:p>
        </w:tc>
      </w:tr>
      <w:tr w:rsidR="002228BA" w:rsidRPr="002228BA" w14:paraId="1E615E60" w14:textId="77777777" w:rsidTr="00F0600D">
        <w:trPr>
          <w:trHeight w:val="1098"/>
        </w:trPr>
        <w:tc>
          <w:tcPr>
            <w:tcW w:w="834" w:type="dxa"/>
          </w:tcPr>
          <w:p w14:paraId="2E17DE2F" w14:textId="52453E82" w:rsidR="00DA6480" w:rsidRPr="002228BA" w:rsidRDefault="008138E3" w:rsidP="008138E3">
            <w:pPr>
              <w:pStyle w:val="Bezodstpw"/>
              <w:jc w:val="center"/>
              <w:rPr>
                <w:rFonts w:cs="Times New Roman"/>
                <w:sz w:val="20"/>
                <w:szCs w:val="20"/>
              </w:rPr>
            </w:pPr>
            <w:r w:rsidRPr="002228BA">
              <w:rPr>
                <w:rFonts w:cs="Times New Roman"/>
                <w:sz w:val="20"/>
                <w:szCs w:val="20"/>
              </w:rPr>
              <w:t>22</w:t>
            </w:r>
          </w:p>
        </w:tc>
        <w:tc>
          <w:tcPr>
            <w:tcW w:w="1566" w:type="dxa"/>
          </w:tcPr>
          <w:p w14:paraId="64B3703D" w14:textId="39BCBDC2" w:rsidR="00DA6480" w:rsidRPr="002228BA" w:rsidRDefault="00DA6480" w:rsidP="00F00F5B">
            <w:pPr>
              <w:pStyle w:val="Bezodstpw"/>
              <w:jc w:val="center"/>
              <w:rPr>
                <w:rFonts w:cs="Times New Roman"/>
                <w:b/>
                <w:bCs/>
                <w:sz w:val="20"/>
                <w:szCs w:val="20"/>
              </w:rPr>
            </w:pPr>
            <w:r w:rsidRPr="002228BA">
              <w:rPr>
                <w:rFonts w:cs="Times New Roman"/>
                <w:b/>
                <w:bCs/>
                <w:sz w:val="20"/>
                <w:szCs w:val="20"/>
              </w:rPr>
              <w:t>§ 2 ust. 2 projektu</w:t>
            </w:r>
          </w:p>
        </w:tc>
        <w:tc>
          <w:tcPr>
            <w:tcW w:w="2131" w:type="dxa"/>
          </w:tcPr>
          <w:p w14:paraId="52E5B2B8" w14:textId="68D4E87F" w:rsidR="00DA6480" w:rsidRPr="002228BA" w:rsidRDefault="00DA6480" w:rsidP="00F00F5B">
            <w:pPr>
              <w:pStyle w:val="Bezodstpw"/>
              <w:jc w:val="center"/>
              <w:rPr>
                <w:rFonts w:cs="Times New Roman"/>
                <w:b/>
                <w:bCs/>
                <w:sz w:val="20"/>
                <w:szCs w:val="20"/>
              </w:rPr>
            </w:pPr>
            <w:r w:rsidRPr="002228BA">
              <w:rPr>
                <w:rFonts w:cs="Times New Roman"/>
                <w:b/>
                <w:bCs/>
                <w:sz w:val="20"/>
                <w:szCs w:val="20"/>
              </w:rPr>
              <w:t>Prezes UODO</w:t>
            </w:r>
          </w:p>
        </w:tc>
        <w:tc>
          <w:tcPr>
            <w:tcW w:w="4962" w:type="dxa"/>
          </w:tcPr>
          <w:p w14:paraId="16FCC754" w14:textId="77777777" w:rsidR="00DA6480" w:rsidRPr="002228BA" w:rsidRDefault="00DA6480" w:rsidP="00DA6480">
            <w:pPr>
              <w:pStyle w:val="Bezodstpw"/>
              <w:jc w:val="both"/>
              <w:rPr>
                <w:rFonts w:cs="Times New Roman"/>
                <w:sz w:val="20"/>
                <w:szCs w:val="20"/>
              </w:rPr>
            </w:pPr>
            <w:r w:rsidRPr="002228BA">
              <w:rPr>
                <w:rFonts w:cs="Times New Roman"/>
                <w:sz w:val="20"/>
                <w:szCs w:val="20"/>
              </w:rPr>
              <w:t xml:space="preserve">Niejasne jest sformułowanie proj. przepisu. Skoro § 2 ust. 1 pkt 9 proj. rozporządzenia, do którego zresztą § 2 ust. 2 </w:t>
            </w:r>
            <w:r w:rsidRPr="002228BA">
              <w:rPr>
                <w:rFonts w:cs="Times New Roman"/>
                <w:i/>
                <w:iCs/>
                <w:sz w:val="20"/>
                <w:szCs w:val="20"/>
              </w:rPr>
              <w:t>in principio</w:t>
            </w:r>
            <w:r w:rsidRPr="002228BA">
              <w:rPr>
                <w:rFonts w:cs="Times New Roman"/>
                <w:sz w:val="20"/>
                <w:szCs w:val="20"/>
              </w:rPr>
              <w:t xml:space="preserve"> proj. rozporządzenia częściowo odsyła, wprowadza pojęcie „identyfikatora osoby fizycznej”, to niezrozumiałe jest – zawarte w § 2 ust. 2 </w:t>
            </w:r>
            <w:r w:rsidRPr="002228BA">
              <w:rPr>
                <w:rFonts w:cs="Times New Roman"/>
                <w:i/>
                <w:iCs/>
                <w:sz w:val="20"/>
                <w:szCs w:val="20"/>
              </w:rPr>
              <w:t>in fine</w:t>
            </w:r>
            <w:r w:rsidRPr="002228BA">
              <w:rPr>
                <w:rFonts w:cs="Times New Roman"/>
                <w:sz w:val="20"/>
                <w:szCs w:val="20"/>
              </w:rPr>
              <w:t xml:space="preserve"> proj. rozporządzenia – wyliczenie numerów (PESEL, NIP, dowodu osobistego, paszportu, karty pobytu w Rzeczypospolitej Polskiej) uznawanych za: osobisty krajowy numer identyfikacyjny, identyfikator podatkowy, osobisty dokument identyfikacyjny. Co więcej – wyliczenie zamieszczone w § 2 ust. 2 </w:t>
            </w:r>
            <w:r w:rsidRPr="002228BA">
              <w:rPr>
                <w:rFonts w:cs="Times New Roman"/>
                <w:i/>
                <w:iCs/>
                <w:sz w:val="20"/>
                <w:szCs w:val="20"/>
              </w:rPr>
              <w:t>in fine</w:t>
            </w:r>
            <w:r w:rsidRPr="002228BA">
              <w:rPr>
                <w:rFonts w:cs="Times New Roman"/>
                <w:sz w:val="20"/>
                <w:szCs w:val="20"/>
              </w:rPr>
              <w:t xml:space="preserve"> proj. rozporządzenia ma charakter jedynie przykładowy, co rodzi pytanie o możliwość wykorzystywania innych nr w charakterze: osobistego krajowego nr identyfikacyjnego, identyfikatora podatkowego, osobistego dokumentu identyfikacyjnego i </w:t>
            </w:r>
            <w:r w:rsidRPr="002228BA">
              <w:rPr>
                <w:rFonts w:cs="Times New Roman"/>
                <w:sz w:val="20"/>
                <w:szCs w:val="20"/>
              </w:rPr>
              <w:lastRenderedPageBreak/>
              <w:t xml:space="preserve">czyni komentowany przepis proj. rozporządzenia jeszcze bardziej wątpliwym w świetle, przywoływanej zasady przejrzystości (art. 5 ust. 1 lit. a rozporządzenia 2016/679). </w:t>
            </w:r>
          </w:p>
          <w:p w14:paraId="51061F86" w14:textId="77777777" w:rsidR="00DA6480" w:rsidRPr="002228BA" w:rsidRDefault="00DA6480" w:rsidP="00AB0FF4">
            <w:pPr>
              <w:pStyle w:val="Bezodstpw"/>
              <w:jc w:val="both"/>
              <w:rPr>
                <w:rStyle w:val="FontStyle12"/>
                <w:sz w:val="20"/>
                <w:szCs w:val="20"/>
              </w:rPr>
            </w:pPr>
          </w:p>
        </w:tc>
        <w:tc>
          <w:tcPr>
            <w:tcW w:w="4816" w:type="dxa"/>
          </w:tcPr>
          <w:p w14:paraId="72F439FC" w14:textId="17AD8341" w:rsidR="00DA6480" w:rsidRPr="002228BA" w:rsidRDefault="00AE119F" w:rsidP="00AB0FF4">
            <w:pPr>
              <w:pStyle w:val="Bezodstpw"/>
              <w:jc w:val="both"/>
              <w:rPr>
                <w:rFonts w:cs="Times New Roman"/>
                <w:sz w:val="20"/>
                <w:szCs w:val="20"/>
              </w:rPr>
            </w:pPr>
            <w:r w:rsidRPr="002228BA">
              <w:rPr>
                <w:rFonts w:cs="Times New Roman"/>
                <w:b/>
                <w:bCs/>
                <w:sz w:val="20"/>
                <w:szCs w:val="20"/>
              </w:rPr>
              <w:lastRenderedPageBreak/>
              <w:t xml:space="preserve">Uwaga uwzględniona – </w:t>
            </w:r>
            <w:r w:rsidRPr="002228BA">
              <w:rPr>
                <w:rFonts w:cs="Times New Roman"/>
                <w:sz w:val="20"/>
                <w:szCs w:val="20"/>
              </w:rPr>
              <w:t>zrezygnowano z treści § 2 ust. 2 projektu</w:t>
            </w:r>
          </w:p>
        </w:tc>
      </w:tr>
      <w:tr w:rsidR="002228BA" w:rsidRPr="002228BA" w14:paraId="2926A629" w14:textId="77777777" w:rsidTr="00F0600D">
        <w:trPr>
          <w:trHeight w:val="1098"/>
        </w:trPr>
        <w:tc>
          <w:tcPr>
            <w:tcW w:w="834" w:type="dxa"/>
          </w:tcPr>
          <w:p w14:paraId="7698231A" w14:textId="3D6A3782" w:rsidR="00985A4B" w:rsidRPr="002228BA" w:rsidRDefault="008138E3" w:rsidP="008138E3">
            <w:pPr>
              <w:pStyle w:val="Bezodstpw"/>
              <w:jc w:val="center"/>
              <w:rPr>
                <w:rFonts w:cs="Times New Roman"/>
                <w:sz w:val="20"/>
                <w:szCs w:val="20"/>
              </w:rPr>
            </w:pPr>
            <w:r w:rsidRPr="002228BA">
              <w:rPr>
                <w:rFonts w:cs="Times New Roman"/>
                <w:sz w:val="20"/>
                <w:szCs w:val="20"/>
              </w:rPr>
              <w:t>23</w:t>
            </w:r>
          </w:p>
        </w:tc>
        <w:tc>
          <w:tcPr>
            <w:tcW w:w="1566" w:type="dxa"/>
          </w:tcPr>
          <w:p w14:paraId="62086878" w14:textId="36739707" w:rsidR="004F63E7" w:rsidRPr="002228BA" w:rsidRDefault="004F63E7" w:rsidP="00F00F5B">
            <w:pPr>
              <w:pStyle w:val="Bezodstpw"/>
              <w:jc w:val="center"/>
              <w:rPr>
                <w:rStyle w:val="FontStyle12"/>
                <w:b/>
                <w:bCs/>
                <w:sz w:val="20"/>
                <w:szCs w:val="20"/>
              </w:rPr>
            </w:pPr>
            <w:r w:rsidRPr="002228BA">
              <w:rPr>
                <w:rStyle w:val="FontStyle12"/>
                <w:b/>
                <w:bCs/>
                <w:sz w:val="20"/>
                <w:szCs w:val="20"/>
              </w:rPr>
              <w:t>§ 3 ust. 1-3 projektu</w:t>
            </w:r>
          </w:p>
          <w:p w14:paraId="4587A317" w14:textId="77777777" w:rsidR="00985A4B" w:rsidRPr="002228BA" w:rsidRDefault="00985A4B" w:rsidP="00F00F5B">
            <w:pPr>
              <w:pStyle w:val="Bezodstpw"/>
              <w:jc w:val="center"/>
              <w:rPr>
                <w:rFonts w:cs="Times New Roman"/>
                <w:b/>
                <w:bCs/>
                <w:sz w:val="20"/>
                <w:szCs w:val="20"/>
              </w:rPr>
            </w:pPr>
          </w:p>
        </w:tc>
        <w:tc>
          <w:tcPr>
            <w:tcW w:w="2131" w:type="dxa"/>
          </w:tcPr>
          <w:p w14:paraId="7F8892ED" w14:textId="6D602B56"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49BCD652" w14:textId="2C0A0E08" w:rsidR="00985A4B" w:rsidRPr="002228BA" w:rsidRDefault="00875AB1" w:rsidP="00AB0FF4">
            <w:pPr>
              <w:pStyle w:val="Bezodstpw"/>
              <w:jc w:val="both"/>
              <w:rPr>
                <w:rStyle w:val="FontStyle12"/>
                <w:sz w:val="20"/>
                <w:szCs w:val="20"/>
              </w:rPr>
            </w:pPr>
            <w:r w:rsidRPr="002228BA">
              <w:rPr>
                <w:rStyle w:val="FontStyle12"/>
                <w:sz w:val="20"/>
                <w:szCs w:val="20"/>
              </w:rPr>
              <w:t>Proj. r</w:t>
            </w:r>
            <w:r w:rsidR="00985A4B" w:rsidRPr="002228BA">
              <w:rPr>
                <w:rStyle w:val="FontStyle12"/>
                <w:sz w:val="20"/>
                <w:szCs w:val="20"/>
              </w:rPr>
              <w:t>ozporządzenie pomija możliwość weryfikacji użytkownika w sądach – w przypadku osób fizycznych zwykłych.</w:t>
            </w:r>
          </w:p>
          <w:p w14:paraId="6C76EE70" w14:textId="7B134D2C" w:rsidR="00985A4B" w:rsidRPr="002228BA" w:rsidRDefault="00985A4B" w:rsidP="00AB0FF4">
            <w:pPr>
              <w:pStyle w:val="Bezodstpw"/>
              <w:jc w:val="both"/>
              <w:rPr>
                <w:rStyle w:val="FontStyle12"/>
                <w:sz w:val="20"/>
                <w:szCs w:val="20"/>
              </w:rPr>
            </w:pPr>
            <w:r w:rsidRPr="002228BA">
              <w:rPr>
                <w:rStyle w:val="FontStyle12"/>
                <w:sz w:val="20"/>
                <w:szCs w:val="20"/>
              </w:rPr>
              <w:t xml:space="preserve">Dodatkowo </w:t>
            </w:r>
            <w:r w:rsidR="00875AB1" w:rsidRPr="002228BA">
              <w:rPr>
                <w:rStyle w:val="FontStyle12"/>
                <w:sz w:val="20"/>
                <w:szCs w:val="20"/>
              </w:rPr>
              <w:t xml:space="preserve">proj. </w:t>
            </w:r>
            <w:r w:rsidRPr="002228BA">
              <w:rPr>
                <w:rStyle w:val="FontStyle12"/>
                <w:sz w:val="20"/>
                <w:szCs w:val="20"/>
              </w:rPr>
              <w:t>pomija, że to sądy decydują o dostępach, bo to w sądach jest informacja, kto ma mieć dostęp do sprawy. Sądy działają w systemach rozproszonych.</w:t>
            </w:r>
          </w:p>
          <w:p w14:paraId="29A6390C" w14:textId="77777777" w:rsidR="00985A4B" w:rsidRPr="002228BA" w:rsidRDefault="00985A4B" w:rsidP="00AB0FF4">
            <w:pPr>
              <w:pStyle w:val="Bezodstpw"/>
              <w:jc w:val="both"/>
              <w:rPr>
                <w:rStyle w:val="FontStyle12"/>
                <w:sz w:val="20"/>
                <w:szCs w:val="20"/>
              </w:rPr>
            </w:pPr>
            <w:r w:rsidRPr="002228BA">
              <w:rPr>
                <w:rStyle w:val="FontStyle12"/>
                <w:sz w:val="20"/>
                <w:szCs w:val="20"/>
              </w:rPr>
              <w:t>Brak elementów składowych wniosku o założenie konta.</w:t>
            </w:r>
          </w:p>
          <w:p w14:paraId="68E74CA9" w14:textId="77777777" w:rsidR="00985A4B" w:rsidRPr="002228BA" w:rsidRDefault="00985A4B" w:rsidP="00AB0FF4">
            <w:pPr>
              <w:pStyle w:val="Bezodstpw"/>
              <w:jc w:val="both"/>
              <w:rPr>
                <w:rStyle w:val="FontStyle12"/>
                <w:sz w:val="20"/>
                <w:szCs w:val="20"/>
              </w:rPr>
            </w:pPr>
            <w:r w:rsidRPr="002228BA">
              <w:rPr>
                <w:rStyle w:val="FontStyle12"/>
                <w:sz w:val="20"/>
                <w:szCs w:val="20"/>
              </w:rPr>
              <w:t>Procedura zakłada automatyzm zakładania konta, pomijając czynnik weryfikacyjny po stronie człowieka.</w:t>
            </w:r>
          </w:p>
          <w:p w14:paraId="30EF7AB0" w14:textId="77777777" w:rsidR="00985A4B" w:rsidRPr="002228BA" w:rsidRDefault="00985A4B" w:rsidP="00AB0FF4">
            <w:pPr>
              <w:pStyle w:val="Bezodstpw"/>
              <w:jc w:val="both"/>
              <w:rPr>
                <w:rStyle w:val="FontStyle12"/>
                <w:sz w:val="20"/>
                <w:szCs w:val="20"/>
              </w:rPr>
            </w:pPr>
            <w:r w:rsidRPr="002228BA">
              <w:rPr>
                <w:rStyle w:val="FontStyle12"/>
                <w:sz w:val="20"/>
                <w:szCs w:val="20"/>
              </w:rPr>
              <w:t>Procedura jest niezgodna ze sposobem w jaki działa system, dostosowanie systemu do tej procedury nie jest ani zasadne, ani możliwe w terminie do 14 marca 2024 r., ponadto jest kosztochłonna. Rekomenduje się uregulowanie procedury zakładania konta w sposób, w jaki ona obecnie funkcjonuje.</w:t>
            </w:r>
          </w:p>
          <w:p w14:paraId="35798BAE" w14:textId="0C74DE4B" w:rsidR="00985A4B" w:rsidRPr="002228BA" w:rsidRDefault="00985A4B" w:rsidP="00AB0FF4">
            <w:pPr>
              <w:pStyle w:val="Bezodstpw"/>
              <w:jc w:val="both"/>
              <w:rPr>
                <w:rStyle w:val="FontStyle12"/>
                <w:sz w:val="20"/>
                <w:szCs w:val="20"/>
              </w:rPr>
            </w:pPr>
          </w:p>
        </w:tc>
        <w:tc>
          <w:tcPr>
            <w:tcW w:w="4816" w:type="dxa"/>
          </w:tcPr>
          <w:p w14:paraId="12F0562D" w14:textId="3EA9071B" w:rsidR="008354F6" w:rsidRPr="002228BA" w:rsidRDefault="00125B64" w:rsidP="00854708">
            <w:pPr>
              <w:pStyle w:val="Bezodstpw"/>
              <w:jc w:val="both"/>
              <w:rPr>
                <w:rFonts w:cs="Times New Roman"/>
                <w:sz w:val="20"/>
                <w:szCs w:val="20"/>
              </w:rPr>
            </w:pPr>
            <w:r w:rsidRPr="002228BA">
              <w:rPr>
                <w:rFonts w:cs="Times New Roman"/>
                <w:b/>
                <w:bCs/>
                <w:sz w:val="20"/>
                <w:szCs w:val="20"/>
              </w:rPr>
              <w:t xml:space="preserve">Uwaga uwzględniona – </w:t>
            </w:r>
            <w:r w:rsidRPr="002228BA">
              <w:rPr>
                <w:rFonts w:cs="Times New Roman"/>
                <w:sz w:val="20"/>
                <w:szCs w:val="20"/>
              </w:rPr>
              <w:t>przemodelowano treść § 3  zgodnie z sugestiami zgłaszającego uwagę.</w:t>
            </w:r>
          </w:p>
        </w:tc>
      </w:tr>
      <w:tr w:rsidR="002228BA" w:rsidRPr="002228BA" w14:paraId="26EF5557" w14:textId="77777777" w:rsidTr="00F0600D">
        <w:trPr>
          <w:trHeight w:val="1098"/>
        </w:trPr>
        <w:tc>
          <w:tcPr>
            <w:tcW w:w="834" w:type="dxa"/>
          </w:tcPr>
          <w:p w14:paraId="3F5FF5A9" w14:textId="6FF07C63" w:rsidR="00985A4B" w:rsidRPr="002228BA" w:rsidRDefault="008138E3" w:rsidP="008138E3">
            <w:pPr>
              <w:pStyle w:val="Bezodstpw"/>
              <w:jc w:val="center"/>
              <w:rPr>
                <w:rFonts w:cs="Times New Roman"/>
                <w:sz w:val="20"/>
                <w:szCs w:val="20"/>
              </w:rPr>
            </w:pPr>
            <w:r w:rsidRPr="002228BA">
              <w:rPr>
                <w:rFonts w:cs="Times New Roman"/>
                <w:sz w:val="20"/>
                <w:szCs w:val="20"/>
              </w:rPr>
              <w:t>24</w:t>
            </w:r>
          </w:p>
        </w:tc>
        <w:tc>
          <w:tcPr>
            <w:tcW w:w="1566" w:type="dxa"/>
          </w:tcPr>
          <w:p w14:paraId="5F601CB3" w14:textId="1C2B7D46" w:rsidR="00985A4B" w:rsidRPr="002228BA" w:rsidRDefault="00985A4B" w:rsidP="00F00F5B">
            <w:pPr>
              <w:pStyle w:val="Bezodstpw"/>
              <w:jc w:val="center"/>
              <w:rPr>
                <w:rFonts w:cs="Times New Roman"/>
                <w:b/>
                <w:bCs/>
                <w:sz w:val="20"/>
                <w:szCs w:val="20"/>
              </w:rPr>
            </w:pPr>
            <w:r w:rsidRPr="002228BA">
              <w:rPr>
                <w:rFonts w:cs="Times New Roman"/>
                <w:b/>
                <w:bCs/>
                <w:sz w:val="20"/>
                <w:szCs w:val="20"/>
              </w:rPr>
              <w:t>§ 3 ust 4</w:t>
            </w:r>
            <w:r w:rsidR="00C10B29" w:rsidRPr="002228BA">
              <w:rPr>
                <w:rFonts w:cs="Times New Roman"/>
                <w:b/>
                <w:bCs/>
                <w:sz w:val="20"/>
                <w:szCs w:val="20"/>
              </w:rPr>
              <w:t xml:space="preserve"> pr</w:t>
            </w:r>
            <w:r w:rsidR="00875AB1" w:rsidRPr="002228BA">
              <w:rPr>
                <w:rFonts w:cs="Times New Roman"/>
                <w:b/>
                <w:bCs/>
                <w:sz w:val="20"/>
                <w:szCs w:val="20"/>
              </w:rPr>
              <w:t>o</w:t>
            </w:r>
            <w:r w:rsidR="00C10B29" w:rsidRPr="002228BA">
              <w:rPr>
                <w:rFonts w:cs="Times New Roman"/>
                <w:b/>
                <w:bCs/>
                <w:sz w:val="20"/>
                <w:szCs w:val="20"/>
              </w:rPr>
              <w:t>jektu</w:t>
            </w:r>
          </w:p>
        </w:tc>
        <w:tc>
          <w:tcPr>
            <w:tcW w:w="2131" w:type="dxa"/>
          </w:tcPr>
          <w:p w14:paraId="0539E3BC" w14:textId="487A0559"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18E25B92" w14:textId="338B9B66" w:rsidR="00985A4B" w:rsidRPr="002228BA" w:rsidRDefault="00985A4B" w:rsidP="00AB0FF4">
            <w:pPr>
              <w:pStyle w:val="Bezodstpw"/>
              <w:jc w:val="both"/>
              <w:rPr>
                <w:rStyle w:val="FontStyle12"/>
                <w:sz w:val="20"/>
                <w:szCs w:val="20"/>
              </w:rPr>
            </w:pPr>
            <w:r w:rsidRPr="002228BA">
              <w:rPr>
                <w:rStyle w:val="FontStyle12"/>
                <w:sz w:val="20"/>
                <w:szCs w:val="20"/>
              </w:rPr>
              <w:t>Wymóg nadmiarowy i wymaga przebudowy systemu po stronie PI</w:t>
            </w:r>
            <w:r w:rsidR="00196CE5" w:rsidRPr="002228BA">
              <w:rPr>
                <w:rStyle w:val="FontStyle12"/>
                <w:sz w:val="20"/>
                <w:szCs w:val="20"/>
              </w:rPr>
              <w:t xml:space="preserve">. </w:t>
            </w:r>
          </w:p>
        </w:tc>
        <w:tc>
          <w:tcPr>
            <w:tcW w:w="4816" w:type="dxa"/>
          </w:tcPr>
          <w:p w14:paraId="3EDFB353" w14:textId="2A552F8D" w:rsidR="008354F6" w:rsidRPr="002228BA" w:rsidRDefault="00125B64" w:rsidP="00854708">
            <w:pPr>
              <w:pStyle w:val="Bezodstpw"/>
              <w:jc w:val="both"/>
              <w:rPr>
                <w:rFonts w:cs="Times New Roman"/>
                <w:b/>
                <w:bCs/>
                <w:sz w:val="20"/>
                <w:szCs w:val="20"/>
              </w:rPr>
            </w:pPr>
            <w:r w:rsidRPr="002228BA">
              <w:rPr>
                <w:rFonts w:cs="Times New Roman"/>
                <w:b/>
                <w:bCs/>
                <w:sz w:val="20"/>
                <w:szCs w:val="20"/>
              </w:rPr>
              <w:t xml:space="preserve">Uwaga wyjaśniona </w:t>
            </w:r>
            <w:r w:rsidRPr="002228BA">
              <w:rPr>
                <w:rFonts w:cs="Times New Roman"/>
                <w:sz w:val="20"/>
                <w:szCs w:val="20"/>
              </w:rPr>
              <w:t>– zrezygnowano z treści § 3 ust. 4 projektu</w:t>
            </w:r>
          </w:p>
        </w:tc>
      </w:tr>
      <w:tr w:rsidR="002228BA" w:rsidRPr="002228BA" w14:paraId="0E078878" w14:textId="77777777" w:rsidTr="00F0600D">
        <w:trPr>
          <w:trHeight w:val="1098"/>
        </w:trPr>
        <w:tc>
          <w:tcPr>
            <w:tcW w:w="834" w:type="dxa"/>
          </w:tcPr>
          <w:p w14:paraId="26398DAA" w14:textId="065D5F4F" w:rsidR="00985A4B" w:rsidRPr="002228BA" w:rsidRDefault="008138E3" w:rsidP="008138E3">
            <w:pPr>
              <w:pStyle w:val="Bezodstpw"/>
              <w:jc w:val="center"/>
              <w:rPr>
                <w:rFonts w:cs="Times New Roman"/>
                <w:sz w:val="20"/>
                <w:szCs w:val="20"/>
              </w:rPr>
            </w:pPr>
            <w:r w:rsidRPr="002228BA">
              <w:rPr>
                <w:rFonts w:cs="Times New Roman"/>
                <w:sz w:val="20"/>
                <w:szCs w:val="20"/>
              </w:rPr>
              <w:t>25</w:t>
            </w:r>
          </w:p>
        </w:tc>
        <w:tc>
          <w:tcPr>
            <w:tcW w:w="1566" w:type="dxa"/>
          </w:tcPr>
          <w:p w14:paraId="08FC6C15" w14:textId="4B71A73E" w:rsidR="00985A4B" w:rsidRPr="002228BA" w:rsidRDefault="00985A4B" w:rsidP="00F00F5B">
            <w:pPr>
              <w:pStyle w:val="Bezodstpw"/>
              <w:jc w:val="center"/>
              <w:rPr>
                <w:rFonts w:cs="Times New Roman"/>
                <w:b/>
                <w:bCs/>
                <w:sz w:val="20"/>
                <w:szCs w:val="20"/>
              </w:rPr>
            </w:pPr>
            <w:r w:rsidRPr="002228BA">
              <w:rPr>
                <w:rFonts w:cs="Times New Roman"/>
                <w:b/>
                <w:bCs/>
                <w:sz w:val="20"/>
                <w:szCs w:val="20"/>
              </w:rPr>
              <w:t>§ 3 ust 5</w:t>
            </w:r>
            <w:r w:rsidR="00C10B29" w:rsidRPr="002228BA">
              <w:rPr>
                <w:rFonts w:cs="Times New Roman"/>
                <w:b/>
                <w:bCs/>
                <w:sz w:val="20"/>
                <w:szCs w:val="20"/>
              </w:rPr>
              <w:t xml:space="preserve"> projektu</w:t>
            </w:r>
          </w:p>
        </w:tc>
        <w:tc>
          <w:tcPr>
            <w:tcW w:w="2131" w:type="dxa"/>
          </w:tcPr>
          <w:p w14:paraId="56CB1361" w14:textId="361E064A"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47B36174" w14:textId="5D3E65D4" w:rsidR="00985A4B" w:rsidRPr="002228BA" w:rsidRDefault="00985A4B" w:rsidP="00AB0FF4">
            <w:pPr>
              <w:pStyle w:val="Bezodstpw"/>
              <w:jc w:val="both"/>
              <w:rPr>
                <w:rStyle w:val="FontStyle12"/>
                <w:sz w:val="20"/>
                <w:szCs w:val="20"/>
              </w:rPr>
            </w:pPr>
            <w:r w:rsidRPr="002228BA">
              <w:rPr>
                <w:rFonts w:cs="Times New Roman"/>
                <w:sz w:val="20"/>
                <w:szCs w:val="20"/>
              </w:rPr>
              <w:t>Należy uwzględnić weryfikację i modyfikację przez pracownika sądu.</w:t>
            </w:r>
          </w:p>
        </w:tc>
        <w:tc>
          <w:tcPr>
            <w:tcW w:w="4816" w:type="dxa"/>
          </w:tcPr>
          <w:p w14:paraId="71224F08" w14:textId="77777777" w:rsidR="00125B64" w:rsidRPr="002228BA" w:rsidRDefault="00125B64" w:rsidP="00125B64">
            <w:pPr>
              <w:rPr>
                <w:rFonts w:cs="Times New Roman"/>
                <w:b/>
                <w:bCs/>
                <w:sz w:val="20"/>
                <w:szCs w:val="20"/>
              </w:rPr>
            </w:pPr>
            <w:r w:rsidRPr="002228BA">
              <w:rPr>
                <w:rFonts w:cs="Times New Roman"/>
                <w:b/>
                <w:bCs/>
                <w:sz w:val="20"/>
                <w:szCs w:val="20"/>
              </w:rPr>
              <w:t xml:space="preserve">Uwaga uwzględniona </w:t>
            </w:r>
            <w:r w:rsidRPr="002228BA">
              <w:rPr>
                <w:rFonts w:cs="Times New Roman"/>
                <w:sz w:val="20"/>
                <w:szCs w:val="20"/>
              </w:rPr>
              <w:t>– przemodelowano treść § 3  zgodnie z sugestiami zgłaszającego uwagę.</w:t>
            </w:r>
          </w:p>
          <w:p w14:paraId="47AE8A96" w14:textId="1C62E5FE" w:rsidR="008354F6" w:rsidRPr="002228BA" w:rsidRDefault="008354F6" w:rsidP="00854708">
            <w:pPr>
              <w:pStyle w:val="Bezodstpw"/>
              <w:jc w:val="both"/>
              <w:rPr>
                <w:rFonts w:cs="Times New Roman"/>
                <w:sz w:val="20"/>
                <w:szCs w:val="20"/>
              </w:rPr>
            </w:pPr>
          </w:p>
        </w:tc>
      </w:tr>
      <w:tr w:rsidR="002228BA" w:rsidRPr="002228BA" w14:paraId="1C1CC4B5" w14:textId="77777777" w:rsidTr="00F0600D">
        <w:trPr>
          <w:trHeight w:val="1098"/>
        </w:trPr>
        <w:tc>
          <w:tcPr>
            <w:tcW w:w="834" w:type="dxa"/>
          </w:tcPr>
          <w:p w14:paraId="434B61AC" w14:textId="6850B8FB" w:rsidR="00932193" w:rsidRPr="002228BA" w:rsidRDefault="008138E3" w:rsidP="008138E3">
            <w:pPr>
              <w:pStyle w:val="Bezodstpw"/>
              <w:jc w:val="center"/>
              <w:rPr>
                <w:rFonts w:cs="Times New Roman"/>
                <w:sz w:val="20"/>
                <w:szCs w:val="20"/>
              </w:rPr>
            </w:pPr>
            <w:r w:rsidRPr="002228BA">
              <w:rPr>
                <w:rFonts w:cs="Times New Roman"/>
                <w:sz w:val="20"/>
                <w:szCs w:val="20"/>
              </w:rPr>
              <w:lastRenderedPageBreak/>
              <w:t>26</w:t>
            </w:r>
          </w:p>
        </w:tc>
        <w:tc>
          <w:tcPr>
            <w:tcW w:w="1566" w:type="dxa"/>
          </w:tcPr>
          <w:p w14:paraId="3DEEE18F" w14:textId="16B32760" w:rsidR="00932193" w:rsidRPr="002228BA" w:rsidRDefault="00932193" w:rsidP="00F00F5B">
            <w:pPr>
              <w:pStyle w:val="Bezodstpw"/>
              <w:jc w:val="center"/>
              <w:rPr>
                <w:rFonts w:cs="Times New Roman"/>
                <w:b/>
                <w:bCs/>
                <w:sz w:val="20"/>
                <w:szCs w:val="20"/>
              </w:rPr>
            </w:pPr>
            <w:r w:rsidRPr="002228BA">
              <w:rPr>
                <w:rFonts w:cs="Times New Roman"/>
                <w:b/>
                <w:bCs/>
                <w:sz w:val="20"/>
                <w:szCs w:val="20"/>
              </w:rPr>
              <w:t>§ 3 ust. 5 i 6 projektu</w:t>
            </w:r>
          </w:p>
        </w:tc>
        <w:tc>
          <w:tcPr>
            <w:tcW w:w="2131" w:type="dxa"/>
          </w:tcPr>
          <w:p w14:paraId="104FF37C" w14:textId="6F6DED44" w:rsidR="00932193" w:rsidRPr="002228BA" w:rsidRDefault="00932193" w:rsidP="00F00F5B">
            <w:pPr>
              <w:pStyle w:val="Bezodstpw"/>
              <w:jc w:val="center"/>
              <w:rPr>
                <w:rFonts w:cs="Times New Roman"/>
                <w:b/>
                <w:bCs/>
                <w:sz w:val="20"/>
                <w:szCs w:val="20"/>
              </w:rPr>
            </w:pPr>
            <w:r w:rsidRPr="002228BA">
              <w:rPr>
                <w:rFonts w:cs="Times New Roman"/>
                <w:b/>
                <w:bCs/>
                <w:sz w:val="20"/>
                <w:szCs w:val="20"/>
              </w:rPr>
              <w:t>Prezes PGRP</w:t>
            </w:r>
          </w:p>
        </w:tc>
        <w:tc>
          <w:tcPr>
            <w:tcW w:w="4962" w:type="dxa"/>
          </w:tcPr>
          <w:p w14:paraId="397CE095" w14:textId="3F74F830" w:rsidR="00932193" w:rsidRPr="002228BA" w:rsidRDefault="00932193" w:rsidP="00AB0FF4">
            <w:pPr>
              <w:pStyle w:val="Bezodstpw"/>
              <w:jc w:val="both"/>
              <w:rPr>
                <w:rFonts w:cs="Times New Roman"/>
                <w:sz w:val="20"/>
                <w:szCs w:val="20"/>
              </w:rPr>
            </w:pPr>
            <w:r w:rsidRPr="002228BA">
              <w:rPr>
                <w:rFonts w:cs="Times New Roman"/>
                <w:sz w:val="20"/>
                <w:szCs w:val="20"/>
              </w:rPr>
              <w:t xml:space="preserve">Proj. przepisy dot. czynności wymaganych przy dodaniu identyfikatora osoby fizycznej, ale nie jest jasna relacja tych przepisów, ponieważ ust. 6 obejmuje dodatkowo zmianę identyfikatora osoby fizycznej (zasadna jest </w:t>
            </w:r>
            <w:r w:rsidR="004376FC" w:rsidRPr="002228BA">
              <w:rPr>
                <w:rFonts w:cs="Times New Roman"/>
                <w:sz w:val="20"/>
                <w:szCs w:val="20"/>
              </w:rPr>
              <w:t>weryfikacja</w:t>
            </w:r>
            <w:r w:rsidRPr="002228BA">
              <w:rPr>
                <w:rFonts w:cs="Times New Roman"/>
                <w:sz w:val="20"/>
                <w:szCs w:val="20"/>
              </w:rPr>
              <w:t xml:space="preserve"> czy zmiana identyfikatora nie powinna być ujęta także w ust. 5).</w:t>
            </w:r>
          </w:p>
          <w:p w14:paraId="663C88ED" w14:textId="7C1C0CBE" w:rsidR="00932193" w:rsidRPr="002228BA" w:rsidRDefault="00932193" w:rsidP="00AB0FF4">
            <w:pPr>
              <w:pStyle w:val="Bezodstpw"/>
              <w:jc w:val="both"/>
              <w:rPr>
                <w:rFonts w:cs="Times New Roman"/>
                <w:sz w:val="20"/>
                <w:szCs w:val="20"/>
              </w:rPr>
            </w:pPr>
          </w:p>
        </w:tc>
        <w:tc>
          <w:tcPr>
            <w:tcW w:w="4816" w:type="dxa"/>
          </w:tcPr>
          <w:p w14:paraId="3B5DE4BC" w14:textId="363AE47A" w:rsidR="00932193" w:rsidRPr="002228BA" w:rsidRDefault="004376FC" w:rsidP="00AB0FF4">
            <w:pPr>
              <w:pStyle w:val="Bezodstpw"/>
              <w:jc w:val="both"/>
              <w:rPr>
                <w:rFonts w:cs="Times New Roman"/>
                <w:sz w:val="20"/>
                <w:szCs w:val="20"/>
              </w:rPr>
            </w:pPr>
            <w:r w:rsidRPr="002228BA">
              <w:rPr>
                <w:rFonts w:cs="Times New Roman"/>
                <w:b/>
                <w:bCs/>
                <w:sz w:val="20"/>
                <w:szCs w:val="20"/>
              </w:rPr>
              <w:t xml:space="preserve">Uwaga uwzględniona – </w:t>
            </w:r>
            <w:r w:rsidRPr="002228BA">
              <w:rPr>
                <w:rFonts w:cs="Times New Roman"/>
                <w:sz w:val="20"/>
                <w:szCs w:val="20"/>
              </w:rPr>
              <w:t xml:space="preserve">nadano nowe brzmienie przepisu, regulującego tę kwestię, którego obecna treść mieści się w § </w:t>
            </w:r>
            <w:r w:rsidR="00DC4C42" w:rsidRPr="002228BA">
              <w:rPr>
                <w:rFonts w:cs="Times New Roman"/>
                <w:sz w:val="20"/>
                <w:szCs w:val="20"/>
              </w:rPr>
              <w:t>4</w:t>
            </w:r>
            <w:r w:rsidRPr="002228BA">
              <w:rPr>
                <w:rFonts w:cs="Times New Roman"/>
                <w:sz w:val="20"/>
                <w:szCs w:val="20"/>
              </w:rPr>
              <w:t xml:space="preserve"> ust. </w:t>
            </w:r>
            <w:r w:rsidR="00DC4C42" w:rsidRPr="002228BA">
              <w:rPr>
                <w:rFonts w:cs="Times New Roman"/>
                <w:sz w:val="20"/>
                <w:szCs w:val="20"/>
              </w:rPr>
              <w:t>2</w:t>
            </w:r>
            <w:r w:rsidRPr="002228BA">
              <w:rPr>
                <w:rFonts w:cs="Times New Roman"/>
                <w:sz w:val="20"/>
                <w:szCs w:val="20"/>
              </w:rPr>
              <w:t xml:space="preserve"> projektu.</w:t>
            </w:r>
          </w:p>
        </w:tc>
      </w:tr>
      <w:tr w:rsidR="002228BA" w:rsidRPr="002228BA" w14:paraId="0A1C0D4F" w14:textId="77777777" w:rsidTr="00F0600D">
        <w:trPr>
          <w:trHeight w:val="1098"/>
        </w:trPr>
        <w:tc>
          <w:tcPr>
            <w:tcW w:w="834" w:type="dxa"/>
          </w:tcPr>
          <w:p w14:paraId="4EEAE86B" w14:textId="451C7E9F" w:rsidR="00932193" w:rsidRPr="002228BA" w:rsidRDefault="008138E3" w:rsidP="008138E3">
            <w:pPr>
              <w:pStyle w:val="Bezodstpw"/>
              <w:jc w:val="center"/>
              <w:rPr>
                <w:rFonts w:cs="Times New Roman"/>
                <w:sz w:val="20"/>
                <w:szCs w:val="20"/>
              </w:rPr>
            </w:pPr>
            <w:r w:rsidRPr="002228BA">
              <w:rPr>
                <w:rFonts w:cs="Times New Roman"/>
                <w:sz w:val="20"/>
                <w:szCs w:val="20"/>
              </w:rPr>
              <w:t>27</w:t>
            </w:r>
          </w:p>
        </w:tc>
        <w:tc>
          <w:tcPr>
            <w:tcW w:w="1566" w:type="dxa"/>
          </w:tcPr>
          <w:p w14:paraId="24E31F8C" w14:textId="7137366F" w:rsidR="00932193" w:rsidRPr="002228BA" w:rsidRDefault="00932193" w:rsidP="00F00F5B">
            <w:pPr>
              <w:pStyle w:val="Bezodstpw"/>
              <w:jc w:val="center"/>
              <w:rPr>
                <w:rFonts w:cs="Times New Roman"/>
                <w:b/>
                <w:bCs/>
                <w:sz w:val="20"/>
                <w:szCs w:val="20"/>
              </w:rPr>
            </w:pPr>
            <w:r w:rsidRPr="002228BA">
              <w:rPr>
                <w:rFonts w:cs="Times New Roman"/>
                <w:b/>
                <w:bCs/>
                <w:sz w:val="20"/>
                <w:szCs w:val="20"/>
              </w:rPr>
              <w:t>§ 3 ust. 5 i 7 projektu</w:t>
            </w:r>
          </w:p>
        </w:tc>
        <w:tc>
          <w:tcPr>
            <w:tcW w:w="2131" w:type="dxa"/>
          </w:tcPr>
          <w:p w14:paraId="383E0D0F" w14:textId="155AA450" w:rsidR="00932193" w:rsidRPr="002228BA" w:rsidRDefault="00932193" w:rsidP="00F00F5B">
            <w:pPr>
              <w:pStyle w:val="Bezodstpw"/>
              <w:jc w:val="center"/>
              <w:rPr>
                <w:rFonts w:cs="Times New Roman"/>
                <w:b/>
                <w:bCs/>
                <w:sz w:val="20"/>
                <w:szCs w:val="20"/>
              </w:rPr>
            </w:pPr>
            <w:r w:rsidRPr="002228BA">
              <w:rPr>
                <w:rFonts w:cs="Times New Roman"/>
                <w:b/>
                <w:bCs/>
                <w:sz w:val="20"/>
                <w:szCs w:val="20"/>
              </w:rPr>
              <w:t>Prezes PGRP</w:t>
            </w:r>
          </w:p>
        </w:tc>
        <w:tc>
          <w:tcPr>
            <w:tcW w:w="4962" w:type="dxa"/>
          </w:tcPr>
          <w:p w14:paraId="6567B1FE" w14:textId="32E50529" w:rsidR="00932193" w:rsidRPr="002228BA" w:rsidRDefault="00932193" w:rsidP="00932193">
            <w:pPr>
              <w:autoSpaceDE w:val="0"/>
              <w:autoSpaceDN w:val="0"/>
              <w:adjustRightInd w:val="0"/>
              <w:jc w:val="both"/>
              <w:rPr>
                <w:rFonts w:cs="Times New Roman"/>
                <w:sz w:val="20"/>
                <w:szCs w:val="20"/>
              </w:rPr>
            </w:pPr>
            <w:r w:rsidRPr="002228BA">
              <w:rPr>
                <w:rFonts w:cs="Times New Roman"/>
                <w:sz w:val="20"/>
                <w:szCs w:val="20"/>
              </w:rPr>
              <w:t>Proj. przepisy dot. czynności wymaganych przy zmianie lub dodaniu imienia i nazwiska, ale nie jest jasna relacja tych przepisów, ponieważ ust. 7 obejmuje tylko zmianę imienia i nazwiska (zasadna jest weryfikacja, czy w ust. 7 nie powinno być ujęte także</w:t>
            </w:r>
            <w:r w:rsidR="002F5C54" w:rsidRPr="002228BA">
              <w:rPr>
                <w:rFonts w:cs="Times New Roman"/>
                <w:sz w:val="20"/>
                <w:szCs w:val="20"/>
              </w:rPr>
              <w:t xml:space="preserve"> </w:t>
            </w:r>
            <w:r w:rsidRPr="002228BA">
              <w:rPr>
                <w:rFonts w:cs="Times New Roman"/>
                <w:sz w:val="20"/>
                <w:szCs w:val="20"/>
              </w:rPr>
              <w:t>dodanie imienia i nazwiska).</w:t>
            </w:r>
          </w:p>
          <w:p w14:paraId="3F87D210" w14:textId="77777777" w:rsidR="00932193" w:rsidRPr="002228BA" w:rsidRDefault="00932193" w:rsidP="00AB0FF4">
            <w:pPr>
              <w:pStyle w:val="Bezodstpw"/>
              <w:jc w:val="both"/>
              <w:rPr>
                <w:rFonts w:cs="Times New Roman"/>
                <w:sz w:val="20"/>
                <w:szCs w:val="20"/>
              </w:rPr>
            </w:pPr>
          </w:p>
        </w:tc>
        <w:tc>
          <w:tcPr>
            <w:tcW w:w="4816" w:type="dxa"/>
          </w:tcPr>
          <w:p w14:paraId="589292F1" w14:textId="2A2AD8E9" w:rsidR="00932193" w:rsidRPr="002228BA" w:rsidRDefault="004376FC" w:rsidP="00AB0FF4">
            <w:pPr>
              <w:pStyle w:val="Bezodstpw"/>
              <w:jc w:val="both"/>
              <w:rPr>
                <w:rFonts w:cs="Times New Roman"/>
                <w:sz w:val="20"/>
                <w:szCs w:val="20"/>
              </w:rPr>
            </w:pPr>
            <w:r w:rsidRPr="002228BA">
              <w:rPr>
                <w:rFonts w:cs="Times New Roman"/>
                <w:b/>
                <w:bCs/>
                <w:sz w:val="20"/>
                <w:szCs w:val="20"/>
              </w:rPr>
              <w:t xml:space="preserve">Uwaga uwzględniona – </w:t>
            </w:r>
            <w:r w:rsidRPr="002228BA">
              <w:rPr>
                <w:rFonts w:cs="Times New Roman"/>
                <w:sz w:val="20"/>
                <w:szCs w:val="20"/>
              </w:rPr>
              <w:t xml:space="preserve">nadano nowe brzmienie przepisu, regulującego tę kwestię, którego obecna treść mieści się w § </w:t>
            </w:r>
            <w:r w:rsidR="00DC4C42" w:rsidRPr="002228BA">
              <w:rPr>
                <w:rFonts w:cs="Times New Roman"/>
                <w:sz w:val="20"/>
                <w:szCs w:val="20"/>
              </w:rPr>
              <w:t>4</w:t>
            </w:r>
            <w:r w:rsidRPr="002228BA">
              <w:rPr>
                <w:rFonts w:cs="Times New Roman"/>
                <w:sz w:val="20"/>
                <w:szCs w:val="20"/>
              </w:rPr>
              <w:t xml:space="preserve"> ust. </w:t>
            </w:r>
            <w:r w:rsidR="00DC4C42" w:rsidRPr="002228BA">
              <w:rPr>
                <w:rFonts w:cs="Times New Roman"/>
                <w:sz w:val="20"/>
                <w:szCs w:val="20"/>
              </w:rPr>
              <w:t>2</w:t>
            </w:r>
            <w:r w:rsidRPr="002228BA">
              <w:rPr>
                <w:rFonts w:cs="Times New Roman"/>
                <w:sz w:val="20"/>
                <w:szCs w:val="20"/>
              </w:rPr>
              <w:t xml:space="preserve"> projektu.</w:t>
            </w:r>
          </w:p>
        </w:tc>
      </w:tr>
      <w:tr w:rsidR="002228BA" w:rsidRPr="002228BA" w14:paraId="69514FBE" w14:textId="77777777" w:rsidTr="00F0600D">
        <w:trPr>
          <w:trHeight w:val="1098"/>
        </w:trPr>
        <w:tc>
          <w:tcPr>
            <w:tcW w:w="834" w:type="dxa"/>
          </w:tcPr>
          <w:p w14:paraId="0F867A16" w14:textId="38F99C10" w:rsidR="00985A4B" w:rsidRPr="002228BA" w:rsidRDefault="008138E3" w:rsidP="008138E3">
            <w:pPr>
              <w:pStyle w:val="Bezodstpw"/>
              <w:jc w:val="center"/>
              <w:rPr>
                <w:rFonts w:cs="Times New Roman"/>
                <w:sz w:val="20"/>
                <w:szCs w:val="20"/>
              </w:rPr>
            </w:pPr>
            <w:r w:rsidRPr="002228BA">
              <w:rPr>
                <w:rFonts w:cs="Times New Roman"/>
                <w:sz w:val="20"/>
                <w:szCs w:val="20"/>
              </w:rPr>
              <w:t>28</w:t>
            </w:r>
          </w:p>
        </w:tc>
        <w:tc>
          <w:tcPr>
            <w:tcW w:w="1566" w:type="dxa"/>
          </w:tcPr>
          <w:p w14:paraId="35066972" w14:textId="0B10CDA1" w:rsidR="00985A4B" w:rsidRPr="002228BA" w:rsidRDefault="00985A4B" w:rsidP="00F00F5B">
            <w:pPr>
              <w:pStyle w:val="Bezodstpw"/>
              <w:jc w:val="center"/>
              <w:rPr>
                <w:rFonts w:cs="Times New Roman"/>
                <w:b/>
                <w:bCs/>
                <w:sz w:val="20"/>
                <w:szCs w:val="20"/>
              </w:rPr>
            </w:pPr>
            <w:r w:rsidRPr="002228BA">
              <w:rPr>
                <w:rFonts w:cs="Times New Roman"/>
                <w:b/>
                <w:bCs/>
                <w:sz w:val="20"/>
                <w:szCs w:val="20"/>
              </w:rPr>
              <w:t>§ 3 ust 6</w:t>
            </w:r>
            <w:r w:rsidR="00875AB1" w:rsidRPr="002228BA">
              <w:rPr>
                <w:rFonts w:cs="Times New Roman"/>
                <w:b/>
                <w:bCs/>
                <w:sz w:val="20"/>
                <w:szCs w:val="20"/>
              </w:rPr>
              <w:t xml:space="preserve"> </w:t>
            </w:r>
            <w:r w:rsidR="00875AB1" w:rsidRPr="002228BA">
              <w:rPr>
                <w:b/>
                <w:bCs/>
                <w:sz w:val="20"/>
                <w:szCs w:val="20"/>
              </w:rPr>
              <w:t>projektu</w:t>
            </w:r>
          </w:p>
        </w:tc>
        <w:tc>
          <w:tcPr>
            <w:tcW w:w="2131" w:type="dxa"/>
          </w:tcPr>
          <w:p w14:paraId="520810E1" w14:textId="51C6F540"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1A7C791B" w14:textId="6F770C13" w:rsidR="00985A4B" w:rsidRPr="002228BA" w:rsidRDefault="00985A4B" w:rsidP="00AB0FF4">
            <w:pPr>
              <w:pStyle w:val="Bezodstpw"/>
              <w:jc w:val="both"/>
              <w:rPr>
                <w:rFonts w:cs="Times New Roman"/>
                <w:sz w:val="20"/>
                <w:szCs w:val="20"/>
              </w:rPr>
            </w:pPr>
            <w:r w:rsidRPr="002228BA">
              <w:rPr>
                <w:rFonts w:cs="Times New Roman"/>
                <w:sz w:val="20"/>
                <w:szCs w:val="20"/>
              </w:rPr>
              <w:t xml:space="preserve">Zmiana identyfikatora nie jest </w:t>
            </w:r>
            <w:r w:rsidR="00434876" w:rsidRPr="002228BA">
              <w:rPr>
                <w:rFonts w:cs="Times New Roman"/>
                <w:sz w:val="20"/>
                <w:szCs w:val="20"/>
              </w:rPr>
              <w:t>możliwa,</w:t>
            </w:r>
            <w:r w:rsidRPr="002228BA">
              <w:rPr>
                <w:rFonts w:cs="Times New Roman"/>
                <w:sz w:val="20"/>
                <w:szCs w:val="20"/>
              </w:rPr>
              <w:t xml:space="preserve"> bo pociągałaby każdorazowo za sobą zmianę w SRB we wszystkich sprawach. Identyfikatory muszą być niezmienne.</w:t>
            </w:r>
          </w:p>
        </w:tc>
        <w:tc>
          <w:tcPr>
            <w:tcW w:w="4816" w:type="dxa"/>
          </w:tcPr>
          <w:p w14:paraId="343ED3D5" w14:textId="20B86780" w:rsidR="008354F6" w:rsidRPr="002228BA" w:rsidRDefault="00434876" w:rsidP="00854708">
            <w:pPr>
              <w:pStyle w:val="Bezodstpw"/>
              <w:jc w:val="both"/>
              <w:rPr>
                <w:rFonts w:cs="Times New Roman"/>
                <w:b/>
                <w:bCs/>
                <w:sz w:val="20"/>
                <w:szCs w:val="20"/>
              </w:rPr>
            </w:pPr>
            <w:r w:rsidRPr="002228BA">
              <w:rPr>
                <w:rFonts w:cs="Times New Roman"/>
                <w:b/>
                <w:bCs/>
                <w:sz w:val="20"/>
                <w:szCs w:val="20"/>
              </w:rPr>
              <w:t xml:space="preserve">Uwaga uwzględniona </w:t>
            </w:r>
            <w:r w:rsidRPr="002228BA">
              <w:rPr>
                <w:rFonts w:cs="Times New Roman"/>
                <w:sz w:val="20"/>
                <w:szCs w:val="20"/>
              </w:rPr>
              <w:t>– zrezygnowano z treści §</w:t>
            </w:r>
            <w:r w:rsidR="00605460" w:rsidRPr="002228BA">
              <w:rPr>
                <w:rFonts w:cs="Times New Roman"/>
                <w:sz w:val="20"/>
                <w:szCs w:val="20"/>
              </w:rPr>
              <w:t xml:space="preserve"> 4</w:t>
            </w:r>
            <w:r w:rsidRPr="002228BA">
              <w:rPr>
                <w:rFonts w:cs="Times New Roman"/>
                <w:sz w:val="20"/>
                <w:szCs w:val="20"/>
              </w:rPr>
              <w:t xml:space="preserve"> ust. </w:t>
            </w:r>
            <w:r w:rsidR="00605460" w:rsidRPr="002228BA">
              <w:rPr>
                <w:rFonts w:cs="Times New Roman"/>
                <w:sz w:val="20"/>
                <w:szCs w:val="20"/>
              </w:rPr>
              <w:t>2</w:t>
            </w:r>
            <w:r w:rsidRPr="002228BA">
              <w:rPr>
                <w:rFonts w:cs="Times New Roman"/>
                <w:sz w:val="20"/>
                <w:szCs w:val="20"/>
              </w:rPr>
              <w:t xml:space="preserve"> projektu</w:t>
            </w:r>
          </w:p>
        </w:tc>
      </w:tr>
      <w:tr w:rsidR="002228BA" w:rsidRPr="002228BA" w14:paraId="686BD8E5" w14:textId="77777777" w:rsidTr="00F0600D">
        <w:trPr>
          <w:trHeight w:val="1098"/>
        </w:trPr>
        <w:tc>
          <w:tcPr>
            <w:tcW w:w="834" w:type="dxa"/>
          </w:tcPr>
          <w:p w14:paraId="03FD537D" w14:textId="1C95A74E" w:rsidR="00985A4B" w:rsidRPr="002228BA" w:rsidRDefault="008138E3" w:rsidP="008138E3">
            <w:pPr>
              <w:pStyle w:val="Bezodstpw"/>
              <w:jc w:val="center"/>
              <w:rPr>
                <w:rFonts w:cs="Times New Roman"/>
                <w:sz w:val="20"/>
                <w:szCs w:val="20"/>
              </w:rPr>
            </w:pPr>
            <w:r w:rsidRPr="002228BA">
              <w:rPr>
                <w:rFonts w:cs="Times New Roman"/>
                <w:sz w:val="20"/>
                <w:szCs w:val="20"/>
              </w:rPr>
              <w:t>29</w:t>
            </w:r>
          </w:p>
        </w:tc>
        <w:tc>
          <w:tcPr>
            <w:tcW w:w="1566" w:type="dxa"/>
          </w:tcPr>
          <w:p w14:paraId="28788C86" w14:textId="24AFE0D9" w:rsidR="00985A4B" w:rsidRPr="002228BA" w:rsidRDefault="00C10B29" w:rsidP="00F00F5B">
            <w:pPr>
              <w:pStyle w:val="Bezodstpw"/>
              <w:jc w:val="center"/>
              <w:rPr>
                <w:rFonts w:cs="Times New Roman"/>
                <w:b/>
                <w:bCs/>
                <w:sz w:val="20"/>
                <w:szCs w:val="20"/>
              </w:rPr>
            </w:pPr>
            <w:r w:rsidRPr="002228BA">
              <w:rPr>
                <w:rFonts w:cs="Times New Roman"/>
                <w:b/>
                <w:bCs/>
                <w:sz w:val="20"/>
                <w:szCs w:val="20"/>
              </w:rPr>
              <w:t>§ 3 ust 7 projektu</w:t>
            </w:r>
          </w:p>
        </w:tc>
        <w:tc>
          <w:tcPr>
            <w:tcW w:w="2131" w:type="dxa"/>
          </w:tcPr>
          <w:p w14:paraId="33B3A74E" w14:textId="3CE54061"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0E261EC6" w14:textId="2649DC40" w:rsidR="00985A4B" w:rsidRPr="002228BA" w:rsidRDefault="00C10B29" w:rsidP="00AB0FF4">
            <w:pPr>
              <w:pStyle w:val="Bezodstpw"/>
              <w:jc w:val="both"/>
              <w:rPr>
                <w:rFonts w:cs="Times New Roman"/>
                <w:sz w:val="20"/>
                <w:szCs w:val="20"/>
              </w:rPr>
            </w:pPr>
            <w:r w:rsidRPr="002228BA">
              <w:rPr>
                <w:rFonts w:cs="Times New Roman"/>
                <w:sz w:val="20"/>
                <w:szCs w:val="20"/>
              </w:rPr>
              <w:t>Nie mam obecnie możliwości odseparowania zarządzania kontami od wglądu do spraw więc musi to być powierzone sądowi.</w:t>
            </w:r>
          </w:p>
        </w:tc>
        <w:tc>
          <w:tcPr>
            <w:tcW w:w="4816" w:type="dxa"/>
          </w:tcPr>
          <w:p w14:paraId="677757B0" w14:textId="7D52E335" w:rsidR="008354F6" w:rsidRPr="002228BA" w:rsidRDefault="00434876" w:rsidP="006C4669">
            <w:pPr>
              <w:pStyle w:val="Bezodstpw"/>
              <w:jc w:val="both"/>
              <w:rPr>
                <w:rFonts w:cs="Times New Roman"/>
                <w:sz w:val="20"/>
                <w:szCs w:val="20"/>
              </w:rPr>
            </w:pPr>
            <w:r w:rsidRPr="002228BA">
              <w:rPr>
                <w:rFonts w:cs="Times New Roman"/>
                <w:b/>
                <w:bCs/>
                <w:sz w:val="20"/>
                <w:szCs w:val="20"/>
              </w:rPr>
              <w:t>Uwaga uwzględniona</w:t>
            </w:r>
            <w:r w:rsidRPr="002228BA">
              <w:rPr>
                <w:rFonts w:cs="Times New Roman"/>
                <w:sz w:val="20"/>
                <w:szCs w:val="20"/>
              </w:rPr>
              <w:t xml:space="preserve"> – zrezygnowano z treści § </w:t>
            </w:r>
            <w:r w:rsidR="00605460" w:rsidRPr="002228BA">
              <w:rPr>
                <w:rFonts w:cs="Times New Roman"/>
                <w:sz w:val="20"/>
                <w:szCs w:val="20"/>
              </w:rPr>
              <w:t>4</w:t>
            </w:r>
            <w:r w:rsidRPr="002228BA">
              <w:rPr>
                <w:rFonts w:cs="Times New Roman"/>
                <w:sz w:val="20"/>
                <w:szCs w:val="20"/>
              </w:rPr>
              <w:t xml:space="preserve"> ust. </w:t>
            </w:r>
            <w:r w:rsidR="00605460" w:rsidRPr="002228BA">
              <w:rPr>
                <w:rFonts w:cs="Times New Roman"/>
                <w:sz w:val="20"/>
                <w:szCs w:val="20"/>
              </w:rPr>
              <w:t>2</w:t>
            </w:r>
            <w:r w:rsidRPr="002228BA">
              <w:rPr>
                <w:rFonts w:cs="Times New Roman"/>
                <w:sz w:val="20"/>
                <w:szCs w:val="20"/>
              </w:rPr>
              <w:t xml:space="preserve"> projektu</w:t>
            </w:r>
          </w:p>
        </w:tc>
      </w:tr>
      <w:tr w:rsidR="002228BA" w:rsidRPr="002228BA" w14:paraId="3F5888AE" w14:textId="77777777" w:rsidTr="00F0600D">
        <w:trPr>
          <w:trHeight w:val="1098"/>
        </w:trPr>
        <w:tc>
          <w:tcPr>
            <w:tcW w:w="834" w:type="dxa"/>
          </w:tcPr>
          <w:p w14:paraId="7DFA10FD" w14:textId="1C5C2702" w:rsidR="00823064" w:rsidRPr="002228BA" w:rsidRDefault="008138E3" w:rsidP="008138E3">
            <w:pPr>
              <w:pStyle w:val="Bezodstpw"/>
              <w:jc w:val="center"/>
              <w:rPr>
                <w:rFonts w:cs="Times New Roman"/>
                <w:sz w:val="20"/>
                <w:szCs w:val="20"/>
              </w:rPr>
            </w:pPr>
            <w:r w:rsidRPr="002228BA">
              <w:rPr>
                <w:rFonts w:cs="Times New Roman"/>
                <w:sz w:val="20"/>
                <w:szCs w:val="20"/>
              </w:rPr>
              <w:t>30</w:t>
            </w:r>
          </w:p>
        </w:tc>
        <w:tc>
          <w:tcPr>
            <w:tcW w:w="1566" w:type="dxa"/>
          </w:tcPr>
          <w:p w14:paraId="7D6AB996" w14:textId="42805400" w:rsidR="00823064" w:rsidRPr="002228BA" w:rsidRDefault="00823064" w:rsidP="00F00F5B">
            <w:pPr>
              <w:pStyle w:val="Bezodstpw"/>
              <w:jc w:val="center"/>
              <w:rPr>
                <w:rFonts w:cs="Times New Roman"/>
                <w:b/>
                <w:bCs/>
                <w:sz w:val="20"/>
                <w:szCs w:val="20"/>
              </w:rPr>
            </w:pPr>
            <w:r w:rsidRPr="002228BA">
              <w:rPr>
                <w:rFonts w:cs="Times New Roman"/>
                <w:b/>
                <w:bCs/>
                <w:sz w:val="20"/>
                <w:szCs w:val="20"/>
              </w:rPr>
              <w:t>§ 3 ust. 8 projektu</w:t>
            </w:r>
          </w:p>
        </w:tc>
        <w:tc>
          <w:tcPr>
            <w:tcW w:w="2131" w:type="dxa"/>
          </w:tcPr>
          <w:p w14:paraId="025E9D1E" w14:textId="6881A75E" w:rsidR="00823064" w:rsidRPr="002228BA" w:rsidRDefault="00823064" w:rsidP="00F00F5B">
            <w:pPr>
              <w:pStyle w:val="Bezodstpw"/>
              <w:jc w:val="center"/>
              <w:rPr>
                <w:rFonts w:cs="Times New Roman"/>
                <w:b/>
                <w:bCs/>
                <w:sz w:val="20"/>
                <w:szCs w:val="20"/>
              </w:rPr>
            </w:pPr>
            <w:r w:rsidRPr="002228BA">
              <w:rPr>
                <w:rFonts w:cs="Times New Roman"/>
                <w:b/>
                <w:bCs/>
                <w:sz w:val="20"/>
                <w:szCs w:val="20"/>
              </w:rPr>
              <w:t>Prezes PGRP</w:t>
            </w:r>
          </w:p>
        </w:tc>
        <w:tc>
          <w:tcPr>
            <w:tcW w:w="4962" w:type="dxa"/>
          </w:tcPr>
          <w:p w14:paraId="587A694C" w14:textId="77777777" w:rsidR="00823064" w:rsidRPr="002228BA" w:rsidRDefault="00823064" w:rsidP="00AB0FF4">
            <w:pPr>
              <w:pStyle w:val="Bezodstpw"/>
              <w:jc w:val="both"/>
              <w:rPr>
                <w:rFonts w:cs="Times New Roman"/>
                <w:sz w:val="20"/>
                <w:szCs w:val="20"/>
              </w:rPr>
            </w:pPr>
            <w:r w:rsidRPr="002228BA">
              <w:rPr>
                <w:rFonts w:cs="Times New Roman"/>
                <w:sz w:val="20"/>
                <w:szCs w:val="20"/>
              </w:rPr>
              <w:t>Proj. przepis odnosi się do zmiany, o której mowa w ust. 5, czyli do zmiany tylko w zakresie imienia lub nazwiska (ust. 5 nie obejmuje zmiany identyfikatora), więc w ust. 8 nie powinno być mowy o sposobie weryfikacji, o którym mowa w ust. 6, ponieważ ten przepis dotyczy zmiany identyfikatora.</w:t>
            </w:r>
          </w:p>
          <w:p w14:paraId="02BE317D" w14:textId="10A6324C" w:rsidR="00823064" w:rsidRPr="002228BA" w:rsidRDefault="00823064" w:rsidP="00AB0FF4">
            <w:pPr>
              <w:pStyle w:val="Bezodstpw"/>
              <w:jc w:val="both"/>
              <w:rPr>
                <w:rFonts w:cs="Times New Roman"/>
                <w:sz w:val="20"/>
                <w:szCs w:val="20"/>
              </w:rPr>
            </w:pPr>
          </w:p>
        </w:tc>
        <w:tc>
          <w:tcPr>
            <w:tcW w:w="4816" w:type="dxa"/>
          </w:tcPr>
          <w:p w14:paraId="557D349F" w14:textId="30FE879E" w:rsidR="00823064" w:rsidRPr="002228BA" w:rsidRDefault="006C4669" w:rsidP="00AB0FF4">
            <w:pPr>
              <w:pStyle w:val="Bezodstpw"/>
              <w:jc w:val="both"/>
              <w:rPr>
                <w:rFonts w:cs="Times New Roman"/>
                <w:b/>
                <w:bCs/>
                <w:sz w:val="20"/>
                <w:szCs w:val="20"/>
              </w:rPr>
            </w:pPr>
            <w:r w:rsidRPr="002228BA">
              <w:rPr>
                <w:rFonts w:cs="Times New Roman"/>
                <w:b/>
                <w:bCs/>
                <w:sz w:val="20"/>
                <w:szCs w:val="20"/>
              </w:rPr>
              <w:t xml:space="preserve">Uwaga uwzględniona – </w:t>
            </w:r>
            <w:r w:rsidRPr="002228BA">
              <w:rPr>
                <w:rFonts w:cs="Times New Roman"/>
                <w:sz w:val="20"/>
                <w:szCs w:val="20"/>
              </w:rPr>
              <w:t xml:space="preserve">nadano nowe brzmienie przepisu, regulującego tę kwestię, którego obecna treść mieści się w § </w:t>
            </w:r>
            <w:r w:rsidR="00DC4C42" w:rsidRPr="002228BA">
              <w:rPr>
                <w:rFonts w:cs="Times New Roman"/>
                <w:sz w:val="20"/>
                <w:szCs w:val="20"/>
              </w:rPr>
              <w:t>4</w:t>
            </w:r>
            <w:r w:rsidRPr="002228BA">
              <w:rPr>
                <w:rFonts w:cs="Times New Roman"/>
                <w:sz w:val="20"/>
                <w:szCs w:val="20"/>
              </w:rPr>
              <w:t xml:space="preserve"> ust. </w:t>
            </w:r>
            <w:r w:rsidR="00DC4C42" w:rsidRPr="002228BA">
              <w:rPr>
                <w:rFonts w:cs="Times New Roman"/>
                <w:sz w:val="20"/>
                <w:szCs w:val="20"/>
              </w:rPr>
              <w:t>2</w:t>
            </w:r>
            <w:r w:rsidRPr="002228BA">
              <w:rPr>
                <w:rFonts w:cs="Times New Roman"/>
                <w:sz w:val="20"/>
                <w:szCs w:val="20"/>
              </w:rPr>
              <w:t xml:space="preserve"> projektu.</w:t>
            </w:r>
          </w:p>
        </w:tc>
      </w:tr>
      <w:tr w:rsidR="002228BA" w:rsidRPr="002228BA" w14:paraId="1843AF01" w14:textId="77777777" w:rsidTr="00F0600D">
        <w:trPr>
          <w:trHeight w:val="1098"/>
        </w:trPr>
        <w:tc>
          <w:tcPr>
            <w:tcW w:w="834" w:type="dxa"/>
          </w:tcPr>
          <w:p w14:paraId="2D1C1FE5" w14:textId="44632B02" w:rsidR="005D40EA" w:rsidRPr="002228BA" w:rsidRDefault="008138E3" w:rsidP="008138E3">
            <w:pPr>
              <w:pStyle w:val="Bezodstpw"/>
              <w:jc w:val="center"/>
              <w:rPr>
                <w:rFonts w:cs="Times New Roman"/>
                <w:sz w:val="20"/>
                <w:szCs w:val="20"/>
              </w:rPr>
            </w:pPr>
            <w:r w:rsidRPr="002228BA">
              <w:rPr>
                <w:rFonts w:cs="Times New Roman"/>
                <w:sz w:val="20"/>
                <w:szCs w:val="20"/>
              </w:rPr>
              <w:lastRenderedPageBreak/>
              <w:t>31</w:t>
            </w:r>
          </w:p>
        </w:tc>
        <w:tc>
          <w:tcPr>
            <w:tcW w:w="1566" w:type="dxa"/>
          </w:tcPr>
          <w:p w14:paraId="2B005023" w14:textId="779D6ABD" w:rsidR="005D40EA" w:rsidRPr="002228BA" w:rsidRDefault="005D40EA" w:rsidP="00F00F5B">
            <w:pPr>
              <w:pStyle w:val="Bezodstpw"/>
              <w:jc w:val="center"/>
              <w:rPr>
                <w:rFonts w:cs="Times New Roman"/>
                <w:b/>
                <w:bCs/>
                <w:sz w:val="20"/>
                <w:szCs w:val="20"/>
              </w:rPr>
            </w:pPr>
            <w:r w:rsidRPr="002228BA">
              <w:rPr>
                <w:rFonts w:cs="Times New Roman"/>
                <w:b/>
                <w:bCs/>
                <w:sz w:val="20"/>
                <w:szCs w:val="20"/>
              </w:rPr>
              <w:t>§ 3 i</w:t>
            </w:r>
            <w:r w:rsidRPr="002228BA">
              <w:rPr>
                <w:b/>
                <w:bCs/>
                <w:sz w:val="20"/>
                <w:szCs w:val="20"/>
              </w:rPr>
              <w:t xml:space="preserve"> 4 </w:t>
            </w:r>
            <w:r w:rsidRPr="002228BA">
              <w:rPr>
                <w:rFonts w:cs="Times New Roman"/>
                <w:b/>
                <w:bCs/>
                <w:sz w:val="20"/>
                <w:szCs w:val="20"/>
              </w:rPr>
              <w:t>projektu</w:t>
            </w:r>
          </w:p>
        </w:tc>
        <w:tc>
          <w:tcPr>
            <w:tcW w:w="2131" w:type="dxa"/>
          </w:tcPr>
          <w:p w14:paraId="460F0E2E" w14:textId="6FFCD08B" w:rsidR="005D40EA" w:rsidRPr="002228BA" w:rsidRDefault="005D40EA" w:rsidP="00F00F5B">
            <w:pPr>
              <w:pStyle w:val="Bezodstpw"/>
              <w:jc w:val="center"/>
              <w:rPr>
                <w:rFonts w:cs="Times New Roman"/>
                <w:b/>
                <w:bCs/>
                <w:sz w:val="20"/>
                <w:szCs w:val="20"/>
              </w:rPr>
            </w:pPr>
            <w:r w:rsidRPr="002228BA">
              <w:rPr>
                <w:rFonts w:cs="Times New Roman"/>
                <w:b/>
                <w:bCs/>
                <w:sz w:val="20"/>
                <w:szCs w:val="20"/>
              </w:rPr>
              <w:t>Prokurator Krajowy</w:t>
            </w:r>
          </w:p>
        </w:tc>
        <w:tc>
          <w:tcPr>
            <w:tcW w:w="4962" w:type="dxa"/>
          </w:tcPr>
          <w:p w14:paraId="7490DDBC" w14:textId="77777777" w:rsidR="005D40EA" w:rsidRPr="002228BA" w:rsidRDefault="005D40EA" w:rsidP="005D40EA">
            <w:pPr>
              <w:pStyle w:val="Bezodstpw"/>
              <w:jc w:val="both"/>
              <w:rPr>
                <w:rFonts w:eastAsiaTheme="minorEastAsia" w:cs="Times New Roman"/>
                <w:sz w:val="20"/>
                <w:szCs w:val="20"/>
                <w:lang w:eastAsia="pl-PL"/>
              </w:rPr>
            </w:pPr>
            <w:r w:rsidRPr="002228BA">
              <w:rPr>
                <w:rStyle w:val="FontStyle12"/>
                <w:sz w:val="20"/>
                <w:szCs w:val="20"/>
              </w:rPr>
              <w:t>Przyjęcie tego rodzaju rozwiązania w odniesieniu do kont zakładanych dla prokuratorów wymagałoby wyposażenia wszystkich prokuratorów w kwalifikowany podpis elektroniczny (który obecnie posiada wyłącznie niewielka część kadry orzeczniczej powszechnych jednostek organizacyjnych prokuratury) albo posłużenia się przez prokuratora przy realizacji zadań służbowych (związanych z założeniem konta w PI</w:t>
            </w:r>
            <w:r w:rsidRPr="002228BA">
              <w:rPr>
                <w:rStyle w:val="FontStyle12"/>
              </w:rPr>
              <w:t>)</w:t>
            </w:r>
            <w:r w:rsidRPr="002228BA">
              <w:rPr>
                <w:rStyle w:val="FontStyle12"/>
                <w:sz w:val="20"/>
                <w:szCs w:val="20"/>
              </w:rPr>
              <w:t xml:space="preserve"> podpisem zaufanym, podpisem osobistym lub uwierzytelnieniem przez użycie środka identyfikacji elektronicznej wydanego w systemie identyfikacji elektronicznej przyłączonym do węzła krajowego identyfikacji elektronicznej (np. bankowość elektroniczna), co z kolei budzi wątpliwości w zakresie dopuszczalności tego rodzaju rozwiązania. W obowiązującym stanie prawnym brak bowiem przepisów, które nakładałyby na funkcjonariusza publicznego, jakim jest prokurator, obowiązek posługiwania się wskazanymi metodami uwierzytelnienia przy realizacji zadań </w:t>
            </w:r>
            <w:r w:rsidRPr="002228BA">
              <w:rPr>
                <w:rFonts w:eastAsiaTheme="minorEastAsia" w:cs="Times New Roman"/>
                <w:sz w:val="20"/>
                <w:szCs w:val="20"/>
                <w:lang w:eastAsia="pl-PL"/>
              </w:rPr>
              <w:t xml:space="preserve"> służbowych. O ile natomiast dla uwierzytelnienia osoby fizycznej w P</w:t>
            </w:r>
            <w:r w:rsidRPr="002228BA">
              <w:rPr>
                <w:rFonts w:eastAsiaTheme="minorEastAsia"/>
                <w:sz w:val="20"/>
                <w:szCs w:val="20"/>
                <w:lang w:eastAsia="pl-PL"/>
              </w:rPr>
              <w:t xml:space="preserve">I </w:t>
            </w:r>
            <w:r w:rsidRPr="002228BA">
              <w:rPr>
                <w:rFonts w:eastAsiaTheme="minorEastAsia" w:cs="Times New Roman"/>
                <w:sz w:val="20"/>
                <w:szCs w:val="20"/>
                <w:lang w:eastAsia="pl-PL"/>
              </w:rPr>
              <w:t>w proj.</w:t>
            </w:r>
            <w:r w:rsidRPr="002228BA">
              <w:rPr>
                <w:rFonts w:eastAsiaTheme="minorEastAsia"/>
                <w:sz w:val="20"/>
                <w:szCs w:val="20"/>
                <w:lang w:eastAsia="pl-PL"/>
              </w:rPr>
              <w:t xml:space="preserve"> </w:t>
            </w:r>
            <w:r w:rsidRPr="002228BA">
              <w:rPr>
                <w:rFonts w:eastAsiaTheme="minorEastAsia" w:cs="Times New Roman"/>
                <w:sz w:val="20"/>
                <w:szCs w:val="20"/>
                <w:lang w:eastAsia="pl-PL"/>
              </w:rPr>
              <w:t>§ 4 ust. 1 pkt 1 rozporządzenia przewidziano możliwość wykorzystania nazwy użytkownika i hasła, o tyle dla założenia konta w tym portalu wykorzystanie przywołanych wyżej metod uwierzytelnienia jest niezbędne.</w:t>
            </w:r>
          </w:p>
          <w:p w14:paraId="4A9FCEC8" w14:textId="7799E184" w:rsidR="003247D4" w:rsidRPr="002228BA" w:rsidRDefault="003247D4" w:rsidP="005D40EA">
            <w:pPr>
              <w:pStyle w:val="Bezodstpw"/>
              <w:jc w:val="both"/>
              <w:rPr>
                <w:rFonts w:eastAsiaTheme="minorEastAsia" w:cs="Times New Roman"/>
                <w:sz w:val="20"/>
                <w:szCs w:val="20"/>
                <w:lang w:eastAsia="pl-PL"/>
              </w:rPr>
            </w:pPr>
          </w:p>
        </w:tc>
        <w:tc>
          <w:tcPr>
            <w:tcW w:w="4816" w:type="dxa"/>
          </w:tcPr>
          <w:p w14:paraId="6FCCA0DA" w14:textId="4882AA5E" w:rsidR="005D40EA" w:rsidRPr="002228BA" w:rsidRDefault="004E203D" w:rsidP="00AB0FF4">
            <w:pPr>
              <w:pStyle w:val="Bezodstpw"/>
              <w:jc w:val="both"/>
              <w:rPr>
                <w:rFonts w:cs="Times New Roman"/>
                <w:b/>
                <w:bCs/>
                <w:sz w:val="20"/>
                <w:szCs w:val="20"/>
              </w:rPr>
            </w:pPr>
            <w:r w:rsidRPr="002228BA">
              <w:rPr>
                <w:rFonts w:cs="Times New Roman"/>
                <w:b/>
                <w:bCs/>
                <w:sz w:val="20"/>
                <w:szCs w:val="20"/>
              </w:rPr>
              <w:t xml:space="preserve">Uwaga uwzględniona – przepisy przemodelowano. </w:t>
            </w:r>
          </w:p>
        </w:tc>
      </w:tr>
      <w:tr w:rsidR="002228BA" w:rsidRPr="002228BA" w14:paraId="2CDDB76B" w14:textId="77777777" w:rsidTr="00F0600D">
        <w:trPr>
          <w:trHeight w:val="1098"/>
        </w:trPr>
        <w:tc>
          <w:tcPr>
            <w:tcW w:w="834" w:type="dxa"/>
          </w:tcPr>
          <w:p w14:paraId="5A230B39" w14:textId="6187CD91" w:rsidR="00985A4B" w:rsidRPr="002228BA" w:rsidRDefault="008138E3" w:rsidP="008138E3">
            <w:pPr>
              <w:pStyle w:val="Bezodstpw"/>
              <w:jc w:val="center"/>
              <w:rPr>
                <w:rFonts w:cs="Times New Roman"/>
                <w:sz w:val="20"/>
                <w:szCs w:val="20"/>
              </w:rPr>
            </w:pPr>
            <w:r w:rsidRPr="002228BA">
              <w:rPr>
                <w:rFonts w:cs="Times New Roman"/>
                <w:sz w:val="20"/>
                <w:szCs w:val="20"/>
              </w:rPr>
              <w:t>32</w:t>
            </w:r>
          </w:p>
        </w:tc>
        <w:tc>
          <w:tcPr>
            <w:tcW w:w="1566" w:type="dxa"/>
          </w:tcPr>
          <w:p w14:paraId="0D725FCE" w14:textId="0A51AD4B" w:rsidR="00985A4B" w:rsidRPr="002228BA" w:rsidRDefault="00C10B29" w:rsidP="00F00F5B">
            <w:pPr>
              <w:pStyle w:val="Bezodstpw"/>
              <w:jc w:val="center"/>
              <w:rPr>
                <w:rFonts w:cs="Times New Roman"/>
                <w:b/>
                <w:bCs/>
                <w:sz w:val="20"/>
                <w:szCs w:val="20"/>
              </w:rPr>
            </w:pPr>
            <w:r w:rsidRPr="002228BA">
              <w:rPr>
                <w:rFonts w:cs="Times New Roman"/>
                <w:b/>
                <w:bCs/>
                <w:sz w:val="20"/>
                <w:szCs w:val="20"/>
              </w:rPr>
              <w:t>§ 4 projektu</w:t>
            </w:r>
          </w:p>
        </w:tc>
        <w:tc>
          <w:tcPr>
            <w:tcW w:w="2131" w:type="dxa"/>
          </w:tcPr>
          <w:p w14:paraId="77D209FF" w14:textId="7D7D2723"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6A0E9D13" w14:textId="5EF94FA6" w:rsidR="00985A4B" w:rsidRPr="002228BA" w:rsidRDefault="00AE6F1B" w:rsidP="00AB0FF4">
            <w:pPr>
              <w:pStyle w:val="Bezodstpw"/>
              <w:jc w:val="both"/>
              <w:rPr>
                <w:rFonts w:cs="Times New Roman"/>
                <w:sz w:val="20"/>
                <w:szCs w:val="20"/>
              </w:rPr>
            </w:pPr>
            <w:r w:rsidRPr="002228BA">
              <w:rPr>
                <w:rFonts w:cs="Times New Roman"/>
                <w:sz w:val="20"/>
                <w:szCs w:val="20"/>
              </w:rPr>
              <w:t>P</w:t>
            </w:r>
            <w:r w:rsidRPr="002228BA">
              <w:rPr>
                <w:sz w:val="20"/>
                <w:szCs w:val="20"/>
              </w:rPr>
              <w:t>roj. r</w:t>
            </w:r>
            <w:r w:rsidR="00C10B29" w:rsidRPr="002228BA">
              <w:rPr>
                <w:rFonts w:cs="Times New Roman"/>
                <w:sz w:val="20"/>
                <w:szCs w:val="20"/>
              </w:rPr>
              <w:t xml:space="preserve">ozporządzenie nie rozstrzyga, co w przypadku kumulacji ról procesowych, np. konto adwokata a dostęp do spraw własnych lub </w:t>
            </w:r>
            <w:r w:rsidR="00D342FC" w:rsidRPr="002228BA">
              <w:rPr>
                <w:rFonts w:cs="Times New Roman"/>
                <w:sz w:val="20"/>
                <w:szCs w:val="20"/>
              </w:rPr>
              <w:t>spraw,</w:t>
            </w:r>
            <w:r w:rsidR="00C10B29" w:rsidRPr="002228BA">
              <w:rPr>
                <w:rFonts w:cs="Times New Roman"/>
                <w:sz w:val="20"/>
                <w:szCs w:val="20"/>
              </w:rPr>
              <w:t xml:space="preserve"> gdzie występuje jako mediator, czy biegły. Powinno być jedno konto w systemie PI.</w:t>
            </w:r>
          </w:p>
          <w:p w14:paraId="4FD66343" w14:textId="0CE2E604" w:rsidR="00C10B29" w:rsidRPr="002228BA" w:rsidRDefault="00C10B29" w:rsidP="00AB0FF4">
            <w:pPr>
              <w:pStyle w:val="Bezodstpw"/>
              <w:jc w:val="both"/>
              <w:rPr>
                <w:rFonts w:cs="Times New Roman"/>
                <w:sz w:val="20"/>
                <w:szCs w:val="20"/>
              </w:rPr>
            </w:pPr>
          </w:p>
        </w:tc>
        <w:tc>
          <w:tcPr>
            <w:tcW w:w="4816" w:type="dxa"/>
          </w:tcPr>
          <w:p w14:paraId="6EAAE345" w14:textId="43345FD5" w:rsidR="008354F6" w:rsidRPr="002228BA" w:rsidRDefault="00B4079A" w:rsidP="00854708">
            <w:pPr>
              <w:pStyle w:val="Bezodstpw"/>
              <w:jc w:val="both"/>
              <w:rPr>
                <w:rFonts w:cs="Times New Roman"/>
                <w:sz w:val="20"/>
                <w:szCs w:val="20"/>
              </w:rPr>
            </w:pPr>
            <w:r w:rsidRPr="002228BA">
              <w:rPr>
                <w:rFonts w:cs="Times New Roman"/>
                <w:b/>
                <w:bCs/>
                <w:sz w:val="20"/>
                <w:szCs w:val="20"/>
              </w:rPr>
              <w:t>Uwaga</w:t>
            </w:r>
            <w:r w:rsidR="006D64DD" w:rsidRPr="002228BA">
              <w:rPr>
                <w:rFonts w:cs="Times New Roman"/>
                <w:b/>
                <w:bCs/>
                <w:sz w:val="20"/>
                <w:szCs w:val="20"/>
              </w:rPr>
              <w:t xml:space="preserve"> </w:t>
            </w:r>
            <w:r w:rsidRPr="002228BA">
              <w:rPr>
                <w:rFonts w:cs="Times New Roman"/>
                <w:b/>
                <w:bCs/>
                <w:sz w:val="20"/>
                <w:szCs w:val="20"/>
              </w:rPr>
              <w:t>uwzględniona.</w:t>
            </w:r>
          </w:p>
        </w:tc>
      </w:tr>
      <w:tr w:rsidR="002228BA" w:rsidRPr="002228BA" w14:paraId="295DE271" w14:textId="77777777" w:rsidTr="00F0600D">
        <w:trPr>
          <w:trHeight w:val="1098"/>
        </w:trPr>
        <w:tc>
          <w:tcPr>
            <w:tcW w:w="834" w:type="dxa"/>
          </w:tcPr>
          <w:p w14:paraId="5800D3B0" w14:textId="66B4982B" w:rsidR="00985A4B" w:rsidRPr="002228BA" w:rsidRDefault="008138E3" w:rsidP="008138E3">
            <w:pPr>
              <w:pStyle w:val="Bezodstpw"/>
              <w:jc w:val="center"/>
              <w:rPr>
                <w:rFonts w:cs="Times New Roman"/>
                <w:sz w:val="20"/>
                <w:szCs w:val="20"/>
              </w:rPr>
            </w:pPr>
            <w:r w:rsidRPr="002228BA">
              <w:rPr>
                <w:rFonts w:cs="Times New Roman"/>
                <w:sz w:val="20"/>
                <w:szCs w:val="20"/>
              </w:rPr>
              <w:lastRenderedPageBreak/>
              <w:t>33</w:t>
            </w:r>
          </w:p>
        </w:tc>
        <w:tc>
          <w:tcPr>
            <w:tcW w:w="1566" w:type="dxa"/>
          </w:tcPr>
          <w:p w14:paraId="32C5DED4" w14:textId="7A71BC28" w:rsidR="00985A4B" w:rsidRPr="002228BA" w:rsidRDefault="00C10B29" w:rsidP="00F00F5B">
            <w:pPr>
              <w:pStyle w:val="Bezodstpw"/>
              <w:jc w:val="center"/>
              <w:rPr>
                <w:rFonts w:cs="Times New Roman"/>
                <w:b/>
                <w:bCs/>
                <w:sz w:val="20"/>
                <w:szCs w:val="20"/>
              </w:rPr>
            </w:pPr>
            <w:r w:rsidRPr="002228BA">
              <w:rPr>
                <w:rFonts w:cs="Times New Roman"/>
                <w:b/>
                <w:bCs/>
                <w:sz w:val="20"/>
                <w:szCs w:val="20"/>
              </w:rPr>
              <w:t>§ 6 ust. 1 projektu</w:t>
            </w:r>
          </w:p>
        </w:tc>
        <w:tc>
          <w:tcPr>
            <w:tcW w:w="2131" w:type="dxa"/>
          </w:tcPr>
          <w:p w14:paraId="6C024753" w14:textId="2BD267DB" w:rsidR="00985A4B"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2E7732F7" w14:textId="3CAB96D3" w:rsidR="00985A4B" w:rsidRPr="002228BA" w:rsidRDefault="00C10B29" w:rsidP="00AB0FF4">
            <w:pPr>
              <w:pStyle w:val="Bezodstpw"/>
              <w:jc w:val="both"/>
              <w:rPr>
                <w:rFonts w:cs="Times New Roman"/>
                <w:sz w:val="20"/>
                <w:szCs w:val="20"/>
              </w:rPr>
            </w:pPr>
            <w:r w:rsidRPr="002228BA">
              <w:rPr>
                <w:rFonts w:cs="Times New Roman"/>
                <w:sz w:val="20"/>
                <w:szCs w:val="20"/>
              </w:rPr>
              <w:t>Czy ten zapis dotyczy wszystkich typów kont?</w:t>
            </w:r>
          </w:p>
        </w:tc>
        <w:tc>
          <w:tcPr>
            <w:tcW w:w="4816" w:type="dxa"/>
          </w:tcPr>
          <w:p w14:paraId="2DEAF24B" w14:textId="65B01C8A" w:rsidR="008354F6" w:rsidRPr="002228BA" w:rsidRDefault="00D342FC" w:rsidP="00854708">
            <w:pPr>
              <w:pStyle w:val="Bezodstpw"/>
              <w:jc w:val="both"/>
              <w:rPr>
                <w:rFonts w:cs="Times New Roman"/>
                <w:sz w:val="20"/>
                <w:szCs w:val="20"/>
              </w:rPr>
            </w:pPr>
            <w:r w:rsidRPr="002228BA">
              <w:rPr>
                <w:rFonts w:cs="Times New Roman"/>
                <w:b/>
                <w:bCs/>
                <w:sz w:val="20"/>
                <w:szCs w:val="20"/>
              </w:rPr>
              <w:t xml:space="preserve">Uwaga wyjaśniona </w:t>
            </w:r>
            <w:r w:rsidRPr="002228BA">
              <w:rPr>
                <w:rFonts w:cs="Times New Roman"/>
                <w:sz w:val="20"/>
                <w:szCs w:val="20"/>
              </w:rPr>
              <w:t>– zrezygnowano z treści § 6 ust. 1 projektu</w:t>
            </w:r>
            <w:r w:rsidR="006D64DD" w:rsidRPr="002228BA">
              <w:rPr>
                <w:rFonts w:cs="Times New Roman"/>
                <w:sz w:val="20"/>
                <w:szCs w:val="20"/>
              </w:rPr>
              <w:t>.</w:t>
            </w:r>
          </w:p>
        </w:tc>
      </w:tr>
      <w:tr w:rsidR="002228BA" w:rsidRPr="002228BA" w14:paraId="13FC8E02" w14:textId="77777777" w:rsidTr="00F0600D">
        <w:trPr>
          <w:trHeight w:val="1098"/>
        </w:trPr>
        <w:tc>
          <w:tcPr>
            <w:tcW w:w="834" w:type="dxa"/>
          </w:tcPr>
          <w:p w14:paraId="609A86F5" w14:textId="30C43AD4" w:rsidR="00C10B29" w:rsidRPr="002228BA" w:rsidRDefault="008138E3" w:rsidP="008138E3">
            <w:pPr>
              <w:pStyle w:val="Bezodstpw"/>
              <w:jc w:val="center"/>
              <w:rPr>
                <w:rFonts w:cs="Times New Roman"/>
                <w:sz w:val="20"/>
                <w:szCs w:val="20"/>
              </w:rPr>
            </w:pPr>
            <w:r w:rsidRPr="002228BA">
              <w:rPr>
                <w:rFonts w:cs="Times New Roman"/>
                <w:sz w:val="20"/>
                <w:szCs w:val="20"/>
              </w:rPr>
              <w:t>34</w:t>
            </w:r>
          </w:p>
        </w:tc>
        <w:tc>
          <w:tcPr>
            <w:tcW w:w="1566" w:type="dxa"/>
          </w:tcPr>
          <w:p w14:paraId="23384EE1" w14:textId="784C4749" w:rsidR="00C10B29" w:rsidRPr="002228BA" w:rsidRDefault="00C10B29" w:rsidP="00F00F5B">
            <w:pPr>
              <w:pStyle w:val="Bezodstpw"/>
              <w:jc w:val="center"/>
              <w:rPr>
                <w:rFonts w:cs="Times New Roman"/>
                <w:b/>
                <w:bCs/>
                <w:sz w:val="20"/>
                <w:szCs w:val="20"/>
              </w:rPr>
            </w:pPr>
            <w:r w:rsidRPr="002228BA">
              <w:rPr>
                <w:rFonts w:cs="Times New Roman"/>
                <w:b/>
                <w:bCs/>
                <w:sz w:val="20"/>
                <w:szCs w:val="20"/>
              </w:rPr>
              <w:t>§ 7 projektu</w:t>
            </w:r>
          </w:p>
        </w:tc>
        <w:tc>
          <w:tcPr>
            <w:tcW w:w="2131" w:type="dxa"/>
          </w:tcPr>
          <w:p w14:paraId="4236DA77" w14:textId="6EC06ACB" w:rsidR="00C10B29"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4D67E112" w14:textId="04BF7FC7" w:rsidR="00C10B29" w:rsidRPr="002228BA" w:rsidRDefault="00C10B29" w:rsidP="00AB0FF4">
            <w:pPr>
              <w:pStyle w:val="Bezodstpw"/>
              <w:jc w:val="both"/>
              <w:rPr>
                <w:rFonts w:cs="Times New Roman"/>
                <w:sz w:val="20"/>
                <w:szCs w:val="20"/>
              </w:rPr>
            </w:pPr>
            <w:r w:rsidRPr="002228BA">
              <w:rPr>
                <w:rFonts w:cs="Times New Roman"/>
                <w:sz w:val="20"/>
                <w:szCs w:val="20"/>
              </w:rPr>
              <w:t>Brak zapisów o integracji z systemem ROBUS i blokowaniu kont. Brak zasad przechowywania niektórych danych po zamknięciu/usunięciu konta.</w:t>
            </w:r>
          </w:p>
        </w:tc>
        <w:tc>
          <w:tcPr>
            <w:tcW w:w="4816" w:type="dxa"/>
          </w:tcPr>
          <w:p w14:paraId="25324136" w14:textId="2F8D9594" w:rsidR="008354F6" w:rsidRPr="002228BA" w:rsidRDefault="00D342FC" w:rsidP="00854708">
            <w:pPr>
              <w:pStyle w:val="Bezodstpw"/>
              <w:jc w:val="both"/>
              <w:rPr>
                <w:rFonts w:cs="Times New Roman"/>
                <w:sz w:val="20"/>
                <w:szCs w:val="20"/>
              </w:rPr>
            </w:pPr>
            <w:r w:rsidRPr="002228BA">
              <w:rPr>
                <w:rFonts w:cs="Times New Roman"/>
                <w:b/>
                <w:bCs/>
                <w:sz w:val="20"/>
                <w:szCs w:val="20"/>
              </w:rPr>
              <w:t xml:space="preserve">Uwaga uwzględniona. </w:t>
            </w:r>
          </w:p>
        </w:tc>
      </w:tr>
      <w:tr w:rsidR="002228BA" w:rsidRPr="002228BA" w14:paraId="62FDC31C" w14:textId="77777777" w:rsidTr="00F0600D">
        <w:trPr>
          <w:trHeight w:val="1098"/>
        </w:trPr>
        <w:tc>
          <w:tcPr>
            <w:tcW w:w="834" w:type="dxa"/>
          </w:tcPr>
          <w:p w14:paraId="0B77D4C1" w14:textId="098989EC" w:rsidR="00AD1F12" w:rsidRPr="002228BA" w:rsidRDefault="008138E3" w:rsidP="008138E3">
            <w:pPr>
              <w:pStyle w:val="Bezodstpw"/>
              <w:jc w:val="center"/>
              <w:rPr>
                <w:rFonts w:cs="Times New Roman"/>
                <w:sz w:val="20"/>
                <w:szCs w:val="20"/>
              </w:rPr>
            </w:pPr>
            <w:r w:rsidRPr="002228BA">
              <w:rPr>
                <w:rFonts w:cs="Times New Roman"/>
                <w:sz w:val="20"/>
                <w:szCs w:val="20"/>
              </w:rPr>
              <w:t>35</w:t>
            </w:r>
          </w:p>
        </w:tc>
        <w:tc>
          <w:tcPr>
            <w:tcW w:w="1566" w:type="dxa"/>
          </w:tcPr>
          <w:p w14:paraId="0F29AE62" w14:textId="3C32EE67" w:rsidR="00AD1F12" w:rsidRPr="002228BA" w:rsidRDefault="00AD1F12" w:rsidP="00F00F5B">
            <w:pPr>
              <w:pStyle w:val="Bezodstpw"/>
              <w:jc w:val="center"/>
              <w:rPr>
                <w:rFonts w:cs="Times New Roman"/>
                <w:b/>
                <w:bCs/>
                <w:sz w:val="20"/>
                <w:szCs w:val="20"/>
              </w:rPr>
            </w:pPr>
            <w:r w:rsidRPr="002228BA">
              <w:rPr>
                <w:rFonts w:cs="Times New Roman"/>
                <w:b/>
                <w:bCs/>
                <w:sz w:val="20"/>
                <w:szCs w:val="20"/>
              </w:rPr>
              <w:t>§ 7 ust. 1 projektu</w:t>
            </w:r>
          </w:p>
        </w:tc>
        <w:tc>
          <w:tcPr>
            <w:tcW w:w="2131" w:type="dxa"/>
          </w:tcPr>
          <w:p w14:paraId="4D1396E7" w14:textId="4E219AE3" w:rsidR="00AD1F12" w:rsidRPr="002228BA" w:rsidRDefault="00AD1F12" w:rsidP="00F00F5B">
            <w:pPr>
              <w:pStyle w:val="Bezodstpw"/>
              <w:jc w:val="center"/>
              <w:rPr>
                <w:rFonts w:cs="Times New Roman"/>
                <w:b/>
                <w:bCs/>
                <w:sz w:val="20"/>
                <w:szCs w:val="20"/>
              </w:rPr>
            </w:pPr>
            <w:r w:rsidRPr="002228BA">
              <w:rPr>
                <w:rFonts w:cs="Times New Roman"/>
                <w:b/>
                <w:bCs/>
                <w:sz w:val="20"/>
                <w:szCs w:val="20"/>
              </w:rPr>
              <w:t>Prezes UODO</w:t>
            </w:r>
          </w:p>
        </w:tc>
        <w:tc>
          <w:tcPr>
            <w:tcW w:w="4962" w:type="dxa"/>
          </w:tcPr>
          <w:p w14:paraId="794EA17A" w14:textId="77777777" w:rsidR="00AD1F12" w:rsidRPr="002228BA" w:rsidRDefault="00AD1F12" w:rsidP="00AD1F12">
            <w:pPr>
              <w:pStyle w:val="Bezodstpw"/>
              <w:jc w:val="both"/>
              <w:rPr>
                <w:rFonts w:cs="Times New Roman"/>
                <w:sz w:val="20"/>
                <w:szCs w:val="20"/>
              </w:rPr>
            </w:pPr>
            <w:r w:rsidRPr="002228BA">
              <w:rPr>
                <w:rFonts w:cs="Times New Roman"/>
                <w:sz w:val="20"/>
                <w:szCs w:val="20"/>
              </w:rPr>
              <w:t xml:space="preserve">Przepisy proj. rozporządzenia lub uzasadnienie do niego powinny wyraźnie wskazywać, czy zamknięcie konta będzie jednoznaczne z usunięciem danych osobowych użytkownika przetwarzanych w PI. Odpowiadałoby to zasadzie ograniczenie przechowywania (art. 5 ust. 1 lit. e rozporządzenia 2016/6792). </w:t>
            </w:r>
          </w:p>
          <w:p w14:paraId="039109B1" w14:textId="77777777" w:rsidR="00AD1F12" w:rsidRPr="002228BA" w:rsidRDefault="00AD1F12" w:rsidP="00AB0FF4">
            <w:pPr>
              <w:pStyle w:val="Bezodstpw"/>
              <w:jc w:val="both"/>
              <w:rPr>
                <w:rFonts w:cs="Times New Roman"/>
                <w:sz w:val="20"/>
                <w:szCs w:val="20"/>
              </w:rPr>
            </w:pPr>
          </w:p>
        </w:tc>
        <w:tc>
          <w:tcPr>
            <w:tcW w:w="4816" w:type="dxa"/>
          </w:tcPr>
          <w:p w14:paraId="6E2D82BF" w14:textId="1AFDCF4B" w:rsidR="00AD1F12" w:rsidRPr="002228BA" w:rsidRDefault="00AB2FFE" w:rsidP="00AB0FF4">
            <w:pPr>
              <w:pStyle w:val="Bezodstpw"/>
              <w:jc w:val="both"/>
              <w:rPr>
                <w:rFonts w:cs="Times New Roman"/>
                <w:b/>
                <w:bCs/>
                <w:sz w:val="20"/>
                <w:szCs w:val="20"/>
              </w:rPr>
            </w:pPr>
            <w:r w:rsidRPr="002228BA">
              <w:rPr>
                <w:rFonts w:cs="Times New Roman"/>
                <w:b/>
                <w:bCs/>
                <w:sz w:val="20"/>
                <w:szCs w:val="20"/>
              </w:rPr>
              <w:t xml:space="preserve">Uwaga wyjaśniona </w:t>
            </w:r>
            <w:r w:rsidRPr="002228BA">
              <w:rPr>
                <w:rFonts w:cs="Times New Roman"/>
                <w:sz w:val="20"/>
                <w:szCs w:val="20"/>
              </w:rPr>
              <w:t>– dodano przepis regulujący kwestię opisaną w uwadze.</w:t>
            </w:r>
            <w:r w:rsidRPr="002228BA">
              <w:rPr>
                <w:rFonts w:cs="Times New Roman"/>
                <w:b/>
                <w:bCs/>
                <w:sz w:val="20"/>
                <w:szCs w:val="20"/>
              </w:rPr>
              <w:t xml:space="preserve"> </w:t>
            </w:r>
          </w:p>
        </w:tc>
      </w:tr>
      <w:tr w:rsidR="002228BA" w:rsidRPr="002228BA" w14:paraId="6CEEBB33" w14:textId="77777777" w:rsidTr="00F0600D">
        <w:trPr>
          <w:trHeight w:val="1098"/>
        </w:trPr>
        <w:tc>
          <w:tcPr>
            <w:tcW w:w="834" w:type="dxa"/>
          </w:tcPr>
          <w:p w14:paraId="0C155488" w14:textId="5DAE1637" w:rsidR="00C10B29" w:rsidRPr="002228BA" w:rsidRDefault="008138E3" w:rsidP="008138E3">
            <w:pPr>
              <w:pStyle w:val="Bezodstpw"/>
              <w:jc w:val="center"/>
              <w:rPr>
                <w:rFonts w:cs="Times New Roman"/>
                <w:sz w:val="20"/>
                <w:szCs w:val="20"/>
              </w:rPr>
            </w:pPr>
            <w:r w:rsidRPr="002228BA">
              <w:rPr>
                <w:rFonts w:cs="Times New Roman"/>
                <w:sz w:val="20"/>
                <w:szCs w:val="20"/>
              </w:rPr>
              <w:t>36</w:t>
            </w:r>
          </w:p>
        </w:tc>
        <w:tc>
          <w:tcPr>
            <w:tcW w:w="1566" w:type="dxa"/>
          </w:tcPr>
          <w:p w14:paraId="29588ADF" w14:textId="2157A5FF" w:rsidR="00C10B29" w:rsidRPr="002228BA" w:rsidRDefault="00C10B29" w:rsidP="00F00F5B">
            <w:pPr>
              <w:pStyle w:val="Bezodstpw"/>
              <w:jc w:val="center"/>
              <w:rPr>
                <w:rFonts w:cs="Times New Roman"/>
                <w:b/>
                <w:bCs/>
                <w:sz w:val="20"/>
                <w:szCs w:val="20"/>
              </w:rPr>
            </w:pPr>
            <w:r w:rsidRPr="002228BA">
              <w:rPr>
                <w:rFonts w:cs="Times New Roman"/>
                <w:b/>
                <w:bCs/>
                <w:sz w:val="20"/>
                <w:szCs w:val="20"/>
              </w:rPr>
              <w:t>§ 8 projektu</w:t>
            </w:r>
          </w:p>
        </w:tc>
        <w:tc>
          <w:tcPr>
            <w:tcW w:w="2131" w:type="dxa"/>
          </w:tcPr>
          <w:p w14:paraId="44D45FF5" w14:textId="4C206B30" w:rsidR="00C10B29" w:rsidRPr="002228BA" w:rsidRDefault="004F63E7" w:rsidP="00F00F5B">
            <w:pPr>
              <w:pStyle w:val="Bezodstpw"/>
              <w:jc w:val="center"/>
              <w:rPr>
                <w:rFonts w:cs="Times New Roman"/>
                <w:b/>
                <w:bCs/>
                <w:sz w:val="20"/>
                <w:szCs w:val="20"/>
              </w:rPr>
            </w:pPr>
            <w:r w:rsidRPr="002228BA">
              <w:rPr>
                <w:rFonts w:cs="Times New Roman"/>
                <w:b/>
                <w:bCs/>
                <w:sz w:val="20"/>
                <w:szCs w:val="20"/>
              </w:rPr>
              <w:t>Prezes SA we Wrocławiu  - Oddział Informatyczny SA we Wrocławiu</w:t>
            </w:r>
          </w:p>
        </w:tc>
        <w:tc>
          <w:tcPr>
            <w:tcW w:w="4962" w:type="dxa"/>
          </w:tcPr>
          <w:p w14:paraId="227216C4" w14:textId="07478B3C" w:rsidR="00C10B29" w:rsidRPr="002228BA" w:rsidRDefault="00C10B29" w:rsidP="00AB0FF4">
            <w:pPr>
              <w:pStyle w:val="Bezodstpw"/>
              <w:jc w:val="both"/>
              <w:rPr>
                <w:rFonts w:cs="Times New Roman"/>
                <w:sz w:val="20"/>
                <w:szCs w:val="20"/>
              </w:rPr>
            </w:pPr>
            <w:r w:rsidRPr="002228BA">
              <w:rPr>
                <w:rFonts w:cs="Times New Roman"/>
                <w:sz w:val="20"/>
                <w:szCs w:val="20"/>
              </w:rPr>
              <w:t>Konta w PI nie zostały utworzone na podstawie art. 15zzs</w:t>
            </w:r>
            <w:r w:rsidR="00AE6F1B" w:rsidRPr="002228BA">
              <w:rPr>
                <w:sz w:val="20"/>
                <w:szCs w:val="20"/>
                <w:vertAlign w:val="superscript"/>
              </w:rPr>
              <w:t>9</w:t>
            </w:r>
            <w:r w:rsidRPr="002228BA">
              <w:rPr>
                <w:rFonts w:cs="Times New Roman"/>
                <w:sz w:val="20"/>
                <w:szCs w:val="20"/>
              </w:rPr>
              <w:t xml:space="preserve"> ustawy </w:t>
            </w:r>
            <w:r w:rsidR="00AE6F1B" w:rsidRPr="002228BA">
              <w:rPr>
                <w:rFonts w:cs="Times New Roman"/>
                <w:sz w:val="20"/>
                <w:szCs w:val="20"/>
              </w:rPr>
              <w:t>anty-COVID-19</w:t>
            </w:r>
            <w:r w:rsidRPr="002228BA">
              <w:rPr>
                <w:rFonts w:cs="Times New Roman"/>
                <w:sz w:val="20"/>
                <w:szCs w:val="20"/>
              </w:rPr>
              <w:t xml:space="preserve">, tylko na podstawie regulaminów wydanych jako zarządzenie prezesów </w:t>
            </w:r>
            <w:r w:rsidR="00AE6F1B" w:rsidRPr="002228BA">
              <w:rPr>
                <w:rFonts w:cs="Times New Roman"/>
                <w:sz w:val="20"/>
                <w:szCs w:val="20"/>
              </w:rPr>
              <w:t xml:space="preserve">SA </w:t>
            </w:r>
            <w:r w:rsidRPr="002228BA">
              <w:rPr>
                <w:rFonts w:cs="Times New Roman"/>
                <w:sz w:val="20"/>
                <w:szCs w:val="20"/>
              </w:rPr>
              <w:t>– upoważnienie wynika z Regulaminu urzędowania sądów powszechnych.</w:t>
            </w:r>
          </w:p>
        </w:tc>
        <w:tc>
          <w:tcPr>
            <w:tcW w:w="4816" w:type="dxa"/>
          </w:tcPr>
          <w:p w14:paraId="0DE0321A" w14:textId="4B4D4C90" w:rsidR="00BF3B84" w:rsidRPr="002228BA" w:rsidRDefault="00D530B8" w:rsidP="00854708">
            <w:pPr>
              <w:pStyle w:val="Bezodstpw"/>
              <w:jc w:val="both"/>
              <w:rPr>
                <w:rFonts w:cs="Times New Roman"/>
                <w:sz w:val="20"/>
                <w:szCs w:val="20"/>
              </w:rPr>
            </w:pPr>
            <w:r w:rsidRPr="002228BA">
              <w:rPr>
                <w:rFonts w:cs="Times New Roman"/>
                <w:b/>
                <w:bCs/>
                <w:sz w:val="20"/>
                <w:szCs w:val="20"/>
              </w:rPr>
              <w:t xml:space="preserve">Na skutek zgłoszonej uwagi </w:t>
            </w:r>
            <w:r w:rsidRPr="002228BA">
              <w:rPr>
                <w:rFonts w:cs="Times New Roman"/>
                <w:sz w:val="20"/>
                <w:szCs w:val="20"/>
              </w:rPr>
              <w:t>- zrezygnowano z treści § 8 projektu</w:t>
            </w:r>
            <w:r w:rsidR="006D64DD" w:rsidRPr="002228BA">
              <w:rPr>
                <w:rFonts w:cs="Times New Roman"/>
                <w:sz w:val="20"/>
                <w:szCs w:val="20"/>
              </w:rPr>
              <w:t>.</w:t>
            </w:r>
          </w:p>
        </w:tc>
      </w:tr>
    </w:tbl>
    <w:p w14:paraId="559E0E92" w14:textId="77777777" w:rsidR="00ED2C85" w:rsidRPr="002228BA" w:rsidRDefault="00ED2C85" w:rsidP="00875AB1">
      <w:pPr>
        <w:pStyle w:val="Bezodstpw"/>
        <w:jc w:val="both"/>
        <w:rPr>
          <w:rFonts w:cs="Times New Roman"/>
          <w:sz w:val="20"/>
          <w:szCs w:val="20"/>
        </w:rPr>
      </w:pPr>
    </w:p>
    <w:sectPr w:rsidR="00ED2C85" w:rsidRPr="002228BA" w:rsidSect="001C7AFA">
      <w:footerReference w:type="default" r:id="rId8"/>
      <w:pgSz w:w="16838" w:h="11906" w:orient="landscape"/>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2EE6C" w14:textId="77777777" w:rsidR="001C7AFA" w:rsidRDefault="001C7AFA" w:rsidP="001E5C02">
      <w:pPr>
        <w:spacing w:after="0" w:line="240" w:lineRule="auto"/>
      </w:pPr>
      <w:r>
        <w:separator/>
      </w:r>
    </w:p>
  </w:endnote>
  <w:endnote w:type="continuationSeparator" w:id="0">
    <w:p w14:paraId="13BA320C" w14:textId="77777777" w:rsidR="001C7AFA" w:rsidRDefault="001C7AFA" w:rsidP="001E5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rlow">
    <w:charset w:val="EE"/>
    <w:family w:val="auto"/>
    <w:pitch w:val="variable"/>
    <w:sig w:usb0="20000007" w:usb1="00000000" w:usb2="00000000" w:usb3="00000000" w:csb0="00000193"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9451976"/>
      <w:docPartObj>
        <w:docPartGallery w:val="Page Numbers (Bottom of Page)"/>
        <w:docPartUnique/>
      </w:docPartObj>
    </w:sdtPr>
    <w:sdtContent>
      <w:p w14:paraId="0B1F402A" w14:textId="4C469FD1" w:rsidR="001E5C02" w:rsidRDefault="001E5C02">
        <w:pPr>
          <w:pStyle w:val="Stopka"/>
          <w:jc w:val="center"/>
        </w:pPr>
        <w:r>
          <w:fldChar w:fldCharType="begin"/>
        </w:r>
        <w:r>
          <w:instrText>PAGE   \* MERGEFORMAT</w:instrText>
        </w:r>
        <w:r>
          <w:fldChar w:fldCharType="separate"/>
        </w:r>
        <w:r>
          <w:t>2</w:t>
        </w:r>
        <w:r>
          <w:fldChar w:fldCharType="end"/>
        </w:r>
      </w:p>
    </w:sdtContent>
  </w:sdt>
  <w:p w14:paraId="0431494F" w14:textId="77777777" w:rsidR="001E5C02" w:rsidRDefault="001E5C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FFA87" w14:textId="77777777" w:rsidR="001C7AFA" w:rsidRDefault="001C7AFA" w:rsidP="001E5C02">
      <w:pPr>
        <w:spacing w:after="0" w:line="240" w:lineRule="auto"/>
      </w:pPr>
      <w:r>
        <w:separator/>
      </w:r>
    </w:p>
  </w:footnote>
  <w:footnote w:type="continuationSeparator" w:id="0">
    <w:p w14:paraId="469DFD84" w14:textId="77777777" w:rsidR="001C7AFA" w:rsidRDefault="001C7AFA" w:rsidP="001E5C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D6ADF"/>
    <w:multiLevelType w:val="hybridMultilevel"/>
    <w:tmpl w:val="509250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6424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03F"/>
    <w:rsid w:val="00001D08"/>
    <w:rsid w:val="00005920"/>
    <w:rsid w:val="000125FE"/>
    <w:rsid w:val="0001309F"/>
    <w:rsid w:val="00017CBA"/>
    <w:rsid w:val="00020B66"/>
    <w:rsid w:val="00020CC3"/>
    <w:rsid w:val="00030EE1"/>
    <w:rsid w:val="000359DF"/>
    <w:rsid w:val="000373FD"/>
    <w:rsid w:val="0004003F"/>
    <w:rsid w:val="000414BF"/>
    <w:rsid w:val="000435FB"/>
    <w:rsid w:val="00054EAD"/>
    <w:rsid w:val="0008460E"/>
    <w:rsid w:val="00085978"/>
    <w:rsid w:val="00086644"/>
    <w:rsid w:val="000A5C63"/>
    <w:rsid w:val="000D6432"/>
    <w:rsid w:val="000E5E20"/>
    <w:rsid w:val="000F7913"/>
    <w:rsid w:val="000F7C31"/>
    <w:rsid w:val="00100041"/>
    <w:rsid w:val="00101C1A"/>
    <w:rsid w:val="00103DF7"/>
    <w:rsid w:val="00110FBE"/>
    <w:rsid w:val="00125B64"/>
    <w:rsid w:val="00127FE0"/>
    <w:rsid w:val="0013092E"/>
    <w:rsid w:val="00130A44"/>
    <w:rsid w:val="00137430"/>
    <w:rsid w:val="00142A32"/>
    <w:rsid w:val="001561D9"/>
    <w:rsid w:val="00162230"/>
    <w:rsid w:val="00162E92"/>
    <w:rsid w:val="00163421"/>
    <w:rsid w:val="001710B2"/>
    <w:rsid w:val="00172A23"/>
    <w:rsid w:val="00182B67"/>
    <w:rsid w:val="00184BD3"/>
    <w:rsid w:val="00192503"/>
    <w:rsid w:val="00196CE5"/>
    <w:rsid w:val="001B3349"/>
    <w:rsid w:val="001B587A"/>
    <w:rsid w:val="001C0671"/>
    <w:rsid w:val="001C201C"/>
    <w:rsid w:val="001C79B2"/>
    <w:rsid w:val="001C7AFA"/>
    <w:rsid w:val="001D2343"/>
    <w:rsid w:val="001D61D2"/>
    <w:rsid w:val="001D7CA8"/>
    <w:rsid w:val="001E0D9B"/>
    <w:rsid w:val="001E1948"/>
    <w:rsid w:val="001E3773"/>
    <w:rsid w:val="001E5209"/>
    <w:rsid w:val="001E5C02"/>
    <w:rsid w:val="001E7E9B"/>
    <w:rsid w:val="001F4286"/>
    <w:rsid w:val="002011FF"/>
    <w:rsid w:val="002022C6"/>
    <w:rsid w:val="00214A8C"/>
    <w:rsid w:val="00220AA2"/>
    <w:rsid w:val="002228BA"/>
    <w:rsid w:val="00224CEA"/>
    <w:rsid w:val="002265FA"/>
    <w:rsid w:val="00237B37"/>
    <w:rsid w:val="002413C2"/>
    <w:rsid w:val="00243DF8"/>
    <w:rsid w:val="002473E1"/>
    <w:rsid w:val="00250E8C"/>
    <w:rsid w:val="00254EA8"/>
    <w:rsid w:val="002558D3"/>
    <w:rsid w:val="002566C3"/>
    <w:rsid w:val="00261A77"/>
    <w:rsid w:val="00267E2C"/>
    <w:rsid w:val="00267FD7"/>
    <w:rsid w:val="00272982"/>
    <w:rsid w:val="002866F8"/>
    <w:rsid w:val="00286FD7"/>
    <w:rsid w:val="002A0C4D"/>
    <w:rsid w:val="002A1A97"/>
    <w:rsid w:val="002B284E"/>
    <w:rsid w:val="002B34AE"/>
    <w:rsid w:val="002D5B44"/>
    <w:rsid w:val="002D6771"/>
    <w:rsid w:val="002E0F81"/>
    <w:rsid w:val="002E17CE"/>
    <w:rsid w:val="002E5D52"/>
    <w:rsid w:val="002F461F"/>
    <w:rsid w:val="002F5C54"/>
    <w:rsid w:val="00303C4F"/>
    <w:rsid w:val="00312AB5"/>
    <w:rsid w:val="00315A09"/>
    <w:rsid w:val="00322C71"/>
    <w:rsid w:val="003247D4"/>
    <w:rsid w:val="00333BAB"/>
    <w:rsid w:val="00336A67"/>
    <w:rsid w:val="00336C79"/>
    <w:rsid w:val="00337411"/>
    <w:rsid w:val="003421F1"/>
    <w:rsid w:val="00361A9A"/>
    <w:rsid w:val="00364537"/>
    <w:rsid w:val="003712AE"/>
    <w:rsid w:val="00374486"/>
    <w:rsid w:val="003804B9"/>
    <w:rsid w:val="003813C6"/>
    <w:rsid w:val="00383674"/>
    <w:rsid w:val="003939EA"/>
    <w:rsid w:val="003A550D"/>
    <w:rsid w:val="003A74E0"/>
    <w:rsid w:val="003B1F46"/>
    <w:rsid w:val="003B2DB8"/>
    <w:rsid w:val="003C7996"/>
    <w:rsid w:val="003D1ECC"/>
    <w:rsid w:val="003D31B6"/>
    <w:rsid w:val="003D3FFB"/>
    <w:rsid w:val="003D6090"/>
    <w:rsid w:val="003D611E"/>
    <w:rsid w:val="003D72FE"/>
    <w:rsid w:val="003E05C9"/>
    <w:rsid w:val="003E2AD5"/>
    <w:rsid w:val="003E36E4"/>
    <w:rsid w:val="003E545A"/>
    <w:rsid w:val="003E58B6"/>
    <w:rsid w:val="003F0905"/>
    <w:rsid w:val="003F1A93"/>
    <w:rsid w:val="00403743"/>
    <w:rsid w:val="00405A5D"/>
    <w:rsid w:val="00405AD7"/>
    <w:rsid w:val="00415CD9"/>
    <w:rsid w:val="00416510"/>
    <w:rsid w:val="004230D8"/>
    <w:rsid w:val="004248E3"/>
    <w:rsid w:val="00434876"/>
    <w:rsid w:val="004355D8"/>
    <w:rsid w:val="004376FC"/>
    <w:rsid w:val="00445E45"/>
    <w:rsid w:val="00452D7D"/>
    <w:rsid w:val="00460B16"/>
    <w:rsid w:val="00460E47"/>
    <w:rsid w:val="00463BE3"/>
    <w:rsid w:val="004642BB"/>
    <w:rsid w:val="00465149"/>
    <w:rsid w:val="00474985"/>
    <w:rsid w:val="00474E9D"/>
    <w:rsid w:val="004832D9"/>
    <w:rsid w:val="00496DE7"/>
    <w:rsid w:val="004B0598"/>
    <w:rsid w:val="004B65CE"/>
    <w:rsid w:val="004C27B4"/>
    <w:rsid w:val="004C3A22"/>
    <w:rsid w:val="004D0BE1"/>
    <w:rsid w:val="004D4B17"/>
    <w:rsid w:val="004E1CB4"/>
    <w:rsid w:val="004E203D"/>
    <w:rsid w:val="004E296E"/>
    <w:rsid w:val="004F401E"/>
    <w:rsid w:val="004F63E7"/>
    <w:rsid w:val="005013CF"/>
    <w:rsid w:val="0050635C"/>
    <w:rsid w:val="005336AB"/>
    <w:rsid w:val="00534571"/>
    <w:rsid w:val="00534B44"/>
    <w:rsid w:val="005428D9"/>
    <w:rsid w:val="00542990"/>
    <w:rsid w:val="00543EF6"/>
    <w:rsid w:val="00552CA7"/>
    <w:rsid w:val="00561243"/>
    <w:rsid w:val="0056418C"/>
    <w:rsid w:val="00566585"/>
    <w:rsid w:val="00572096"/>
    <w:rsid w:val="00583572"/>
    <w:rsid w:val="005A42CE"/>
    <w:rsid w:val="005A791C"/>
    <w:rsid w:val="005B0D69"/>
    <w:rsid w:val="005B285B"/>
    <w:rsid w:val="005C2B12"/>
    <w:rsid w:val="005D1613"/>
    <w:rsid w:val="005D22C6"/>
    <w:rsid w:val="005D40EA"/>
    <w:rsid w:val="005D7320"/>
    <w:rsid w:val="005E05B3"/>
    <w:rsid w:val="005F797D"/>
    <w:rsid w:val="005F7B97"/>
    <w:rsid w:val="00605460"/>
    <w:rsid w:val="00605483"/>
    <w:rsid w:val="0061513B"/>
    <w:rsid w:val="006273C3"/>
    <w:rsid w:val="00635049"/>
    <w:rsid w:val="0065264F"/>
    <w:rsid w:val="00657CEF"/>
    <w:rsid w:val="006638D9"/>
    <w:rsid w:val="00667ABC"/>
    <w:rsid w:val="00681C9E"/>
    <w:rsid w:val="006848AC"/>
    <w:rsid w:val="00692DBB"/>
    <w:rsid w:val="006A61BE"/>
    <w:rsid w:val="006B1011"/>
    <w:rsid w:val="006C4669"/>
    <w:rsid w:val="006D0799"/>
    <w:rsid w:val="006D5E3D"/>
    <w:rsid w:val="006D64DD"/>
    <w:rsid w:val="006E2F61"/>
    <w:rsid w:val="006F3DBE"/>
    <w:rsid w:val="0071610D"/>
    <w:rsid w:val="007263AC"/>
    <w:rsid w:val="00736E9A"/>
    <w:rsid w:val="00741D8D"/>
    <w:rsid w:val="007431FB"/>
    <w:rsid w:val="007548FF"/>
    <w:rsid w:val="00762458"/>
    <w:rsid w:val="007635DD"/>
    <w:rsid w:val="00763A09"/>
    <w:rsid w:val="00767AD4"/>
    <w:rsid w:val="00767C0E"/>
    <w:rsid w:val="00785358"/>
    <w:rsid w:val="0079621A"/>
    <w:rsid w:val="007A3710"/>
    <w:rsid w:val="007B2D31"/>
    <w:rsid w:val="007B7DEC"/>
    <w:rsid w:val="007C04B2"/>
    <w:rsid w:val="007C06E1"/>
    <w:rsid w:val="007C1C36"/>
    <w:rsid w:val="007D6E06"/>
    <w:rsid w:val="007D7353"/>
    <w:rsid w:val="007E046D"/>
    <w:rsid w:val="007E62AB"/>
    <w:rsid w:val="007F6F5F"/>
    <w:rsid w:val="008010C4"/>
    <w:rsid w:val="00804E38"/>
    <w:rsid w:val="00810493"/>
    <w:rsid w:val="008138E3"/>
    <w:rsid w:val="00817E88"/>
    <w:rsid w:val="00823064"/>
    <w:rsid w:val="0082690D"/>
    <w:rsid w:val="00826F51"/>
    <w:rsid w:val="008332FA"/>
    <w:rsid w:val="008354F6"/>
    <w:rsid w:val="00847E56"/>
    <w:rsid w:val="00854708"/>
    <w:rsid w:val="00861C0E"/>
    <w:rsid w:val="00870489"/>
    <w:rsid w:val="00870BF7"/>
    <w:rsid w:val="00874170"/>
    <w:rsid w:val="00875303"/>
    <w:rsid w:val="008754D4"/>
    <w:rsid w:val="00875AB1"/>
    <w:rsid w:val="00885BC2"/>
    <w:rsid w:val="008869A8"/>
    <w:rsid w:val="00896459"/>
    <w:rsid w:val="008A16DE"/>
    <w:rsid w:val="008A6070"/>
    <w:rsid w:val="008C4739"/>
    <w:rsid w:val="008C51EE"/>
    <w:rsid w:val="008C52F6"/>
    <w:rsid w:val="008C5479"/>
    <w:rsid w:val="008D0CB5"/>
    <w:rsid w:val="008D26D5"/>
    <w:rsid w:val="008D3110"/>
    <w:rsid w:val="008D4C70"/>
    <w:rsid w:val="008D7938"/>
    <w:rsid w:val="008E7C37"/>
    <w:rsid w:val="008F1F07"/>
    <w:rsid w:val="008F2D38"/>
    <w:rsid w:val="00920DE8"/>
    <w:rsid w:val="009260EF"/>
    <w:rsid w:val="00931844"/>
    <w:rsid w:val="00932193"/>
    <w:rsid w:val="00950A57"/>
    <w:rsid w:val="00971850"/>
    <w:rsid w:val="00974159"/>
    <w:rsid w:val="00974D73"/>
    <w:rsid w:val="00984866"/>
    <w:rsid w:val="00985A4B"/>
    <w:rsid w:val="00986C32"/>
    <w:rsid w:val="00990450"/>
    <w:rsid w:val="00995428"/>
    <w:rsid w:val="009A2F8F"/>
    <w:rsid w:val="009B1124"/>
    <w:rsid w:val="009B1E71"/>
    <w:rsid w:val="009B601C"/>
    <w:rsid w:val="009B6766"/>
    <w:rsid w:val="009C0490"/>
    <w:rsid w:val="009D59EB"/>
    <w:rsid w:val="009D620D"/>
    <w:rsid w:val="009D672F"/>
    <w:rsid w:val="009E22C2"/>
    <w:rsid w:val="00A01459"/>
    <w:rsid w:val="00A03330"/>
    <w:rsid w:val="00A10E90"/>
    <w:rsid w:val="00A21775"/>
    <w:rsid w:val="00A345A2"/>
    <w:rsid w:val="00A3692D"/>
    <w:rsid w:val="00A37629"/>
    <w:rsid w:val="00A5243A"/>
    <w:rsid w:val="00A568BD"/>
    <w:rsid w:val="00A56BD8"/>
    <w:rsid w:val="00A7283D"/>
    <w:rsid w:val="00A764C3"/>
    <w:rsid w:val="00A80327"/>
    <w:rsid w:val="00A8442D"/>
    <w:rsid w:val="00AA1F38"/>
    <w:rsid w:val="00AB0FF4"/>
    <w:rsid w:val="00AB2FFE"/>
    <w:rsid w:val="00AD1F12"/>
    <w:rsid w:val="00AE119F"/>
    <w:rsid w:val="00AE6F1B"/>
    <w:rsid w:val="00AE7213"/>
    <w:rsid w:val="00AF19DC"/>
    <w:rsid w:val="00AF26D3"/>
    <w:rsid w:val="00B0467A"/>
    <w:rsid w:val="00B07C8C"/>
    <w:rsid w:val="00B108AB"/>
    <w:rsid w:val="00B11FD2"/>
    <w:rsid w:val="00B21C90"/>
    <w:rsid w:val="00B24D2C"/>
    <w:rsid w:val="00B26835"/>
    <w:rsid w:val="00B403AB"/>
    <w:rsid w:val="00B4079A"/>
    <w:rsid w:val="00B42143"/>
    <w:rsid w:val="00B4453D"/>
    <w:rsid w:val="00B47856"/>
    <w:rsid w:val="00B609F3"/>
    <w:rsid w:val="00B61482"/>
    <w:rsid w:val="00B62148"/>
    <w:rsid w:val="00B67C75"/>
    <w:rsid w:val="00B848BD"/>
    <w:rsid w:val="00BA454E"/>
    <w:rsid w:val="00BB2EF3"/>
    <w:rsid w:val="00BB7D70"/>
    <w:rsid w:val="00BD6EFF"/>
    <w:rsid w:val="00BE2BA5"/>
    <w:rsid w:val="00BE5C78"/>
    <w:rsid w:val="00BE6E0B"/>
    <w:rsid w:val="00BE70EA"/>
    <w:rsid w:val="00BF1B3B"/>
    <w:rsid w:val="00BF3B84"/>
    <w:rsid w:val="00BF7460"/>
    <w:rsid w:val="00C0143A"/>
    <w:rsid w:val="00C10B29"/>
    <w:rsid w:val="00C12F2A"/>
    <w:rsid w:val="00C2223B"/>
    <w:rsid w:val="00C33159"/>
    <w:rsid w:val="00C34C2E"/>
    <w:rsid w:val="00C45BAF"/>
    <w:rsid w:val="00C5710E"/>
    <w:rsid w:val="00C656EB"/>
    <w:rsid w:val="00C71A7B"/>
    <w:rsid w:val="00C7252B"/>
    <w:rsid w:val="00C72DF2"/>
    <w:rsid w:val="00C74CF8"/>
    <w:rsid w:val="00C8146D"/>
    <w:rsid w:val="00C8298F"/>
    <w:rsid w:val="00C8675C"/>
    <w:rsid w:val="00C93F49"/>
    <w:rsid w:val="00C9552F"/>
    <w:rsid w:val="00CA47F5"/>
    <w:rsid w:val="00CA7459"/>
    <w:rsid w:val="00CA75B6"/>
    <w:rsid w:val="00CC05AD"/>
    <w:rsid w:val="00CE6F19"/>
    <w:rsid w:val="00CF176D"/>
    <w:rsid w:val="00CF7263"/>
    <w:rsid w:val="00CF7F04"/>
    <w:rsid w:val="00D07436"/>
    <w:rsid w:val="00D14F03"/>
    <w:rsid w:val="00D202A2"/>
    <w:rsid w:val="00D2278B"/>
    <w:rsid w:val="00D2648C"/>
    <w:rsid w:val="00D31FA2"/>
    <w:rsid w:val="00D342FC"/>
    <w:rsid w:val="00D404FA"/>
    <w:rsid w:val="00D41760"/>
    <w:rsid w:val="00D43851"/>
    <w:rsid w:val="00D5291B"/>
    <w:rsid w:val="00D530B8"/>
    <w:rsid w:val="00D567C8"/>
    <w:rsid w:val="00D713DF"/>
    <w:rsid w:val="00D95734"/>
    <w:rsid w:val="00DA1EFA"/>
    <w:rsid w:val="00DA6010"/>
    <w:rsid w:val="00DA6480"/>
    <w:rsid w:val="00DC0F12"/>
    <w:rsid w:val="00DC4864"/>
    <w:rsid w:val="00DC4C42"/>
    <w:rsid w:val="00DC4D6C"/>
    <w:rsid w:val="00DD3314"/>
    <w:rsid w:val="00DE1633"/>
    <w:rsid w:val="00DF3483"/>
    <w:rsid w:val="00E02B34"/>
    <w:rsid w:val="00E10717"/>
    <w:rsid w:val="00E113DD"/>
    <w:rsid w:val="00E21D01"/>
    <w:rsid w:val="00E37EEF"/>
    <w:rsid w:val="00E46DC6"/>
    <w:rsid w:val="00E5217F"/>
    <w:rsid w:val="00E53684"/>
    <w:rsid w:val="00E67A38"/>
    <w:rsid w:val="00E73E32"/>
    <w:rsid w:val="00E800A5"/>
    <w:rsid w:val="00E85CF3"/>
    <w:rsid w:val="00ED2C85"/>
    <w:rsid w:val="00EE2820"/>
    <w:rsid w:val="00EE7351"/>
    <w:rsid w:val="00EF7791"/>
    <w:rsid w:val="00F000DB"/>
    <w:rsid w:val="00F00F5B"/>
    <w:rsid w:val="00F05420"/>
    <w:rsid w:val="00F0600D"/>
    <w:rsid w:val="00F06057"/>
    <w:rsid w:val="00F16917"/>
    <w:rsid w:val="00F317A5"/>
    <w:rsid w:val="00F45196"/>
    <w:rsid w:val="00F46FE8"/>
    <w:rsid w:val="00F52B85"/>
    <w:rsid w:val="00F53925"/>
    <w:rsid w:val="00F56E87"/>
    <w:rsid w:val="00F62868"/>
    <w:rsid w:val="00F673D4"/>
    <w:rsid w:val="00F71C98"/>
    <w:rsid w:val="00F7448A"/>
    <w:rsid w:val="00F81833"/>
    <w:rsid w:val="00F85803"/>
    <w:rsid w:val="00F9463C"/>
    <w:rsid w:val="00FA4C41"/>
    <w:rsid w:val="00FC016E"/>
    <w:rsid w:val="00FC42FD"/>
    <w:rsid w:val="00FC5AE6"/>
    <w:rsid w:val="00FC6858"/>
    <w:rsid w:val="00FD65C8"/>
    <w:rsid w:val="00FE1975"/>
    <w:rsid w:val="00FE661B"/>
    <w:rsid w:val="00FF2136"/>
    <w:rsid w:val="00FF3F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8CEC8"/>
  <w15:docId w15:val="{8288117C-B48E-4FA6-B689-88D933D2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003F"/>
    <w:rPr>
      <w:rFonts w:ascii="Times New Roman" w:hAnsi="Times New Roman"/>
      <w:sz w:val="24"/>
    </w:rPr>
  </w:style>
  <w:style w:type="paragraph" w:styleId="Nagwek2">
    <w:name w:val="heading 2"/>
    <w:basedOn w:val="Normalny"/>
    <w:next w:val="Normalny"/>
    <w:link w:val="Nagwek2Znak"/>
    <w:uiPriority w:val="9"/>
    <w:semiHidden/>
    <w:unhideWhenUsed/>
    <w:qFormat/>
    <w:rsid w:val="00E113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40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4003F"/>
    <w:pPr>
      <w:ind w:left="720"/>
      <w:contextualSpacing/>
    </w:pPr>
  </w:style>
  <w:style w:type="character" w:customStyle="1" w:styleId="FontStyle42">
    <w:name w:val="Font Style42"/>
    <w:basedOn w:val="Domylnaczcionkaakapitu"/>
    <w:uiPriority w:val="99"/>
    <w:rsid w:val="0004003F"/>
    <w:rPr>
      <w:rFonts w:ascii="Times New Roman" w:hAnsi="Times New Roman" w:cs="Times New Roman"/>
      <w:sz w:val="22"/>
      <w:szCs w:val="22"/>
    </w:rPr>
  </w:style>
  <w:style w:type="paragraph" w:customStyle="1" w:styleId="Style9">
    <w:name w:val="Style9"/>
    <w:basedOn w:val="Normalny"/>
    <w:uiPriority w:val="99"/>
    <w:rsid w:val="0004003F"/>
    <w:pPr>
      <w:widowControl w:val="0"/>
      <w:autoSpaceDE w:val="0"/>
      <w:autoSpaceDN w:val="0"/>
      <w:adjustRightInd w:val="0"/>
      <w:spacing w:after="0" w:line="415" w:lineRule="exact"/>
      <w:jc w:val="both"/>
    </w:pPr>
    <w:rPr>
      <w:rFonts w:eastAsiaTheme="minorEastAsia" w:cs="Times New Roman"/>
      <w:szCs w:val="24"/>
      <w:lang w:eastAsia="pl-PL"/>
    </w:rPr>
  </w:style>
  <w:style w:type="paragraph" w:customStyle="1" w:styleId="Style7">
    <w:name w:val="Style7"/>
    <w:basedOn w:val="Normalny"/>
    <w:uiPriority w:val="99"/>
    <w:rsid w:val="0004003F"/>
    <w:pPr>
      <w:widowControl w:val="0"/>
      <w:autoSpaceDE w:val="0"/>
      <w:autoSpaceDN w:val="0"/>
      <w:adjustRightInd w:val="0"/>
      <w:spacing w:after="0" w:line="387" w:lineRule="exact"/>
      <w:jc w:val="both"/>
    </w:pPr>
    <w:rPr>
      <w:rFonts w:ascii="Cambria" w:eastAsiaTheme="minorEastAsia" w:hAnsi="Cambria"/>
      <w:szCs w:val="24"/>
      <w:lang w:eastAsia="pl-PL"/>
    </w:rPr>
  </w:style>
  <w:style w:type="paragraph" w:customStyle="1" w:styleId="Style3">
    <w:name w:val="Style3"/>
    <w:basedOn w:val="Normalny"/>
    <w:uiPriority w:val="99"/>
    <w:rsid w:val="0004003F"/>
    <w:pPr>
      <w:widowControl w:val="0"/>
      <w:autoSpaceDE w:val="0"/>
      <w:autoSpaceDN w:val="0"/>
      <w:adjustRightInd w:val="0"/>
      <w:spacing w:after="0" w:line="386" w:lineRule="exact"/>
      <w:jc w:val="both"/>
    </w:pPr>
    <w:rPr>
      <w:rFonts w:ascii="Cambria" w:eastAsiaTheme="minorEastAsia" w:hAnsi="Cambria"/>
      <w:szCs w:val="24"/>
      <w:lang w:eastAsia="pl-PL"/>
    </w:rPr>
  </w:style>
  <w:style w:type="paragraph" w:customStyle="1" w:styleId="Style8">
    <w:name w:val="Style8"/>
    <w:basedOn w:val="Normalny"/>
    <w:uiPriority w:val="99"/>
    <w:rsid w:val="0004003F"/>
    <w:pPr>
      <w:widowControl w:val="0"/>
      <w:autoSpaceDE w:val="0"/>
      <w:autoSpaceDN w:val="0"/>
      <w:adjustRightInd w:val="0"/>
      <w:spacing w:after="0" w:line="386" w:lineRule="exact"/>
      <w:ind w:firstLine="710"/>
      <w:jc w:val="both"/>
    </w:pPr>
    <w:rPr>
      <w:rFonts w:ascii="Cambria" w:eastAsiaTheme="minorEastAsia" w:hAnsi="Cambria"/>
      <w:szCs w:val="24"/>
      <w:lang w:eastAsia="pl-PL"/>
    </w:rPr>
  </w:style>
  <w:style w:type="paragraph" w:customStyle="1" w:styleId="Style1">
    <w:name w:val="Style1"/>
    <w:basedOn w:val="Normalny"/>
    <w:uiPriority w:val="99"/>
    <w:rsid w:val="0004003F"/>
    <w:pPr>
      <w:widowControl w:val="0"/>
      <w:autoSpaceDE w:val="0"/>
      <w:autoSpaceDN w:val="0"/>
      <w:adjustRightInd w:val="0"/>
      <w:spacing w:after="0" w:line="316" w:lineRule="exact"/>
    </w:pPr>
    <w:rPr>
      <w:rFonts w:ascii="Calibri" w:eastAsiaTheme="minorEastAsia" w:hAnsi="Calibri" w:cs="Calibri"/>
      <w:szCs w:val="24"/>
      <w:lang w:eastAsia="pl-PL"/>
    </w:rPr>
  </w:style>
  <w:style w:type="character" w:styleId="Odwoaniedokomentarza">
    <w:name w:val="annotation reference"/>
    <w:basedOn w:val="Domylnaczcionkaakapitu"/>
    <w:uiPriority w:val="99"/>
    <w:semiHidden/>
    <w:unhideWhenUsed/>
    <w:rsid w:val="00445E45"/>
    <w:rPr>
      <w:sz w:val="16"/>
      <w:szCs w:val="16"/>
    </w:rPr>
  </w:style>
  <w:style w:type="paragraph" w:styleId="Tekstkomentarza">
    <w:name w:val="annotation text"/>
    <w:basedOn w:val="Normalny"/>
    <w:link w:val="TekstkomentarzaZnak"/>
    <w:uiPriority w:val="99"/>
    <w:unhideWhenUsed/>
    <w:rsid w:val="00445E45"/>
    <w:pPr>
      <w:spacing w:line="240" w:lineRule="auto"/>
    </w:pPr>
    <w:rPr>
      <w:sz w:val="20"/>
      <w:szCs w:val="20"/>
    </w:rPr>
  </w:style>
  <w:style w:type="character" w:customStyle="1" w:styleId="TekstkomentarzaZnak">
    <w:name w:val="Tekst komentarza Znak"/>
    <w:basedOn w:val="Domylnaczcionkaakapitu"/>
    <w:link w:val="Tekstkomentarza"/>
    <w:uiPriority w:val="99"/>
    <w:rsid w:val="00445E45"/>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445E45"/>
    <w:rPr>
      <w:b/>
      <w:bCs/>
    </w:rPr>
  </w:style>
  <w:style w:type="character" w:customStyle="1" w:styleId="TematkomentarzaZnak">
    <w:name w:val="Temat komentarza Znak"/>
    <w:basedOn w:val="TekstkomentarzaZnak"/>
    <w:link w:val="Tematkomentarza"/>
    <w:uiPriority w:val="99"/>
    <w:semiHidden/>
    <w:rsid w:val="00445E45"/>
    <w:rPr>
      <w:rFonts w:ascii="Times New Roman" w:hAnsi="Times New Roman"/>
      <w:b/>
      <w:bCs/>
      <w:sz w:val="20"/>
      <w:szCs w:val="20"/>
    </w:rPr>
  </w:style>
  <w:style w:type="paragraph" w:styleId="Poprawka">
    <w:name w:val="Revision"/>
    <w:hidden/>
    <w:uiPriority w:val="99"/>
    <w:semiHidden/>
    <w:rsid w:val="00870489"/>
    <w:pPr>
      <w:spacing w:after="0" w:line="240" w:lineRule="auto"/>
    </w:pPr>
    <w:rPr>
      <w:rFonts w:ascii="Times New Roman" w:hAnsi="Times New Roman"/>
      <w:sz w:val="24"/>
    </w:rPr>
  </w:style>
  <w:style w:type="paragraph" w:styleId="Tekstdymka">
    <w:name w:val="Balloon Text"/>
    <w:basedOn w:val="Normalny"/>
    <w:link w:val="TekstdymkaZnak"/>
    <w:uiPriority w:val="99"/>
    <w:semiHidden/>
    <w:unhideWhenUsed/>
    <w:rsid w:val="006151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513B"/>
    <w:rPr>
      <w:rFonts w:ascii="Segoe UI" w:hAnsi="Segoe UI" w:cs="Segoe UI"/>
      <w:sz w:val="18"/>
      <w:szCs w:val="18"/>
    </w:rPr>
  </w:style>
  <w:style w:type="paragraph" w:customStyle="1" w:styleId="pf0">
    <w:name w:val="pf0"/>
    <w:basedOn w:val="Normalny"/>
    <w:rsid w:val="003D72FE"/>
    <w:pPr>
      <w:spacing w:before="100" w:beforeAutospacing="1" w:after="100" w:afterAutospacing="1" w:line="240" w:lineRule="auto"/>
    </w:pPr>
    <w:rPr>
      <w:rFonts w:eastAsia="Times New Roman" w:cs="Times New Roman"/>
      <w:szCs w:val="24"/>
      <w:lang w:eastAsia="pl-PL"/>
    </w:rPr>
  </w:style>
  <w:style w:type="character" w:customStyle="1" w:styleId="cf01">
    <w:name w:val="cf01"/>
    <w:basedOn w:val="Domylnaczcionkaakapitu"/>
    <w:rsid w:val="003D72FE"/>
    <w:rPr>
      <w:rFonts w:ascii="Segoe UI" w:hAnsi="Segoe UI" w:cs="Segoe UI" w:hint="default"/>
      <w:sz w:val="18"/>
      <w:szCs w:val="18"/>
    </w:rPr>
  </w:style>
  <w:style w:type="paragraph" w:styleId="NormalnyWeb">
    <w:name w:val="Normal (Web)"/>
    <w:basedOn w:val="Normalny"/>
    <w:uiPriority w:val="99"/>
    <w:semiHidden/>
    <w:unhideWhenUsed/>
    <w:rsid w:val="004230D8"/>
    <w:pPr>
      <w:spacing w:before="100" w:beforeAutospacing="1" w:after="100" w:afterAutospacing="1" w:line="240" w:lineRule="auto"/>
    </w:pPr>
    <w:rPr>
      <w:rFonts w:eastAsia="Times New Roman" w:cs="Times New Roman"/>
      <w:szCs w:val="24"/>
      <w:lang w:eastAsia="pl-PL"/>
    </w:rPr>
  </w:style>
  <w:style w:type="paragraph" w:customStyle="1" w:styleId="Default">
    <w:name w:val="Default"/>
    <w:rsid w:val="00A8442D"/>
    <w:pPr>
      <w:autoSpaceDE w:val="0"/>
      <w:autoSpaceDN w:val="0"/>
      <w:adjustRightInd w:val="0"/>
      <w:spacing w:after="0" w:line="240" w:lineRule="auto"/>
    </w:pPr>
    <w:rPr>
      <w:rFonts w:ascii="Barlow" w:hAnsi="Barlow" w:cs="Barlow"/>
      <w:color w:val="000000"/>
      <w:sz w:val="24"/>
      <w:szCs w:val="24"/>
    </w:rPr>
  </w:style>
  <w:style w:type="paragraph" w:styleId="Bezodstpw">
    <w:name w:val="No Spacing"/>
    <w:uiPriority w:val="1"/>
    <w:qFormat/>
    <w:rsid w:val="00EE2820"/>
    <w:pPr>
      <w:spacing w:after="0" w:line="240" w:lineRule="auto"/>
    </w:pPr>
    <w:rPr>
      <w:rFonts w:ascii="Times New Roman" w:hAnsi="Times New Roman"/>
      <w:sz w:val="24"/>
    </w:rPr>
  </w:style>
  <w:style w:type="paragraph" w:customStyle="1" w:styleId="Style4">
    <w:name w:val="Style4"/>
    <w:basedOn w:val="Normalny"/>
    <w:uiPriority w:val="99"/>
    <w:rsid w:val="004E1CB4"/>
    <w:pPr>
      <w:widowControl w:val="0"/>
      <w:autoSpaceDE w:val="0"/>
      <w:autoSpaceDN w:val="0"/>
      <w:adjustRightInd w:val="0"/>
      <w:spacing w:after="0" w:line="316" w:lineRule="exact"/>
      <w:ind w:firstLine="720"/>
      <w:jc w:val="both"/>
    </w:pPr>
    <w:rPr>
      <w:rFonts w:ascii="Book Antiqua" w:eastAsiaTheme="minorEastAsia" w:hAnsi="Book Antiqua" w:cs="Times New Roman"/>
      <w:szCs w:val="24"/>
      <w:lang w:eastAsia="pl-PL"/>
    </w:rPr>
  </w:style>
  <w:style w:type="character" w:customStyle="1" w:styleId="FontStyle11">
    <w:name w:val="Font Style11"/>
    <w:basedOn w:val="Domylnaczcionkaakapitu"/>
    <w:uiPriority w:val="99"/>
    <w:rsid w:val="004E1CB4"/>
    <w:rPr>
      <w:rFonts w:ascii="Book Antiqua" w:hAnsi="Book Antiqua" w:cs="Book Antiqua"/>
      <w:sz w:val="20"/>
      <w:szCs w:val="20"/>
    </w:rPr>
  </w:style>
  <w:style w:type="character" w:customStyle="1" w:styleId="FontStyle12">
    <w:name w:val="Font Style12"/>
    <w:basedOn w:val="Domylnaczcionkaakapitu"/>
    <w:uiPriority w:val="99"/>
    <w:rsid w:val="003D6090"/>
    <w:rPr>
      <w:rFonts w:ascii="Times New Roman" w:hAnsi="Times New Roman" w:cs="Times New Roman"/>
      <w:sz w:val="24"/>
      <w:szCs w:val="24"/>
    </w:rPr>
  </w:style>
  <w:style w:type="character" w:customStyle="1" w:styleId="Ppogrubienie">
    <w:name w:val="_P_ – pogrubienie"/>
    <w:basedOn w:val="Domylnaczcionkaakapitu"/>
    <w:uiPriority w:val="1"/>
    <w:qFormat/>
    <w:rsid w:val="00B67C75"/>
    <w:rPr>
      <w:b/>
    </w:rPr>
  </w:style>
  <w:style w:type="paragraph" w:styleId="Nagwek">
    <w:name w:val="header"/>
    <w:basedOn w:val="Normalny"/>
    <w:link w:val="NagwekZnak"/>
    <w:uiPriority w:val="99"/>
    <w:unhideWhenUsed/>
    <w:rsid w:val="001E5C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5C02"/>
    <w:rPr>
      <w:rFonts w:ascii="Times New Roman" w:hAnsi="Times New Roman"/>
      <w:sz w:val="24"/>
    </w:rPr>
  </w:style>
  <w:style w:type="paragraph" w:styleId="Stopka">
    <w:name w:val="footer"/>
    <w:basedOn w:val="Normalny"/>
    <w:link w:val="StopkaZnak"/>
    <w:uiPriority w:val="99"/>
    <w:unhideWhenUsed/>
    <w:rsid w:val="001E5C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5C02"/>
    <w:rPr>
      <w:rFonts w:ascii="Times New Roman" w:hAnsi="Times New Roman"/>
      <w:sz w:val="24"/>
    </w:rPr>
  </w:style>
  <w:style w:type="character" w:customStyle="1" w:styleId="Nagwek2Znak">
    <w:name w:val="Nagłówek 2 Znak"/>
    <w:basedOn w:val="Domylnaczcionkaakapitu"/>
    <w:link w:val="Nagwek2"/>
    <w:uiPriority w:val="9"/>
    <w:semiHidden/>
    <w:rsid w:val="00E113D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873860">
      <w:bodyDiv w:val="1"/>
      <w:marLeft w:val="0"/>
      <w:marRight w:val="0"/>
      <w:marTop w:val="0"/>
      <w:marBottom w:val="0"/>
      <w:divBdr>
        <w:top w:val="none" w:sz="0" w:space="0" w:color="auto"/>
        <w:left w:val="none" w:sz="0" w:space="0" w:color="auto"/>
        <w:bottom w:val="none" w:sz="0" w:space="0" w:color="auto"/>
        <w:right w:val="none" w:sz="0" w:space="0" w:color="auto"/>
      </w:divBdr>
    </w:div>
    <w:div w:id="1144659807">
      <w:bodyDiv w:val="1"/>
      <w:marLeft w:val="0"/>
      <w:marRight w:val="0"/>
      <w:marTop w:val="0"/>
      <w:marBottom w:val="0"/>
      <w:divBdr>
        <w:top w:val="none" w:sz="0" w:space="0" w:color="auto"/>
        <w:left w:val="none" w:sz="0" w:space="0" w:color="auto"/>
        <w:bottom w:val="none" w:sz="0" w:space="0" w:color="auto"/>
        <w:right w:val="none" w:sz="0" w:space="0" w:color="auto"/>
      </w:divBdr>
    </w:div>
    <w:div w:id="1255019891">
      <w:bodyDiv w:val="1"/>
      <w:marLeft w:val="0"/>
      <w:marRight w:val="0"/>
      <w:marTop w:val="0"/>
      <w:marBottom w:val="0"/>
      <w:divBdr>
        <w:top w:val="none" w:sz="0" w:space="0" w:color="auto"/>
        <w:left w:val="none" w:sz="0" w:space="0" w:color="auto"/>
        <w:bottom w:val="none" w:sz="0" w:space="0" w:color="auto"/>
        <w:right w:val="none" w:sz="0" w:space="0" w:color="auto"/>
      </w:divBdr>
    </w:div>
    <w:div w:id="1315912243">
      <w:bodyDiv w:val="1"/>
      <w:marLeft w:val="0"/>
      <w:marRight w:val="0"/>
      <w:marTop w:val="0"/>
      <w:marBottom w:val="0"/>
      <w:divBdr>
        <w:top w:val="none" w:sz="0" w:space="0" w:color="auto"/>
        <w:left w:val="none" w:sz="0" w:space="0" w:color="auto"/>
        <w:bottom w:val="none" w:sz="0" w:space="0" w:color="auto"/>
        <w:right w:val="none" w:sz="0" w:space="0" w:color="auto"/>
      </w:divBdr>
    </w:div>
    <w:div w:id="1871067592">
      <w:bodyDiv w:val="1"/>
      <w:marLeft w:val="0"/>
      <w:marRight w:val="0"/>
      <w:marTop w:val="0"/>
      <w:marBottom w:val="0"/>
      <w:divBdr>
        <w:top w:val="none" w:sz="0" w:space="0" w:color="auto"/>
        <w:left w:val="none" w:sz="0" w:space="0" w:color="auto"/>
        <w:bottom w:val="none" w:sz="0" w:space="0" w:color="auto"/>
        <w:right w:val="none" w:sz="0" w:space="0" w:color="auto"/>
      </w:divBdr>
      <w:divsChild>
        <w:div w:id="539170093">
          <w:marLeft w:val="0"/>
          <w:marRight w:val="0"/>
          <w:marTop w:val="240"/>
          <w:marBottom w:val="0"/>
          <w:divBdr>
            <w:top w:val="none" w:sz="0" w:space="0" w:color="auto"/>
            <w:left w:val="none" w:sz="0" w:space="0" w:color="auto"/>
            <w:bottom w:val="none" w:sz="0" w:space="0" w:color="auto"/>
            <w:right w:val="none" w:sz="0" w:space="0" w:color="auto"/>
          </w:divBdr>
        </w:div>
        <w:div w:id="1688748970">
          <w:marLeft w:val="0"/>
          <w:marRight w:val="0"/>
          <w:marTop w:val="240"/>
          <w:marBottom w:val="0"/>
          <w:divBdr>
            <w:top w:val="none" w:sz="0" w:space="0" w:color="auto"/>
            <w:left w:val="none" w:sz="0" w:space="0" w:color="auto"/>
            <w:bottom w:val="none" w:sz="0" w:space="0" w:color="auto"/>
            <w:right w:val="none" w:sz="0" w:space="0" w:color="auto"/>
          </w:divBdr>
        </w:div>
      </w:divsChild>
    </w:div>
    <w:div w:id="1970553891">
      <w:bodyDiv w:val="1"/>
      <w:marLeft w:val="0"/>
      <w:marRight w:val="0"/>
      <w:marTop w:val="0"/>
      <w:marBottom w:val="0"/>
      <w:divBdr>
        <w:top w:val="none" w:sz="0" w:space="0" w:color="auto"/>
        <w:left w:val="none" w:sz="0" w:space="0" w:color="auto"/>
        <w:bottom w:val="none" w:sz="0" w:space="0" w:color="auto"/>
        <w:right w:val="none" w:sz="0" w:space="0" w:color="auto"/>
      </w:divBdr>
    </w:div>
    <w:div w:id="2139954455">
      <w:bodyDiv w:val="1"/>
      <w:marLeft w:val="0"/>
      <w:marRight w:val="0"/>
      <w:marTop w:val="0"/>
      <w:marBottom w:val="0"/>
      <w:divBdr>
        <w:top w:val="none" w:sz="0" w:space="0" w:color="auto"/>
        <w:left w:val="none" w:sz="0" w:space="0" w:color="auto"/>
        <w:bottom w:val="none" w:sz="0" w:space="0" w:color="auto"/>
        <w:right w:val="none" w:sz="0" w:space="0" w:color="auto"/>
      </w:divBdr>
      <w:divsChild>
        <w:div w:id="1018239205">
          <w:marLeft w:val="0"/>
          <w:marRight w:val="0"/>
          <w:marTop w:val="240"/>
          <w:marBottom w:val="0"/>
          <w:divBdr>
            <w:top w:val="none" w:sz="0" w:space="0" w:color="auto"/>
            <w:left w:val="none" w:sz="0" w:space="0" w:color="auto"/>
            <w:bottom w:val="none" w:sz="0" w:space="0" w:color="auto"/>
            <w:right w:val="none" w:sz="0" w:space="0" w:color="auto"/>
          </w:divBdr>
        </w:div>
        <w:div w:id="586620713">
          <w:marLeft w:val="0"/>
          <w:marRight w:val="0"/>
          <w:marTop w:val="2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2BD1-FA29-40D5-84B7-F3C384E5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3812</Words>
  <Characters>22877</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Pijawska Vel Pakulska Maria  (DLPC)</dc:creator>
  <cp:keywords/>
  <dc:description/>
  <cp:lastModifiedBy>Kopczyńska Katarzyna  (DLPC)</cp:lastModifiedBy>
  <cp:revision>8</cp:revision>
  <cp:lastPrinted>2024-02-05T12:08:00Z</cp:lastPrinted>
  <dcterms:created xsi:type="dcterms:W3CDTF">2024-02-21T11:55:00Z</dcterms:created>
  <dcterms:modified xsi:type="dcterms:W3CDTF">2024-02-22T08:49:00Z</dcterms:modified>
</cp:coreProperties>
</file>