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B82124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B82124">
        <w:rPr>
          <w:sz w:val="24"/>
          <w:szCs w:val="24"/>
          <w:lang w:val="en-US"/>
        </w:rPr>
        <w:t>Łódź</w:t>
      </w:r>
      <w:r w:rsidRPr="00B82124">
        <w:rPr>
          <w:sz w:val="24"/>
          <w:szCs w:val="24"/>
          <w:lang w:val="en-US"/>
        </w:rPr>
        <w:t xml:space="preserve">, </w:t>
      </w:r>
      <w:bookmarkStart w:id="0" w:name="ezdDataPodpisu"/>
      <w:r w:rsidRPr="00B82124">
        <w:rPr>
          <w:sz w:val="24"/>
          <w:szCs w:val="24"/>
          <w:lang w:val="en-US"/>
        </w:rPr>
        <w:t>15 czerwca 2022</w:t>
      </w:r>
      <w:bookmarkEnd w:id="0"/>
      <w:r w:rsidRPr="00B82124">
        <w:rPr>
          <w:sz w:val="24"/>
          <w:szCs w:val="24"/>
          <w:lang w:val="en-US"/>
        </w:rPr>
        <w:t xml:space="preserve"> r.</w:t>
      </w:r>
    </w:p>
    <w:p w:rsidR="00366568" w:rsidRPr="00B82124">
      <w:pPr>
        <w:tabs>
          <w:tab w:val="center" w:pos="1418"/>
        </w:tabs>
        <w:rPr>
          <w:sz w:val="24"/>
          <w:szCs w:val="24"/>
          <w:lang w:val="en-US"/>
        </w:rPr>
      </w:pPr>
      <w:r w:rsidRPr="00B82124">
        <w:rPr>
          <w:sz w:val="24"/>
          <w:szCs w:val="24"/>
          <w:lang w:val="en-US"/>
        </w:rPr>
        <w:tab/>
      </w:r>
      <w:bookmarkStart w:id="1" w:name="ezdSprawaZnak"/>
      <w:r w:rsidRPr="00B82124">
        <w:rPr>
          <w:sz w:val="24"/>
          <w:szCs w:val="24"/>
          <w:lang w:val="en-US"/>
        </w:rPr>
        <w:t>ZK-I.431.2.2022</w:t>
      </w:r>
      <w:bookmarkEnd w:id="1"/>
    </w:p>
    <w:p w:rsidR="00366568" w:rsidRPr="00B82124">
      <w:pPr>
        <w:snapToGrid w:val="0"/>
        <w:rPr>
          <w:sz w:val="24"/>
          <w:szCs w:val="24"/>
          <w:lang w:val="en-US"/>
        </w:rPr>
      </w:pPr>
    </w:p>
    <w:p w:rsidR="005A795F" w:rsidRPr="00BC643D" w:rsidP="00B82124">
      <w:pPr>
        <w:spacing w:line="360" w:lineRule="auto"/>
        <w:ind w:left="5529"/>
        <w:rPr>
          <w:b/>
          <w:kern w:val="0"/>
          <w:sz w:val="24"/>
          <w:szCs w:val="24"/>
          <w:lang w:val="en-US" w:eastAsia="ar-SA"/>
        </w:rPr>
      </w:pPr>
    </w:p>
    <w:p w:rsidR="00B82124" w:rsidRPr="00B82124" w:rsidP="00B82124">
      <w:pPr>
        <w:spacing w:line="360" w:lineRule="auto"/>
        <w:ind w:left="5529"/>
        <w:rPr>
          <w:b/>
          <w:kern w:val="0"/>
          <w:sz w:val="24"/>
          <w:szCs w:val="24"/>
          <w:lang w:eastAsia="ar-SA"/>
        </w:rPr>
      </w:pPr>
      <w:bookmarkStart w:id="2" w:name="_GoBack"/>
      <w:bookmarkEnd w:id="2"/>
      <w:r w:rsidRPr="00B82124">
        <w:rPr>
          <w:b/>
          <w:kern w:val="0"/>
          <w:sz w:val="24"/>
          <w:szCs w:val="24"/>
          <w:lang w:eastAsia="ar-SA"/>
        </w:rPr>
        <w:t>Pan</w:t>
      </w:r>
    </w:p>
    <w:p w:rsidR="00B82124" w:rsidRPr="00B82124" w:rsidP="00B82124">
      <w:pPr>
        <w:spacing w:line="360" w:lineRule="auto"/>
        <w:ind w:left="5529"/>
        <w:rPr>
          <w:b/>
          <w:bCs/>
          <w:kern w:val="0"/>
          <w:sz w:val="24"/>
          <w:szCs w:val="24"/>
          <w:lang w:eastAsia="ar-SA"/>
        </w:rPr>
      </w:pPr>
      <w:r w:rsidRPr="00B82124">
        <w:rPr>
          <w:b/>
          <w:bCs/>
          <w:kern w:val="0"/>
          <w:sz w:val="24"/>
          <w:szCs w:val="24"/>
          <w:lang w:eastAsia="ar-SA"/>
        </w:rPr>
        <w:t xml:space="preserve">Jacek Hofman </w:t>
      </w:r>
    </w:p>
    <w:p w:rsidR="00B82124" w:rsidRPr="00B82124" w:rsidP="00B82124">
      <w:pPr>
        <w:spacing w:line="360" w:lineRule="auto"/>
        <w:ind w:left="5529"/>
        <w:rPr>
          <w:b/>
          <w:bCs/>
          <w:kern w:val="0"/>
          <w:sz w:val="24"/>
          <w:szCs w:val="24"/>
          <w:lang w:eastAsia="ar-SA"/>
        </w:rPr>
      </w:pPr>
      <w:r w:rsidRPr="00B82124">
        <w:rPr>
          <w:b/>
          <w:bCs/>
          <w:kern w:val="0"/>
          <w:sz w:val="24"/>
          <w:szCs w:val="24"/>
          <w:lang w:eastAsia="ar-SA"/>
        </w:rPr>
        <w:t xml:space="preserve">Komendant Straży Miejskiej w Piotrkowie Trybunalskim </w:t>
      </w:r>
    </w:p>
    <w:p w:rsidR="00B82124" w:rsidRPr="00B82124" w:rsidP="00B82124">
      <w:pPr>
        <w:tabs>
          <w:tab w:val="center" w:pos="1588"/>
          <w:tab w:val="center" w:pos="4545"/>
          <w:tab w:val="right" w:pos="9090"/>
        </w:tabs>
        <w:spacing w:line="360" w:lineRule="auto"/>
        <w:rPr>
          <w:b/>
          <w:bCs/>
          <w:sz w:val="24"/>
          <w:szCs w:val="24"/>
          <w:lang w:eastAsia="pl-PL"/>
        </w:rPr>
      </w:pPr>
    </w:p>
    <w:p w:rsidR="00B82124" w:rsidRPr="00B82124" w:rsidP="00B82124">
      <w:pPr>
        <w:spacing w:line="360" w:lineRule="auto"/>
        <w:ind w:left="-15" w:firstLine="1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B82124" w:rsidRPr="00B82124" w:rsidP="00B82124">
      <w:pPr>
        <w:spacing w:line="360" w:lineRule="auto"/>
        <w:ind w:left="-15" w:firstLine="15"/>
        <w:jc w:val="center"/>
        <w:rPr>
          <w:sz w:val="24"/>
          <w:szCs w:val="24"/>
          <w:lang w:eastAsia="pl-PL"/>
        </w:rPr>
      </w:pPr>
      <w:r w:rsidRPr="00B82124"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B82124" w:rsidRPr="00B82124" w:rsidP="00B82124">
      <w:pPr>
        <w:snapToGrid w:val="0"/>
        <w:spacing w:line="360" w:lineRule="auto"/>
        <w:jc w:val="center"/>
        <w:rPr>
          <w:b/>
          <w:sz w:val="24"/>
          <w:szCs w:val="24"/>
          <w:lang w:eastAsia="pl-PL"/>
        </w:rPr>
      </w:pPr>
      <w:r w:rsidRPr="00B82124">
        <w:rPr>
          <w:b/>
          <w:sz w:val="24"/>
          <w:szCs w:val="24"/>
          <w:lang w:eastAsia="pl-PL"/>
        </w:rPr>
        <w:t xml:space="preserve">do przeprowadzonej kontroli okresowej </w:t>
      </w:r>
      <w:r w:rsidRPr="00B82124">
        <w:rPr>
          <w:b/>
          <w:bCs/>
          <w:sz w:val="24"/>
          <w:szCs w:val="24"/>
          <w:lang w:eastAsia="pl-PL"/>
        </w:rPr>
        <w:t xml:space="preserve">w zakresie </w:t>
      </w:r>
      <w:r w:rsidRPr="00B82124">
        <w:rPr>
          <w:b/>
          <w:sz w:val="24"/>
          <w:szCs w:val="24"/>
          <w:lang w:eastAsia="pl-PL"/>
        </w:rPr>
        <w:t xml:space="preserve">wykonywania uprawnień </w:t>
      </w:r>
      <w:r w:rsidRPr="00B82124">
        <w:rPr>
          <w:b/>
          <w:sz w:val="24"/>
          <w:szCs w:val="24"/>
          <w:lang w:eastAsia="pl-PL"/>
        </w:rPr>
        <w:br/>
        <w:t>przez Straż Miejską w Piotrkowie Trybunalskim</w:t>
      </w:r>
    </w:p>
    <w:p w:rsidR="00B82124" w:rsidRPr="00B82124" w:rsidP="00B82124">
      <w:pPr>
        <w:snapToGrid w:val="0"/>
        <w:spacing w:line="360" w:lineRule="auto"/>
        <w:jc w:val="center"/>
        <w:rPr>
          <w:sz w:val="24"/>
          <w:szCs w:val="24"/>
          <w:lang w:eastAsia="pl-PL"/>
        </w:rPr>
      </w:pPr>
    </w:p>
    <w:p w:rsidR="00B82124" w:rsidRPr="00B82124" w:rsidP="00B82124">
      <w:pPr>
        <w:spacing w:line="360" w:lineRule="auto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ab/>
        <w:t xml:space="preserve">Działając na podstawie art. 9 ust. 2 i 3 ustawy z dnia 29 sierpnia 1997 r. </w:t>
      </w:r>
      <w:r w:rsidRPr="00B82124">
        <w:rPr>
          <w:i/>
          <w:sz w:val="24"/>
          <w:szCs w:val="24"/>
          <w:lang w:eastAsia="pl-PL"/>
        </w:rPr>
        <w:t>o strażach gminnych</w:t>
      </w:r>
      <w:r w:rsidRPr="00B82124">
        <w:rPr>
          <w:sz w:val="24"/>
          <w:szCs w:val="24"/>
          <w:lang w:eastAsia="pl-PL"/>
        </w:rPr>
        <w:t xml:space="preserve"> (Dz. U. z 2021 r., poz. 1763 z późn. zm.) o</w:t>
      </w:r>
      <w:r w:rsidRPr="00B82124">
        <w:rPr>
          <w:bCs/>
          <w:sz w:val="24"/>
          <w:szCs w:val="24"/>
          <w:lang w:eastAsia="pl-PL"/>
        </w:rPr>
        <w:t xml:space="preserve">raz rozporządzenia Ministra Spraw Wewnętrznych i Administracji z dnia </w:t>
      </w:r>
      <w:r w:rsidRPr="00B82124">
        <w:rPr>
          <w:bCs/>
          <w:iCs/>
          <w:sz w:val="24"/>
          <w:szCs w:val="24"/>
          <w:lang w:eastAsia="pl-PL"/>
        </w:rPr>
        <w:t>21</w:t>
      </w:r>
      <w:r w:rsidRPr="00B82124">
        <w:rPr>
          <w:bCs/>
          <w:i/>
          <w:iCs/>
          <w:sz w:val="24"/>
          <w:szCs w:val="24"/>
          <w:lang w:eastAsia="pl-PL"/>
        </w:rPr>
        <w:t xml:space="preserve"> </w:t>
      </w:r>
      <w:r w:rsidRPr="00B82124">
        <w:rPr>
          <w:bCs/>
          <w:iCs/>
          <w:sz w:val="24"/>
          <w:szCs w:val="24"/>
          <w:lang w:eastAsia="pl-PL"/>
        </w:rPr>
        <w:t>grudnia 2009 r.</w:t>
      </w:r>
      <w:r w:rsidRPr="00B82124">
        <w:rPr>
          <w:bCs/>
          <w:i/>
          <w:iCs/>
          <w:sz w:val="24"/>
          <w:szCs w:val="24"/>
          <w:lang w:eastAsia="pl-PL"/>
        </w:rPr>
        <w:t xml:space="preserve"> w sprawie trybu sprawowania nadzoru nad działalnością straży gminnych (miejskich)</w:t>
      </w:r>
      <w:r w:rsidRPr="00B82124">
        <w:rPr>
          <w:bCs/>
          <w:sz w:val="24"/>
          <w:szCs w:val="24"/>
          <w:lang w:eastAsia="pl-PL"/>
        </w:rPr>
        <w:t xml:space="preserve"> (Dz. U. z 2009 r. Nr 220, poz.1733 z późn. zm.), </w:t>
      </w:r>
      <w:r w:rsidRPr="00B82124">
        <w:rPr>
          <w:sz w:val="24"/>
          <w:szCs w:val="24"/>
          <w:lang w:eastAsia="pl-PL"/>
        </w:rPr>
        <w:t>realizując założenia planu kontroli zatwierdzonego przez Wojewodę Łódzkiego, zespół kontrolny złożony z funkcjonariuszy Komendy Wojewódzkiej Policji w Łodzi w składzie:</w:t>
      </w:r>
    </w:p>
    <w:p w:rsidR="00B82124" w:rsidRPr="00B82124" w:rsidP="00B82124">
      <w:pPr>
        <w:spacing w:line="360" w:lineRule="auto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1. nadkom. Artur </w:t>
      </w:r>
      <w:r w:rsidRPr="00B82124">
        <w:rPr>
          <w:sz w:val="24"/>
          <w:szCs w:val="24"/>
          <w:lang w:eastAsia="pl-PL"/>
        </w:rPr>
        <w:t>Kawucha</w:t>
      </w:r>
      <w:r w:rsidRPr="00B82124">
        <w:rPr>
          <w:sz w:val="24"/>
          <w:szCs w:val="24"/>
          <w:lang w:eastAsia="pl-PL"/>
        </w:rPr>
        <w:t xml:space="preserve"> </w:t>
      </w:r>
      <w:r w:rsidR="00BC643D">
        <w:rPr>
          <w:sz w:val="24"/>
          <w:szCs w:val="24"/>
          <w:lang w:eastAsia="pl-PL"/>
        </w:rPr>
        <w:t>–</w:t>
      </w:r>
      <w:r w:rsidRPr="00B82124">
        <w:rPr>
          <w:sz w:val="24"/>
          <w:szCs w:val="24"/>
          <w:lang w:eastAsia="pl-PL"/>
        </w:rPr>
        <w:t xml:space="preserve"> Kierownik z Wydziału Prewencji,</w:t>
      </w:r>
    </w:p>
    <w:p w:rsidR="00B82124" w:rsidRPr="00B82124" w:rsidP="00B82124">
      <w:pPr>
        <w:spacing w:line="360" w:lineRule="auto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2. kom. Romuald Karpiak </w:t>
      </w:r>
      <w:r w:rsidR="00BC643D">
        <w:rPr>
          <w:sz w:val="24"/>
          <w:szCs w:val="24"/>
          <w:lang w:eastAsia="pl-PL"/>
        </w:rPr>
        <w:t>–</w:t>
      </w:r>
      <w:r w:rsidRPr="00B82124">
        <w:rPr>
          <w:sz w:val="24"/>
          <w:szCs w:val="24"/>
          <w:lang w:eastAsia="pl-PL"/>
        </w:rPr>
        <w:t xml:space="preserve"> p.o. Kierownika z Wydziału Prewencji,</w:t>
      </w:r>
    </w:p>
    <w:p w:rsidR="00BC643D" w:rsidP="00B82124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3. sierż</w:t>
      </w:r>
      <w:r w:rsidRPr="00B82124" w:rsidR="00B82124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  <w:r w:rsidRPr="00B82124" w:rsidR="00B82124">
        <w:rPr>
          <w:sz w:val="24"/>
          <w:szCs w:val="24"/>
          <w:lang w:eastAsia="pl-PL"/>
        </w:rPr>
        <w:t xml:space="preserve">szt. Daria Gronowska </w:t>
      </w:r>
      <w:r>
        <w:rPr>
          <w:sz w:val="24"/>
          <w:szCs w:val="24"/>
          <w:lang w:eastAsia="pl-PL"/>
        </w:rPr>
        <w:t>–</w:t>
      </w:r>
      <w:r w:rsidRPr="00B82124" w:rsidR="00B82124">
        <w:rPr>
          <w:sz w:val="24"/>
          <w:szCs w:val="24"/>
          <w:lang w:eastAsia="pl-PL"/>
        </w:rPr>
        <w:t xml:space="preserve"> specjalista z </w:t>
      </w:r>
      <w:r>
        <w:rPr>
          <w:sz w:val="24"/>
          <w:szCs w:val="24"/>
          <w:lang w:eastAsia="pl-PL"/>
        </w:rPr>
        <w:t>Wydziału Prewencji KWP w Łodzi</w:t>
      </w:r>
    </w:p>
    <w:p w:rsidR="00B82124" w:rsidRPr="00B82124" w:rsidP="00B82124">
      <w:pPr>
        <w:spacing w:line="360" w:lineRule="auto"/>
        <w:jc w:val="both"/>
        <w:rPr>
          <w:bCs/>
          <w:sz w:val="24"/>
          <w:szCs w:val="24"/>
        </w:rPr>
      </w:pPr>
      <w:r w:rsidRPr="00B82124">
        <w:rPr>
          <w:sz w:val="24"/>
          <w:szCs w:val="24"/>
          <w:lang w:eastAsia="pl-PL"/>
        </w:rPr>
        <w:t xml:space="preserve">legitymując się upoważnieniem Wojewody Łódzkiego z dnia 11 marca 2022 r., przeprowadził </w:t>
      </w:r>
      <w:r w:rsidRPr="00B82124">
        <w:rPr>
          <w:bCs/>
          <w:sz w:val="24"/>
          <w:szCs w:val="24"/>
          <w:lang w:eastAsia="pl-PL"/>
        </w:rPr>
        <w:t>w</w:t>
      </w:r>
      <w:r w:rsidRPr="00B82124">
        <w:rPr>
          <w:sz w:val="24"/>
          <w:szCs w:val="24"/>
          <w:lang w:eastAsia="pl-PL"/>
        </w:rPr>
        <w:t xml:space="preserve"> dniach 22 – 31 marca 2022 r. kontrolę okresową Straży </w:t>
      </w:r>
      <w:r w:rsidRPr="00B82124">
        <w:rPr>
          <w:bCs/>
          <w:sz w:val="24"/>
          <w:szCs w:val="24"/>
          <w:lang w:eastAsia="pl-PL"/>
        </w:rPr>
        <w:t xml:space="preserve">Miejskiej w Piotrkowie Trybunalskim z siedzibą przy ul. </w:t>
      </w:r>
      <w:r w:rsidR="00BC643D">
        <w:rPr>
          <w:bCs/>
          <w:sz w:val="24"/>
          <w:szCs w:val="24"/>
        </w:rPr>
        <w:t>Słowackiego 19, 97-</w:t>
      </w:r>
      <w:r w:rsidRPr="00B82124">
        <w:rPr>
          <w:bCs/>
          <w:sz w:val="24"/>
          <w:szCs w:val="24"/>
        </w:rPr>
        <w:t>300 Piotrków Trybunalski</w:t>
      </w:r>
      <w:r w:rsidRPr="00B82124">
        <w:rPr>
          <w:bCs/>
          <w:sz w:val="24"/>
          <w:szCs w:val="24"/>
          <w:lang w:eastAsia="pl-PL"/>
        </w:rPr>
        <w:t xml:space="preserve">. </w:t>
      </w:r>
    </w:p>
    <w:p w:rsidR="00B82124" w:rsidRPr="00B82124" w:rsidP="00B82124">
      <w:pPr>
        <w:keepNext/>
        <w:keepLines/>
        <w:autoSpaceDE w:val="0"/>
        <w:spacing w:line="360" w:lineRule="auto"/>
        <w:jc w:val="both"/>
        <w:rPr>
          <w:color w:val="FF0000"/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ab/>
        <w:t>Kontrolę okresową działalności Straży Miejskiej w Piotrkowie Trybunalskim przeprowadzono obejmując okres działania jednostki</w:t>
      </w:r>
      <w:r w:rsidRPr="00B82124">
        <w:rPr>
          <w:color w:val="FF0000"/>
          <w:sz w:val="24"/>
          <w:szCs w:val="24"/>
          <w:lang w:eastAsia="pl-PL"/>
        </w:rPr>
        <w:t xml:space="preserve"> </w:t>
      </w:r>
      <w:r w:rsidRPr="00B82124">
        <w:rPr>
          <w:sz w:val="24"/>
          <w:szCs w:val="24"/>
          <w:lang w:eastAsia="pl-PL"/>
        </w:rPr>
        <w:t>od 1 października 2021 r. do 22 marca 2022 r.</w:t>
      </w:r>
    </w:p>
    <w:p w:rsidR="00B82124" w:rsidRPr="00B82124" w:rsidP="00B82124">
      <w:pPr>
        <w:widowControl w:val="0"/>
        <w:autoSpaceDE w:val="0"/>
        <w:spacing w:line="360" w:lineRule="auto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 </w:t>
      </w:r>
    </w:p>
    <w:p w:rsidR="00B82124" w:rsidRPr="00B82124" w:rsidP="00B82124">
      <w:pPr>
        <w:widowControl w:val="0"/>
        <w:autoSpaceDE w:val="0"/>
        <w:spacing w:line="360" w:lineRule="auto"/>
        <w:jc w:val="both"/>
        <w:rPr>
          <w:b/>
          <w:sz w:val="24"/>
          <w:szCs w:val="24"/>
          <w:lang w:eastAsia="pl-PL"/>
        </w:rPr>
      </w:pPr>
      <w:r w:rsidRPr="00B82124">
        <w:rPr>
          <w:b/>
          <w:sz w:val="24"/>
          <w:szCs w:val="24"/>
          <w:lang w:eastAsia="pl-PL"/>
        </w:rPr>
        <w:t>Zbadaniu i ocenie podlegały następujące zagadnienia:</w:t>
      </w:r>
    </w:p>
    <w:p w:rsidR="00B82124" w:rsidRPr="00B82124" w:rsidP="00B82124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Ewidencje, o których mowa w art. 9a ust 1 ustawy z dnia 29 sierpnia 1997 r. o strażach </w:t>
      </w:r>
      <w:r w:rsidRPr="00B82124">
        <w:rPr>
          <w:kern w:val="0"/>
          <w:sz w:val="24"/>
          <w:szCs w:val="24"/>
          <w:lang w:eastAsia="pl-PL"/>
        </w:rPr>
        <w:t>gminnych.</w:t>
      </w:r>
    </w:p>
    <w:p w:rsidR="00B82124" w:rsidRPr="00B82124" w:rsidP="00B82124">
      <w:pPr>
        <w:numPr>
          <w:ilvl w:val="0"/>
          <w:numId w:val="2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Użycie środków przymusu bezpośredniego. </w:t>
      </w:r>
    </w:p>
    <w:p w:rsidR="00B82124" w:rsidRPr="00B82124" w:rsidP="00B82124">
      <w:pPr>
        <w:numPr>
          <w:ilvl w:val="0"/>
          <w:numId w:val="2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Wykonywania uprawnień, o których mowa w art. 12 ustawy z dnia 29 sierpnia 1997 r. o strażach gminnych: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prowadzenia czynności wyjaśniających w sprawach o wykroczenia;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ind w:right="159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ujęcie osób stwarzających w sposób oczywisty bezpośrednie zagrożenie dla życia </w:t>
      </w:r>
      <w:r w:rsidRPr="00B82124">
        <w:rPr>
          <w:kern w:val="0"/>
          <w:sz w:val="24"/>
          <w:szCs w:val="24"/>
          <w:lang w:eastAsia="pl-PL"/>
        </w:rPr>
        <w:tab/>
        <w:t>i zdrowia, a także mienia i niezwłocznego doprowadzania do najbliższej jednostki Policji;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legitymowanie osób w uzasadnionych przypadkach w celu ustalenia ich tożsamości;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usuwanie pojazdów i ich unieruchamiania przez blokowanie kół;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dokonywania kontroli osobistej, przeglądania zawartości podręcznych bagaży osoby;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dokonywania sprawdzenia prewencyjnego osób doprowadzanych, o których mowa </w:t>
      </w:r>
      <w:r w:rsidRPr="00B82124">
        <w:rPr>
          <w:kern w:val="0"/>
          <w:sz w:val="24"/>
          <w:szCs w:val="24"/>
          <w:lang w:eastAsia="pl-PL"/>
        </w:rPr>
        <w:tab/>
        <w:t>w art. 11 ust. 1 pkt. 7 ustawy o strażach gminnych;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żądania niezbędnej pomocy od instytucji państwowych i samorządowych;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>wydawania osobom poleceń określonego zachowania w granicach niezbędnych do wykonywania innych czynności zawartych w art. 12 pkt. 1-6 ustawy o strażach gminnych;</w:t>
      </w:r>
    </w:p>
    <w:p w:rsidR="00B82124" w:rsidRPr="00B82124" w:rsidP="00BC643D">
      <w:pPr>
        <w:numPr>
          <w:ilvl w:val="0"/>
          <w:numId w:val="3"/>
        </w:numPr>
        <w:tabs>
          <w:tab w:val="left" w:pos="851"/>
        </w:tabs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zwracania się w nagłych przypadkach, o pomoc do jednostek gospodarczych, prowadzących działalność w zakresie użyteczności publicznej oraz organizacji społecznych, jak również do innych osób. </w:t>
      </w:r>
    </w:p>
    <w:p w:rsidR="00B82124" w:rsidRPr="00B82124" w:rsidP="00B8212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  <w:lang w:eastAsia="pl-PL"/>
        </w:rPr>
      </w:pPr>
    </w:p>
    <w:p w:rsidR="00B82124" w:rsidRPr="00B82124" w:rsidP="00B82124">
      <w:pPr>
        <w:keepNext/>
        <w:numPr>
          <w:ilvl w:val="1"/>
          <w:numId w:val="4"/>
        </w:numPr>
        <w:spacing w:line="360" w:lineRule="auto"/>
        <w:outlineLvl w:val="1"/>
        <w:rPr>
          <w:b/>
          <w:sz w:val="24"/>
          <w:szCs w:val="24"/>
          <w:lang w:eastAsia="pl-PL"/>
        </w:rPr>
      </w:pPr>
      <w:r w:rsidRPr="00B82124">
        <w:rPr>
          <w:b/>
          <w:sz w:val="24"/>
          <w:szCs w:val="24"/>
          <w:lang w:eastAsia="pl-PL"/>
        </w:rPr>
        <w:t>Ustalenia kontroli:</w:t>
      </w:r>
    </w:p>
    <w:p w:rsidR="00B82124" w:rsidRPr="00B82124" w:rsidP="00B82124">
      <w:p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1. Prowadzenie ewidencji wymaganych na podstawie art. 9a ust. 1 ustawy z dnia 29 sierpnia 1997 r. o strażach gminnych. </w:t>
      </w:r>
    </w:p>
    <w:p w:rsidR="00B82124" w:rsidRPr="00B82124" w:rsidP="00B82124">
      <w:pPr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 xml:space="preserve">Straż Miejska </w:t>
      </w:r>
      <w:r w:rsidRPr="00B82124">
        <w:rPr>
          <w:bCs/>
          <w:sz w:val="24"/>
          <w:szCs w:val="24"/>
          <w:lang w:eastAsia="pl-PL"/>
        </w:rPr>
        <w:t xml:space="preserve">w Piotrkowie Trybunalskim </w:t>
      </w:r>
      <w:r w:rsidRPr="00B82124">
        <w:rPr>
          <w:kern w:val="0"/>
          <w:sz w:val="24"/>
          <w:szCs w:val="24"/>
          <w:lang w:eastAsia="pl-PL"/>
        </w:rPr>
        <w:t xml:space="preserve">prowadzi, wymagane na podstawie art. 9a ust. 1 ustawy z dnia 29 sierpnia 1997 r. o strażach gminnych (Dz. U. z 2021 r., poz. 1763) ewidencje. Sposób ich prowadzenia jest zgodny z rozporządzeniem Ministerstwa Spraw Wewnętrznych i Administracji z dnia 12 listopada 2009 roku w sprawie zakresu i sposobu prowadzenia przez straże gminne (miejskie) ewidencji etatów, wyposażenia oraz wyników działań straży (Dz. U. z 2017 r. poz. 1502). W Straży Miejskiej </w:t>
      </w:r>
      <w:r w:rsidRPr="00B82124">
        <w:rPr>
          <w:bCs/>
          <w:sz w:val="24"/>
          <w:szCs w:val="24"/>
          <w:lang w:eastAsia="pl-PL"/>
        </w:rPr>
        <w:t xml:space="preserve">w Piotrkowie Trybunalskim </w:t>
      </w:r>
      <w:r w:rsidRPr="00B82124">
        <w:rPr>
          <w:kern w:val="0"/>
          <w:sz w:val="24"/>
          <w:szCs w:val="24"/>
          <w:lang w:eastAsia="pl-PL"/>
        </w:rPr>
        <w:t>zatrudnionych jest 22 strażników (w tym komendant) oraz 4 pracowników cywilnych.</w:t>
      </w:r>
    </w:p>
    <w:p w:rsidR="00B82124" w:rsidRPr="00B82124" w:rsidP="00B82124">
      <w:pPr>
        <w:spacing w:line="360" w:lineRule="auto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>2. Użycie środków przymusu bezpośredniego.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W oparciu o przedstawioną dokumentację ustalono, że Straż Miejska w </w:t>
      </w:r>
      <w:r w:rsidR="005A3A96">
        <w:rPr>
          <w:sz w:val="24"/>
          <w:szCs w:val="24"/>
          <w:lang w:eastAsia="pl-PL"/>
        </w:rPr>
        <w:t xml:space="preserve">Piotrkowie Trybunalskim </w:t>
      </w:r>
      <w:r w:rsidRPr="00B82124">
        <w:rPr>
          <w:sz w:val="24"/>
          <w:szCs w:val="24"/>
          <w:lang w:eastAsia="pl-PL"/>
        </w:rPr>
        <w:t>w kontrolowanym okresie nie stosowała środków przymusu bezpośredniego znajdującego się na wyposażeniu.</w:t>
      </w:r>
    </w:p>
    <w:p w:rsidR="00B82124" w:rsidRPr="00B82124" w:rsidP="00B82124">
      <w:pPr>
        <w:spacing w:line="360" w:lineRule="auto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3. Wykonywanie uprawnień, o których mowa w art. 12 ustawy z dnia 29 sierpnia 1997 r. o strażach gminnych. 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W czasie kontroli ustalono, że Strażnicy Miejscy </w:t>
      </w:r>
      <w:r w:rsidRPr="00B82124">
        <w:rPr>
          <w:bCs/>
          <w:sz w:val="24"/>
          <w:szCs w:val="24"/>
          <w:lang w:eastAsia="pl-PL"/>
        </w:rPr>
        <w:t xml:space="preserve">w Piotrkowie Trybunalskim </w:t>
      </w:r>
      <w:r w:rsidRPr="00B82124">
        <w:rPr>
          <w:sz w:val="24"/>
          <w:szCs w:val="24"/>
          <w:lang w:eastAsia="pl-PL"/>
        </w:rPr>
        <w:t xml:space="preserve">posiadają upoważnienia do wykonywania kontroli ruchu drogowego oraz do nakładania grzywien w drodze mandatu karnego. Zbadano </w:t>
      </w:r>
      <w:r w:rsidRPr="00B82124">
        <w:rPr>
          <w:sz w:val="24"/>
          <w:szCs w:val="24"/>
        </w:rPr>
        <w:t xml:space="preserve">sposób postępowania strażników w przypadku ujawnienia czynu zabronionego mogącego wyczerpywać znamiona wykroczenia, aktywność oskarżyciela publicznego, zgodność prowadzonych czynności wyjaśniających w sprawach o wykroczenia z przepisami ustawy z dnia 24 sierpnia 2001 r. Kodeks postępowania w sprawach o wykroczenia (Dz. U. z 2021 r. poz. 457 z późn. zm.), w tym także w sprawach zakończonych w postępowaniu mandatowym. </w:t>
      </w:r>
      <w:r w:rsidRPr="00B82124">
        <w:rPr>
          <w:sz w:val="24"/>
          <w:szCs w:val="24"/>
          <w:lang w:eastAsia="pl-PL"/>
        </w:rPr>
        <w:t xml:space="preserve">Przed przystąpieniem do kontroli sposobu prowadzenia czynności wyjaśniających w sprawach o wykroczenia, zwrócono się do Komendanta Straży o przedstawienie ewidencji wyników działania straży w okresie kontroli. 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>Na podstawie przedłożonych danych ustalono, że w okresie kontroli Straż podjęła 3245 interwencji, z których 882 zakończyło się pouczeniem, natomiast 231 postępowaniem mandatowym. Zarejestrowano 205 spraw o wykroczenia, w 31 zastosowano pouczenia, a</w:t>
      </w:r>
      <w:r w:rsidR="00BC643D">
        <w:rPr>
          <w:sz w:val="24"/>
          <w:szCs w:val="24"/>
          <w:lang w:eastAsia="pl-PL"/>
        </w:rPr>
        <w:t xml:space="preserve"> w</w:t>
      </w:r>
      <w:r w:rsidRPr="00B82124">
        <w:rPr>
          <w:sz w:val="24"/>
          <w:szCs w:val="24"/>
          <w:lang w:eastAsia="pl-PL"/>
        </w:rPr>
        <w:t xml:space="preserve"> 64 skierowano wniosek o ukaranie do sądu. Dodatkowo w 30 sprawach wdrożono postępowanie mandatowe, a w 11 wniosek o odstąpienie z uwagi na niewykrycie sprawcy wykroczenia. W kontrolowanym okresie Straż Miejska w Piotrkowie Trybunalskim nie stosowała żadnych środków odwoławczych od postanowień sądu. Dyslokację patroli planowano pod kątem zgłaszanych interwencji, także tych związanych z funkcjonowaniem publicznej infrastruktury miasta, a ponadto monitorowano obszary miejskie przy współpracy z Policją. 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W 2021 r. w efekcie wspólnych działań </w:t>
      </w:r>
      <w:r w:rsidR="005A3A96">
        <w:rPr>
          <w:sz w:val="24"/>
          <w:szCs w:val="24"/>
          <w:lang w:eastAsia="pl-PL"/>
        </w:rPr>
        <w:t xml:space="preserve">z Komendą Miejską Policji w Piotrkowie Trybunalskim </w:t>
      </w:r>
      <w:r w:rsidRPr="00B82124">
        <w:rPr>
          <w:sz w:val="24"/>
          <w:szCs w:val="24"/>
          <w:lang w:eastAsia="pl-PL"/>
        </w:rPr>
        <w:t>strażnicy przeprowadzili 237 interwencji</w:t>
      </w:r>
      <w:r w:rsidR="00BC643D">
        <w:rPr>
          <w:sz w:val="24"/>
          <w:szCs w:val="24"/>
          <w:lang w:eastAsia="pl-PL"/>
        </w:rPr>
        <w:t>,</w:t>
      </w:r>
      <w:r w:rsidRPr="00B82124">
        <w:rPr>
          <w:sz w:val="24"/>
          <w:szCs w:val="24"/>
          <w:lang w:eastAsia="pl-PL"/>
        </w:rPr>
        <w:t xml:space="preserve"> a</w:t>
      </w:r>
      <w:r w:rsidR="00520C2F">
        <w:rPr>
          <w:sz w:val="24"/>
          <w:szCs w:val="24"/>
          <w:lang w:eastAsia="pl-PL"/>
        </w:rPr>
        <w:t> </w:t>
      </w:r>
      <w:r w:rsidRPr="00B82124">
        <w:rPr>
          <w:sz w:val="24"/>
          <w:szCs w:val="24"/>
          <w:lang w:eastAsia="pl-PL"/>
        </w:rPr>
        <w:t xml:space="preserve">służba dyżurna Straży w tym okresie przekazała Policji 230 interwencji i zgłoszeń. Strażnicy </w:t>
      </w:r>
      <w:r w:rsidRPr="00B82124" w:rsidR="005A3A96">
        <w:rPr>
          <w:sz w:val="24"/>
          <w:szCs w:val="24"/>
          <w:lang w:eastAsia="pl-PL"/>
        </w:rPr>
        <w:t>reagowali</w:t>
      </w:r>
      <w:r w:rsidRPr="00B82124">
        <w:rPr>
          <w:sz w:val="24"/>
          <w:szCs w:val="24"/>
          <w:lang w:eastAsia="pl-PL"/>
        </w:rPr>
        <w:t xml:space="preserve"> na przypadki naruszania prawa podczas akcji bezpiecznej drogi do szkoły „Małolat", osadzali nietrzeźwe osoby w</w:t>
      </w:r>
      <w:r w:rsidR="005A3A96">
        <w:rPr>
          <w:sz w:val="24"/>
          <w:szCs w:val="24"/>
          <w:lang w:eastAsia="pl-PL"/>
        </w:rPr>
        <w:t> </w:t>
      </w:r>
      <w:r w:rsidRPr="00B82124">
        <w:rPr>
          <w:sz w:val="24"/>
          <w:szCs w:val="24"/>
          <w:lang w:eastAsia="pl-PL"/>
        </w:rPr>
        <w:t>policyjnych pomieszczeniach dla tego typu zatrzymanych. Straż Miejska codziennie przekazuje materiały z nagrań monitoringu miejskiego do prowadzonych przez policję postępowań, uczestnicz</w:t>
      </w:r>
      <w:r w:rsidR="00BC643D">
        <w:rPr>
          <w:sz w:val="24"/>
          <w:szCs w:val="24"/>
          <w:lang w:eastAsia="pl-PL"/>
        </w:rPr>
        <w:t>y</w:t>
      </w:r>
      <w:r w:rsidRPr="00B82124">
        <w:rPr>
          <w:sz w:val="24"/>
          <w:szCs w:val="24"/>
          <w:lang w:eastAsia="pl-PL"/>
        </w:rPr>
        <w:t xml:space="preserve"> w zabezpieczeniu porządku publicznego podczas imprez masowych, zgromadzeń i uroczystości, w tym zwłaszcza przejazdów kibiców.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>Strażnicy miejscy prowadz</w:t>
      </w:r>
      <w:r w:rsidR="00AF53F6">
        <w:rPr>
          <w:sz w:val="24"/>
          <w:szCs w:val="24"/>
          <w:lang w:eastAsia="pl-PL"/>
        </w:rPr>
        <w:t>ili</w:t>
      </w:r>
      <w:r w:rsidRPr="00B82124">
        <w:rPr>
          <w:sz w:val="24"/>
          <w:szCs w:val="24"/>
          <w:lang w:eastAsia="pl-PL"/>
        </w:rPr>
        <w:t xml:space="preserve"> kontrole nieruchomości w zakresie utrzymania czystości i</w:t>
      </w:r>
      <w:r w:rsidR="005A3A96">
        <w:rPr>
          <w:sz w:val="24"/>
          <w:szCs w:val="24"/>
          <w:lang w:eastAsia="pl-PL"/>
        </w:rPr>
        <w:t> </w:t>
      </w:r>
      <w:r w:rsidRPr="00B82124">
        <w:rPr>
          <w:sz w:val="24"/>
          <w:szCs w:val="24"/>
          <w:lang w:eastAsia="pl-PL"/>
        </w:rPr>
        <w:t>porządku, zimowego utrzymania dróg czy spalania odpadów. W tym zakresie przeprowadzono 362 interwencje, wystawiając 47 pouczeń, 4 mandaty, a także 4 wnioski o ukaranie do sądu.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>Należy podkreślić istotną kwestię współpracy Straży Miejskiej w Piotrkowie Trybunalskim z innymi podmiotami w obliczu awarii oraz nieprawidłowości w funkcjonowaniu infrastruktury technicznej, dróg, oświetlenia, oznakowania oraz utrzymania czystości i</w:t>
      </w:r>
      <w:r w:rsidR="00520C2F">
        <w:rPr>
          <w:sz w:val="24"/>
          <w:szCs w:val="24"/>
          <w:lang w:eastAsia="pl-PL"/>
        </w:rPr>
        <w:t> </w:t>
      </w:r>
      <w:r w:rsidRPr="00B82124">
        <w:rPr>
          <w:sz w:val="24"/>
          <w:szCs w:val="24"/>
          <w:lang w:eastAsia="pl-PL"/>
        </w:rPr>
        <w:t>porządku na terenach miejskich.</w:t>
      </w:r>
    </w:p>
    <w:p w:rsidR="00B82124" w:rsidRPr="00B82124" w:rsidP="00B82124">
      <w:pPr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B82124">
        <w:rPr>
          <w:sz w:val="24"/>
          <w:szCs w:val="24"/>
          <w:lang w:eastAsia="pl-PL"/>
        </w:rPr>
        <w:t xml:space="preserve">Działalność Straży Miejskiej w Piotrkowie Trybunalskim z zakresu realizacji zadań ochrony porządku publicznego należy ocenić </w:t>
      </w:r>
      <w:r w:rsidRPr="00B82124">
        <w:rPr>
          <w:b/>
          <w:sz w:val="24"/>
          <w:szCs w:val="24"/>
          <w:lang w:eastAsia="pl-PL"/>
        </w:rPr>
        <w:t>pozytywnie</w:t>
      </w:r>
      <w:r w:rsidRPr="00B82124">
        <w:rPr>
          <w:sz w:val="24"/>
          <w:szCs w:val="24"/>
          <w:lang w:eastAsia="pl-PL"/>
        </w:rPr>
        <w:t>. Strażnicy miejscy swoje zadania wykonują właściwie, korzystając przy tym z szeregu swoich uprawnień. Przeprowadzoną kontrolę udokumentowano w Protokole z kontroli okresowej, zgodnie z zapisami r</w:t>
      </w:r>
      <w:r w:rsidRPr="00B82124">
        <w:rPr>
          <w:bCs/>
          <w:sz w:val="24"/>
          <w:szCs w:val="24"/>
          <w:lang w:eastAsia="pl-PL"/>
        </w:rPr>
        <w:t xml:space="preserve">ozporządzenia Ministra Spraw Wewnętrznych i Administracji z dnia 21 grudnia 2009 roku </w:t>
      </w:r>
      <w:r w:rsidRPr="00B82124">
        <w:rPr>
          <w:bCs/>
          <w:i/>
          <w:sz w:val="24"/>
          <w:szCs w:val="24"/>
          <w:lang w:eastAsia="pl-PL"/>
        </w:rPr>
        <w:t>w sprawie trybu sprawowania nadzoru nad działalnością straży gminnych (miejskich)</w:t>
      </w:r>
      <w:r w:rsidRPr="00B82124">
        <w:rPr>
          <w:bCs/>
          <w:sz w:val="24"/>
          <w:szCs w:val="24"/>
          <w:lang w:eastAsia="pl-PL"/>
        </w:rPr>
        <w:t>.</w:t>
      </w:r>
    </w:p>
    <w:p w:rsidR="00B82124" w:rsidRPr="00B82124" w:rsidP="00B82124">
      <w:pPr>
        <w:spacing w:line="360" w:lineRule="auto"/>
        <w:jc w:val="both"/>
        <w:rPr>
          <w:b/>
          <w:sz w:val="24"/>
          <w:szCs w:val="24"/>
          <w:lang w:eastAsia="pl-PL"/>
        </w:rPr>
      </w:pPr>
    </w:p>
    <w:p w:rsidR="00B82124" w:rsidRPr="00B82124" w:rsidP="00B82124">
      <w:pPr>
        <w:spacing w:line="360" w:lineRule="auto"/>
        <w:jc w:val="both"/>
        <w:rPr>
          <w:b/>
          <w:sz w:val="24"/>
          <w:szCs w:val="24"/>
          <w:lang w:eastAsia="pl-PL"/>
        </w:rPr>
      </w:pPr>
      <w:r w:rsidRPr="00B82124">
        <w:rPr>
          <w:b/>
          <w:sz w:val="24"/>
          <w:szCs w:val="24"/>
          <w:lang w:eastAsia="pl-PL"/>
        </w:rPr>
        <w:t xml:space="preserve">Ujawniono jednak następujące uchybienia lub obszary wymagające zmiany: </w:t>
      </w:r>
    </w:p>
    <w:p w:rsidR="00B82124" w:rsidRPr="00B82124" w:rsidP="00B82124">
      <w:pPr>
        <w:numPr>
          <w:ilvl w:val="0"/>
          <w:numId w:val="5"/>
        </w:numPr>
        <w:spacing w:line="360" w:lineRule="auto"/>
        <w:ind w:left="284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 xml:space="preserve">Nałożenie mandatu karnego w sytuacji, kiedy strażnik miejski nie schwytał sprawcy wykroczenia na gorącym uczynku lub bezpośrednio po popełnieniu wykroczenia. Zgodnie </w:t>
      </w:r>
      <w:r w:rsidRPr="00B82124">
        <w:rPr>
          <w:bCs/>
          <w:kern w:val="0"/>
          <w:sz w:val="24"/>
          <w:szCs w:val="24"/>
          <w:lang w:eastAsia="pl-PL"/>
        </w:rPr>
        <w:t xml:space="preserve">z art. 97 § 1 </w:t>
      </w:r>
      <w:r w:rsidRPr="00B82124">
        <w:rPr>
          <w:bCs/>
          <w:kern w:val="0"/>
          <w:sz w:val="24"/>
          <w:szCs w:val="24"/>
          <w:lang w:eastAsia="pl-PL"/>
        </w:rPr>
        <w:t>k.p.o.w</w:t>
      </w:r>
      <w:r w:rsidRPr="00B82124">
        <w:rPr>
          <w:bCs/>
          <w:kern w:val="0"/>
          <w:sz w:val="24"/>
          <w:szCs w:val="24"/>
          <w:lang w:eastAsia="pl-PL"/>
        </w:rPr>
        <w:t>. grzywna w drodze mandatu karnego może być nałożona w postępowaniu karnym przez uprawnionego funkcjonariusza w dwóch przypadkach: w</w:t>
      </w:r>
      <w:bookmarkStart w:id="3" w:name="_Hlk99526161"/>
      <w:r w:rsidRPr="00B82124">
        <w:rPr>
          <w:bCs/>
          <w:kern w:val="0"/>
          <w:sz w:val="24"/>
          <w:szCs w:val="24"/>
          <w:lang w:eastAsia="pl-PL"/>
        </w:rPr>
        <w:t xml:space="preserve"> razie schwytania sprawcy wykroczenia na gorącym uczynku lub bezpośrednio po popełnieniu wykroczenia </w:t>
      </w:r>
      <w:bookmarkEnd w:id="3"/>
      <w:r w:rsidRPr="00B82124">
        <w:rPr>
          <w:bCs/>
          <w:kern w:val="0"/>
          <w:sz w:val="24"/>
          <w:szCs w:val="24"/>
          <w:lang w:eastAsia="pl-PL"/>
        </w:rPr>
        <w:t xml:space="preserve">(art. 97 § 1 pkt 1 </w:t>
      </w:r>
      <w:r w:rsidRPr="00B82124">
        <w:rPr>
          <w:bCs/>
          <w:kern w:val="0"/>
          <w:sz w:val="24"/>
          <w:szCs w:val="24"/>
          <w:lang w:eastAsia="pl-PL"/>
        </w:rPr>
        <w:t>k.p.o.w</w:t>
      </w:r>
      <w:r w:rsidRPr="00B82124">
        <w:rPr>
          <w:bCs/>
          <w:kern w:val="0"/>
          <w:sz w:val="24"/>
          <w:szCs w:val="24"/>
          <w:lang w:eastAsia="pl-PL"/>
        </w:rPr>
        <w:t>.) lub w razie stwierdzenia popełnienia wykroczenia, w szczególności za pomocą przyrządu kontrolno-pomiarowego lub urządzenia rejestrującego, a sprawca nie został schwytany na gorącym uczynku  lub bezpośrednio potem, i</w:t>
      </w:r>
      <w:r w:rsidRPr="00B82124">
        <w:rPr>
          <w:b/>
          <w:bCs/>
          <w:kern w:val="0"/>
          <w:sz w:val="24"/>
          <w:szCs w:val="24"/>
          <w:lang w:eastAsia="pl-PL"/>
        </w:rPr>
        <w:t xml:space="preserve"> </w:t>
      </w:r>
      <w:r w:rsidRPr="00B82124">
        <w:rPr>
          <w:bCs/>
          <w:kern w:val="0"/>
          <w:sz w:val="24"/>
          <w:szCs w:val="24"/>
          <w:lang w:eastAsia="pl-PL"/>
        </w:rPr>
        <w:t xml:space="preserve">nie zachodzi wątpliwość co do sprawcy czynu (art. 97 § 1 pkt 3 </w:t>
      </w:r>
      <w:r w:rsidRPr="00B82124">
        <w:rPr>
          <w:bCs/>
          <w:kern w:val="0"/>
          <w:sz w:val="24"/>
          <w:szCs w:val="24"/>
          <w:lang w:eastAsia="pl-PL"/>
        </w:rPr>
        <w:t>k.p.o.w</w:t>
      </w:r>
      <w:r w:rsidRPr="00B82124">
        <w:rPr>
          <w:bCs/>
          <w:kern w:val="0"/>
          <w:sz w:val="24"/>
          <w:szCs w:val="24"/>
          <w:lang w:eastAsia="pl-PL"/>
        </w:rPr>
        <w:t>.).</w:t>
      </w:r>
      <w:r w:rsidRPr="00B82124">
        <w:rPr>
          <w:kern w:val="0"/>
          <w:sz w:val="24"/>
          <w:szCs w:val="24"/>
          <w:lang w:eastAsia="pl-PL"/>
        </w:rPr>
        <w:t xml:space="preserve"> </w:t>
      </w:r>
    </w:p>
    <w:p w:rsidR="00B82124" w:rsidRPr="00B82124" w:rsidP="00B82124">
      <w:pPr>
        <w:numPr>
          <w:ilvl w:val="0"/>
          <w:numId w:val="5"/>
        </w:numPr>
        <w:spacing w:line="360" w:lineRule="auto"/>
        <w:ind w:left="284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>Wpisanie na mandacie karnym</w:t>
      </w:r>
      <w:r w:rsidRPr="00B82124">
        <w:rPr>
          <w:b/>
          <w:bCs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 xml:space="preserve"> podstawy prawnej wykroczenia (jedynie)                                   art. 97 </w:t>
      </w: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>k.w</w:t>
      </w: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 xml:space="preserve">. (tzw. przepis blankietowy), bez przepisu dopełniającego spoza kodeksu wykroczeń. </w:t>
      </w:r>
      <w:r w:rsidRPr="00B82124">
        <w:rPr>
          <w:bCs/>
          <w:kern w:val="0"/>
          <w:sz w:val="24"/>
          <w:szCs w:val="24"/>
          <w:lang w:eastAsia="pl-PL"/>
        </w:rPr>
        <w:t xml:space="preserve">Przepis blankietowy, odsyła do przepisów spoza kodeksu wykroczeń i jest przepisem dopełniającym, ale nie zastępczym. W związku z powyższym przepis blankietowy należy uzupełnić </w:t>
      </w:r>
      <w:r w:rsidRPr="00B82124">
        <w:rPr>
          <w:kern w:val="0"/>
          <w:sz w:val="24"/>
          <w:szCs w:val="24"/>
          <w:lang w:eastAsia="pl-PL"/>
        </w:rPr>
        <w:t xml:space="preserve">przepisami innych aktów normatywnych. </w:t>
      </w:r>
    </w:p>
    <w:p w:rsidR="00B82124" w:rsidRPr="00B82124" w:rsidP="00B82124">
      <w:pPr>
        <w:numPr>
          <w:ilvl w:val="0"/>
          <w:numId w:val="5"/>
        </w:numPr>
        <w:spacing w:line="360" w:lineRule="auto"/>
        <w:ind w:left="284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 xml:space="preserve">„Anulowanie” prawomocnego mandatu karnego. </w:t>
      </w:r>
      <w:r w:rsidRPr="00B82124">
        <w:rPr>
          <w:bCs/>
          <w:kern w:val="0"/>
          <w:sz w:val="24"/>
          <w:szCs w:val="24"/>
          <w:lang w:eastAsia="pl-PL"/>
        </w:rPr>
        <w:t xml:space="preserve">Prawomocny mandat karny może zostać uchylony tylko w przypadkach opisanych w art. 101 </w:t>
      </w:r>
      <w:r w:rsidRPr="00B82124">
        <w:rPr>
          <w:bCs/>
          <w:kern w:val="0"/>
          <w:sz w:val="24"/>
          <w:szCs w:val="24"/>
          <w:lang w:eastAsia="pl-PL"/>
        </w:rPr>
        <w:t>k.p.o.w</w:t>
      </w:r>
      <w:r w:rsidRPr="00B82124">
        <w:rPr>
          <w:bCs/>
          <w:kern w:val="0"/>
          <w:sz w:val="24"/>
          <w:szCs w:val="24"/>
          <w:lang w:eastAsia="pl-PL"/>
        </w:rPr>
        <w:t>.</w:t>
      </w:r>
    </w:p>
    <w:p w:rsidR="00B82124" w:rsidRPr="00B82124" w:rsidP="00B82124">
      <w:pPr>
        <w:numPr>
          <w:ilvl w:val="0"/>
          <w:numId w:val="5"/>
        </w:numPr>
        <w:spacing w:line="360" w:lineRule="auto"/>
        <w:ind w:left="284"/>
        <w:contextualSpacing/>
        <w:jc w:val="both"/>
        <w:rPr>
          <w:kern w:val="0"/>
          <w:sz w:val="24"/>
          <w:szCs w:val="24"/>
          <w:lang w:eastAsia="pl-PL"/>
        </w:rPr>
      </w:pP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 xml:space="preserve"> Przedwczesne zakończenie czynności wyjaśniających. </w:t>
      </w:r>
      <w:r w:rsidRPr="00B82124">
        <w:rPr>
          <w:color w:val="000000"/>
          <w:kern w:val="0"/>
          <w:sz w:val="24"/>
          <w:szCs w:val="24"/>
          <w:lang w:eastAsia="pl-PL"/>
        </w:rPr>
        <w:t>Jedną z naczelnych zasad procesowego prawa wykrocze</w:t>
      </w:r>
      <w:r w:rsidR="00BC643D">
        <w:rPr>
          <w:color w:val="000000"/>
          <w:kern w:val="0"/>
          <w:sz w:val="24"/>
          <w:szCs w:val="24"/>
          <w:lang w:eastAsia="pl-PL"/>
        </w:rPr>
        <w:t>ń określoną w art. 2 § 2 k.p.k.</w:t>
      </w:r>
      <w:r w:rsidRPr="00B82124">
        <w:rPr>
          <w:color w:val="000000"/>
          <w:kern w:val="0"/>
          <w:sz w:val="24"/>
          <w:szCs w:val="24"/>
          <w:lang w:eastAsia="pl-PL"/>
        </w:rPr>
        <w:t xml:space="preserve"> w zw. z art. 8 </w:t>
      </w:r>
      <w:r w:rsidRPr="00B82124">
        <w:rPr>
          <w:color w:val="000000"/>
          <w:kern w:val="0"/>
          <w:sz w:val="24"/>
          <w:szCs w:val="24"/>
          <w:lang w:eastAsia="pl-PL"/>
        </w:rPr>
        <w:t>k.p.o.w</w:t>
      </w:r>
      <w:r w:rsidRPr="00B82124">
        <w:rPr>
          <w:color w:val="000000"/>
          <w:kern w:val="0"/>
          <w:sz w:val="24"/>
          <w:szCs w:val="24"/>
          <w:lang w:eastAsia="pl-PL"/>
        </w:rPr>
        <w:t xml:space="preserve">. jest zasada </w:t>
      </w:r>
      <w:r w:rsidRPr="00B82124">
        <w:rPr>
          <w:color w:val="000000"/>
          <w:kern w:val="0"/>
          <w:sz w:val="24"/>
          <w:szCs w:val="24"/>
          <w:lang w:eastAsia="pl-PL"/>
        </w:rPr>
        <w:t xml:space="preserve">prawdy materialnej. Zgodnie z nią podstawę orzekania ma stanowić zawsze całokształt ujawnionego w postępowaniu materiału dowodowego. Należy zatem dążyć do wszechstronnego rozpoznania sprawy wykorzystując wszelkie możliwe środki przewidziane prawem.  </w:t>
      </w:r>
    </w:p>
    <w:p w:rsidR="00B82124" w:rsidRPr="00B82124" w:rsidP="00B82124">
      <w:pPr>
        <w:spacing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pl-PL"/>
        </w:rPr>
      </w:pPr>
      <w:r w:rsidRPr="00B82124">
        <w:rPr>
          <w:bCs/>
          <w:color w:val="000000" w:themeColor="text1"/>
          <w:kern w:val="0"/>
          <w:sz w:val="24"/>
          <w:szCs w:val="24"/>
          <w:lang w:eastAsia="pl-PL"/>
        </w:rPr>
        <w:t xml:space="preserve">5. Zakończenie czynności wyjaśniających wskazaniem nieistniejącej, ujemnej przesłanki procesowej. </w:t>
      </w:r>
      <w:r w:rsidRPr="00B82124">
        <w:rPr>
          <w:bCs/>
          <w:kern w:val="0"/>
          <w:sz w:val="24"/>
          <w:szCs w:val="24"/>
          <w:lang w:eastAsia="pl-PL"/>
        </w:rPr>
        <w:t xml:space="preserve">Przepis art. 5 § 1 </w:t>
      </w:r>
      <w:r w:rsidRPr="00B82124">
        <w:rPr>
          <w:bCs/>
          <w:kern w:val="0"/>
          <w:sz w:val="24"/>
          <w:szCs w:val="24"/>
          <w:lang w:eastAsia="pl-PL"/>
        </w:rPr>
        <w:t>k.p.o.w</w:t>
      </w:r>
      <w:r w:rsidRPr="00B82124">
        <w:rPr>
          <w:bCs/>
          <w:kern w:val="0"/>
          <w:sz w:val="24"/>
          <w:szCs w:val="24"/>
          <w:lang w:eastAsia="pl-PL"/>
        </w:rPr>
        <w:t>. (będący odpowiednikiem art. 17 k.p.k.) formułuje przesłanki postępowania w sprawach o wykroczenia. Przesłanki procesowe są sytuacjami, od których uzależnione jest wszczęcie lub dalsze prowadzenie postępowania. Stanowią one przeszkody procesowe uniemożliwiające prowadzenie postępowania. Pojawienie się przesłanki wymienionej w tym przepisie oznacza, że postępowanie nie może być wszczęte, a jeżeli pomimo istnienia tej przesłanki lub pojawienia się jej już po wszczęciu postępowania (np. obwiniony zmarł) postępowanie było kontynuowane, musi ono zostać umorzone.</w:t>
      </w:r>
    </w:p>
    <w:p w:rsidR="00B82124" w:rsidRPr="00B82124" w:rsidP="00B82124">
      <w:pPr>
        <w:spacing w:line="360" w:lineRule="auto"/>
        <w:jc w:val="both"/>
        <w:rPr>
          <w:kern w:val="0"/>
          <w:sz w:val="24"/>
          <w:szCs w:val="24"/>
          <w:lang w:eastAsia="pl-PL"/>
        </w:rPr>
      </w:pPr>
      <w:r w:rsidRPr="00B82124">
        <w:rPr>
          <w:kern w:val="0"/>
          <w:sz w:val="24"/>
          <w:szCs w:val="24"/>
          <w:lang w:eastAsia="pl-PL"/>
        </w:rPr>
        <w:tab/>
        <w:t xml:space="preserve">Mając na uwadze powyższe uprzejmie proszę o odniesienie się na piśmie w terminie 30 dni od otrzymania niniejszego wystąpienia pokontrolnego do opisanych w nim obszarów wymagających zmiany oraz przedstawienie informacji o działaniach podjętych w celu wyeliminowania podobnych uchybień w przyszłości. </w:t>
      </w:r>
    </w:p>
    <w:p w:rsidR="00B82124">
      <w:pPr>
        <w:spacing w:line="480" w:lineRule="auto"/>
        <w:ind w:left="709"/>
        <w:rPr>
          <w:color w:val="000000"/>
          <w:sz w:val="24"/>
          <w:szCs w:val="24"/>
        </w:rPr>
      </w:pPr>
    </w:p>
    <w:p w:rsidR="00366568">
      <w:pPr>
        <w:spacing w:line="480" w:lineRule="auto"/>
        <w:ind w:left="709"/>
      </w:pPr>
      <w:r>
        <w:rPr>
          <w:color w:val="000000"/>
          <w:sz w:val="24"/>
          <w:szCs w:val="24"/>
        </w:rPr>
        <w:t>łączę wyrazy szacunku i poważania</w:t>
      </w:r>
    </w:p>
    <w:p w:rsidR="00366568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66568">
      <w:pPr>
        <w:pStyle w:val="Header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>
      <w:pPr>
        <w:pStyle w:val="BodyText"/>
        <w:ind w:left="559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987" w:rsidP="00940987">
    <w:pPr>
      <w:pStyle w:val="Footer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940987" w:rsidP="00940987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940987" w:rsidP="00940987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P="00940987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2F01B5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A9200D0"/>
    <w:multiLevelType w:val="hybridMultilevel"/>
    <w:tmpl w:val="B50AC5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713378DE"/>
    <w:multiLevelType w:val="hybridMultilevel"/>
    <w:tmpl w:val="62EECB6A"/>
    <w:lvl w:ilvl="0">
      <w:start w:val="1"/>
      <w:numFmt w:val="decimal"/>
      <w:lvlText w:val="%1."/>
      <w:lvlJc w:val="left"/>
      <w:pPr>
        <w:ind w:left="2102" w:hanging="3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49" w:hanging="360"/>
      </w:pPr>
    </w:lvl>
    <w:lvl w:ilvl="2" w:tentative="1">
      <w:start w:val="1"/>
      <w:numFmt w:val="lowerRoman"/>
      <w:lvlText w:val="%3."/>
      <w:lvlJc w:val="right"/>
      <w:pPr>
        <w:ind w:left="3169" w:hanging="180"/>
      </w:pPr>
    </w:lvl>
    <w:lvl w:ilvl="3" w:tentative="1">
      <w:start w:val="1"/>
      <w:numFmt w:val="decimal"/>
      <w:lvlText w:val="%4."/>
      <w:lvlJc w:val="left"/>
      <w:pPr>
        <w:ind w:left="3889" w:hanging="360"/>
      </w:pPr>
    </w:lvl>
    <w:lvl w:ilvl="4" w:tentative="1">
      <w:start w:val="1"/>
      <w:numFmt w:val="lowerLetter"/>
      <w:lvlText w:val="%5."/>
      <w:lvlJc w:val="left"/>
      <w:pPr>
        <w:ind w:left="4609" w:hanging="360"/>
      </w:pPr>
    </w:lvl>
    <w:lvl w:ilvl="5" w:tentative="1">
      <w:start w:val="1"/>
      <w:numFmt w:val="lowerRoman"/>
      <w:lvlText w:val="%6."/>
      <w:lvlJc w:val="right"/>
      <w:pPr>
        <w:ind w:left="5329" w:hanging="180"/>
      </w:pPr>
    </w:lvl>
    <w:lvl w:ilvl="6" w:tentative="1">
      <w:start w:val="1"/>
      <w:numFmt w:val="decimal"/>
      <w:lvlText w:val="%7."/>
      <w:lvlJc w:val="left"/>
      <w:pPr>
        <w:ind w:left="6049" w:hanging="360"/>
      </w:pPr>
    </w:lvl>
    <w:lvl w:ilvl="7" w:tentative="1">
      <w:start w:val="1"/>
      <w:numFmt w:val="lowerLetter"/>
      <w:lvlText w:val="%8."/>
      <w:lvlJc w:val="left"/>
      <w:pPr>
        <w:ind w:left="6769" w:hanging="360"/>
      </w:pPr>
    </w:lvl>
    <w:lvl w:ilvl="8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4">
    <w:nsid w:val="76BA0129"/>
    <w:multiLevelType w:val="hybridMultilevel"/>
    <w:tmpl w:val="1C8ED35E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</cp:lastModifiedBy>
  <cp:revision>12</cp:revision>
  <cp:lastPrinted>1899-12-31T23:00:00Z</cp:lastPrinted>
  <dcterms:created xsi:type="dcterms:W3CDTF">2020-01-08T11:12:00Z</dcterms:created>
  <dcterms:modified xsi:type="dcterms:W3CDTF">2022-06-14T13:57:00Z</dcterms:modified>
</cp:coreProperties>
</file>