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D5464" w14:textId="42D479C1" w:rsidR="00003886" w:rsidRDefault="00626CF3" w:rsidP="00AB6F5B">
      <w:pPr>
        <w:ind w:left="426" w:hanging="426"/>
        <w:jc w:val="center"/>
        <w:rPr>
          <w:b/>
        </w:rPr>
      </w:pPr>
      <w:bookmarkStart w:id="0" w:name="_Hlk23154890"/>
      <w:bookmarkStart w:id="1" w:name="_GoBack"/>
      <w:bookmarkEnd w:id="1"/>
      <w:r w:rsidRPr="006D13AF">
        <w:rPr>
          <w:b/>
        </w:rPr>
        <w:t xml:space="preserve">Pytania </w:t>
      </w:r>
      <w:r w:rsidR="00003886">
        <w:rPr>
          <w:b/>
        </w:rPr>
        <w:t xml:space="preserve">i uwagi </w:t>
      </w:r>
      <w:r w:rsidRPr="006D13AF">
        <w:rPr>
          <w:b/>
        </w:rPr>
        <w:t xml:space="preserve">ws </w:t>
      </w:r>
      <w:r w:rsidR="00D21F69">
        <w:rPr>
          <w:b/>
        </w:rPr>
        <w:t xml:space="preserve">formularza </w:t>
      </w:r>
      <w:r w:rsidR="00955C8C">
        <w:rPr>
          <w:b/>
        </w:rPr>
        <w:t xml:space="preserve">interaktywnego </w:t>
      </w:r>
      <w:r w:rsidR="00D21F69">
        <w:rPr>
          <w:b/>
        </w:rPr>
        <w:t xml:space="preserve">i objaśnień </w:t>
      </w:r>
      <w:r w:rsidR="00955C8C">
        <w:rPr>
          <w:b/>
        </w:rPr>
        <w:t xml:space="preserve">do </w:t>
      </w:r>
      <w:r w:rsidRPr="006D13AF">
        <w:rPr>
          <w:b/>
        </w:rPr>
        <w:t>TPR</w:t>
      </w:r>
    </w:p>
    <w:p w14:paraId="6C4FC644" w14:textId="31498E83" w:rsidR="0004085B" w:rsidRPr="0004085B" w:rsidRDefault="0004085B" w:rsidP="0004085B">
      <w:pPr>
        <w:ind w:left="426" w:hanging="426"/>
        <w:jc w:val="both"/>
        <w:rPr>
          <w:bCs/>
        </w:rPr>
      </w:pPr>
      <w:r>
        <w:rPr>
          <w:bCs/>
        </w:rPr>
        <w:t xml:space="preserve"> </w:t>
      </w:r>
    </w:p>
    <w:bookmarkEnd w:id="0"/>
    <w:p w14:paraId="21757C6C" w14:textId="393EB0F4" w:rsidR="00AA2D1D" w:rsidRPr="005B0BCA" w:rsidRDefault="005B0BCA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>
        <w:rPr>
          <w:b/>
          <w:bCs/>
        </w:rPr>
        <w:t xml:space="preserve">[pkt. 3 Objaśnień] </w:t>
      </w:r>
      <w:r w:rsidR="005C7D3F" w:rsidRPr="005B0BCA">
        <w:t>Wskaźniki finansowe podmiotu</w:t>
      </w:r>
      <w:r w:rsidR="00A4315E">
        <w:t>, dla którego składany jest TPR</w:t>
      </w:r>
    </w:p>
    <w:p w14:paraId="2FBC80F7" w14:textId="5656DAF9" w:rsidR="00AA2D1D" w:rsidRDefault="005C7D3F" w:rsidP="00AB6F5B">
      <w:pPr>
        <w:pStyle w:val="Akapitzlist"/>
        <w:numPr>
          <w:ilvl w:val="0"/>
          <w:numId w:val="17"/>
        </w:numPr>
        <w:ind w:left="709" w:hanging="283"/>
        <w:contextualSpacing w:val="0"/>
        <w:jc w:val="both"/>
      </w:pPr>
      <w:r>
        <w:t xml:space="preserve">czy wskaźniki należy wskazać w oparciu o dane z zatwierdzonego </w:t>
      </w:r>
      <w:r w:rsidR="00AA2D1D">
        <w:t>spr. finansowe</w:t>
      </w:r>
      <w:r w:rsidR="00462671">
        <w:t>go</w:t>
      </w:r>
      <w:r>
        <w:t xml:space="preserve">? </w:t>
      </w:r>
    </w:p>
    <w:p w14:paraId="3DE00DA3" w14:textId="767E206D" w:rsidR="005C7D3F" w:rsidRDefault="00AA2D1D" w:rsidP="00AB6F5B">
      <w:pPr>
        <w:pStyle w:val="Akapitzlist"/>
        <w:numPr>
          <w:ilvl w:val="0"/>
          <w:numId w:val="17"/>
        </w:numPr>
        <w:ind w:left="709" w:hanging="283"/>
        <w:contextualSpacing w:val="0"/>
        <w:jc w:val="both"/>
      </w:pPr>
      <w:r>
        <w:t>Przypadek szczególny –</w:t>
      </w:r>
      <w:r w:rsidR="005C7D3F">
        <w:t xml:space="preserve"> w trakcie roku nastąpiło połączenie z inną spółką, a </w:t>
      </w:r>
      <w:r>
        <w:t>spr. finansowe</w:t>
      </w:r>
      <w:r w:rsidR="005C7D3F">
        <w:t xml:space="preserve"> nie zostało na moment połączenia zamknięte dla spółki przejmującej (ale </w:t>
      </w:r>
      <w:r>
        <w:t>spr. finansowe</w:t>
      </w:r>
      <w:r w:rsidR="005C7D3F">
        <w:t xml:space="preserve"> spółki przejmowanej zostało w trakcie roku zamknięte). Czy wskaźniki należy policzyć łącznie dla obydwu podmiotów za cały rok, dodając też wyniki spółki przejętej z jej </w:t>
      </w:r>
      <w:r>
        <w:t>spr. finansowego</w:t>
      </w:r>
      <w:r w:rsidR="005C7D3F">
        <w:t xml:space="preserve"> zamkniętego w trakcie roku? </w:t>
      </w:r>
      <w:r>
        <w:t>C</w:t>
      </w:r>
      <w:r w:rsidR="005C7D3F">
        <w:t xml:space="preserve">zy tylko to co wynika z </w:t>
      </w:r>
      <w:r>
        <w:t>spr. finansowego</w:t>
      </w:r>
      <w:r w:rsidR="005C7D3F">
        <w:t xml:space="preserve"> spółki przejmującej na koniec roku?</w:t>
      </w:r>
    </w:p>
    <w:p w14:paraId="5777F796" w14:textId="5E01B5D9" w:rsidR="005C7D3F" w:rsidRDefault="00462671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>[pkt. 4.1 Objaśnień]</w:t>
      </w:r>
      <w:r>
        <w:t xml:space="preserve"> Do</w:t>
      </w:r>
      <w:r w:rsidR="00AA2D1D">
        <w:t xml:space="preserve"> jakiej kategorii należy</w:t>
      </w:r>
      <w:r w:rsidR="005C7D3F">
        <w:t xml:space="preserve"> </w:t>
      </w:r>
      <w:r>
        <w:t>zakwalifikować</w:t>
      </w:r>
      <w:r w:rsidR="005C7D3F">
        <w:t xml:space="preserve"> transakcje takie jak zawieranie umów spółek osobowych lub wspólnych przedsięwzięć?</w:t>
      </w:r>
    </w:p>
    <w:p w14:paraId="57135B57" w14:textId="01C518AF" w:rsidR="003E40FA" w:rsidRDefault="003E40FA" w:rsidP="00AB6F5B">
      <w:pPr>
        <w:pStyle w:val="Akapitzlist"/>
        <w:numPr>
          <w:ilvl w:val="0"/>
          <w:numId w:val="1"/>
        </w:numPr>
        <w:ind w:left="425" w:hanging="425"/>
        <w:contextualSpacing w:val="0"/>
        <w:jc w:val="both"/>
      </w:pPr>
      <w:r w:rsidRPr="00462671">
        <w:rPr>
          <w:b/>
          <w:bCs/>
        </w:rPr>
        <w:t>[pkt. 4.1 Objaśnień]</w:t>
      </w:r>
      <w:r>
        <w:t xml:space="preserve"> Do jakiej kategorii przypisać </w:t>
      </w:r>
      <w:r w:rsidR="0075344C">
        <w:t xml:space="preserve">należy </w:t>
      </w:r>
      <w:r>
        <w:t xml:space="preserve">transakcję polegającą na świadczeniu dla jednostki powiązanej usług wsparcia w zakresie wiedzy specjalistów z rożnych obszarów, gdy </w:t>
      </w:r>
      <w:r w:rsidR="0075344C">
        <w:t xml:space="preserve">tylko </w:t>
      </w:r>
      <w:r>
        <w:t xml:space="preserve">niektóre z tych </w:t>
      </w:r>
      <w:r w:rsidR="0075344C">
        <w:t>usług</w:t>
      </w:r>
      <w:r>
        <w:t xml:space="preserve"> są </w:t>
      </w:r>
      <w:r w:rsidR="0075344C">
        <w:t>(zgodnie z treścią ustawy)</w:t>
      </w:r>
      <w:r>
        <w:t xml:space="preserve"> </w:t>
      </w:r>
      <w:r w:rsidR="0075344C">
        <w:t xml:space="preserve">uznane za usługi o </w:t>
      </w:r>
      <w:r>
        <w:t xml:space="preserve">niskiej wartości dodanej? Czy całość może być zakwalifikowana </w:t>
      </w:r>
      <w:r w:rsidR="0075344C">
        <w:t>do kategorii „</w:t>
      </w:r>
      <w:r>
        <w:t xml:space="preserve">1101 </w:t>
      </w:r>
      <w:r w:rsidR="0075344C">
        <w:t xml:space="preserve">- </w:t>
      </w:r>
      <w:r>
        <w:t>Sprzedaż usług o niskiej wartości dodanej</w:t>
      </w:r>
      <w:r w:rsidR="0075344C">
        <w:t>”</w:t>
      </w:r>
      <w:r>
        <w:t xml:space="preserve"> czy raczej </w:t>
      </w:r>
      <w:r w:rsidR="0075344C">
        <w:t>„</w:t>
      </w:r>
      <w:r>
        <w:t>1105</w:t>
      </w:r>
      <w:r w:rsidR="0075344C">
        <w:t xml:space="preserve"> </w:t>
      </w:r>
      <w:r>
        <w:t xml:space="preserve">- </w:t>
      </w:r>
      <w:r w:rsidR="0075344C">
        <w:t>S</w:t>
      </w:r>
      <w:r>
        <w:t>przedaż usług niematerialnych innych niż usługi o niskiej wartości dodanej</w:t>
      </w:r>
      <w:r w:rsidR="0075344C">
        <w:t>”?</w:t>
      </w:r>
      <w:r>
        <w:t xml:space="preserve"> </w:t>
      </w:r>
      <w:r w:rsidR="0075344C">
        <w:t>C</w:t>
      </w:r>
      <w:r>
        <w:t>zy</w:t>
      </w:r>
      <w:r w:rsidR="0075344C">
        <w:t xml:space="preserve"> może</w:t>
      </w:r>
      <w:r>
        <w:t xml:space="preserve"> trzeba sięgnąć do kalkulacji kwot z poszczególnych faktur i dokonać podziału tych kwot na dwie kategorie i każdą </w:t>
      </w:r>
      <w:r w:rsidR="0075344C">
        <w:t>wprowadzić do formularza</w:t>
      </w:r>
      <w:r>
        <w:t xml:space="preserve"> osobno?</w:t>
      </w:r>
    </w:p>
    <w:p w14:paraId="02AA2E70" w14:textId="4FED7CDF" w:rsidR="003E40FA" w:rsidRDefault="003E40FA" w:rsidP="00AB6F5B">
      <w:pPr>
        <w:pStyle w:val="Akapitzlist"/>
        <w:ind w:left="425"/>
        <w:contextualSpacing w:val="0"/>
        <w:jc w:val="both"/>
      </w:pPr>
      <w:r>
        <w:t>To samo pytanie odnosi się do transakcji zakupu usług mieszanych</w:t>
      </w:r>
      <w:r w:rsidR="0075344C">
        <w:t xml:space="preserve"> (n</w:t>
      </w:r>
      <w:r>
        <w:t xml:space="preserve">ależy zaznaczyć, że </w:t>
      </w:r>
      <w:r w:rsidR="0075344C">
        <w:t>podatnik</w:t>
      </w:r>
      <w:r>
        <w:t xml:space="preserve"> nie zamierza korzystać z safe harbour w tym zakresie)</w:t>
      </w:r>
      <w:r w:rsidR="0075344C">
        <w:t>.</w:t>
      </w:r>
    </w:p>
    <w:p w14:paraId="3E743039" w14:textId="79FD5147" w:rsidR="005C7D3F" w:rsidRDefault="00462671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.1 Objaśnień]</w:t>
      </w:r>
      <w:r>
        <w:rPr>
          <w:b/>
          <w:bCs/>
        </w:rPr>
        <w:t xml:space="preserve"> </w:t>
      </w:r>
      <w:r w:rsidR="005C7D3F">
        <w:t>Co</w:t>
      </w:r>
      <w:r>
        <w:t xml:space="preserve"> należy wpisać do formularza TPR</w:t>
      </w:r>
      <w:r w:rsidR="005C7D3F">
        <w:t xml:space="preserve"> jeśli w celu weryfikacji ceny transferowej stosowane są więcej niż jedna metoda?</w:t>
      </w:r>
    </w:p>
    <w:p w14:paraId="0A6AC4F7" w14:textId="3CC9E4C2" w:rsidR="005C7D3F" w:rsidRDefault="00D9340A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2</w:t>
      </w:r>
      <w:r w:rsidRPr="00462671">
        <w:rPr>
          <w:b/>
          <w:bCs/>
        </w:rPr>
        <w:t xml:space="preserve"> Objaśnień]</w:t>
      </w:r>
      <w:r>
        <w:rPr>
          <w:b/>
          <w:bCs/>
        </w:rPr>
        <w:t xml:space="preserve"> </w:t>
      </w:r>
      <w:r w:rsidR="005C7D3F">
        <w:t>Czy stosowaną cenę transferową można wskazać jako cenę budżetowaną, jeśli zgodnie z polityką cen transferowych ta cena jest weryfikowana benchmarkiem</w:t>
      </w:r>
      <w:r>
        <w:t>?</w:t>
      </w:r>
      <w:r w:rsidR="005C7D3F">
        <w:t xml:space="preserve"> </w:t>
      </w:r>
      <w:r>
        <w:t>C</w:t>
      </w:r>
      <w:r w:rsidR="005C7D3F">
        <w:t xml:space="preserve">zy </w:t>
      </w:r>
      <w:r>
        <w:t xml:space="preserve">może </w:t>
      </w:r>
      <w:r w:rsidR="005C7D3F">
        <w:t>należy wskazywać cenę rzeczywistą</w:t>
      </w:r>
      <w:r>
        <w:t>?</w:t>
      </w:r>
    </w:p>
    <w:p w14:paraId="2859AC50" w14:textId="16DDD487" w:rsidR="00AB13A1" w:rsidRDefault="00AB13A1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2</w:t>
      </w:r>
      <w:r w:rsidRPr="00462671">
        <w:rPr>
          <w:b/>
          <w:bCs/>
        </w:rPr>
        <w:t xml:space="preserve"> Objaśnień]</w:t>
      </w:r>
      <w:r>
        <w:t xml:space="preserve"> </w:t>
      </w:r>
      <w:r w:rsidRPr="00AB13A1">
        <w:t xml:space="preserve">Co </w:t>
      </w:r>
      <w:r>
        <w:t xml:space="preserve">należy zrobić w sytuacji, gdy </w:t>
      </w:r>
      <w:r w:rsidRPr="00AB13A1">
        <w:t xml:space="preserve">w transakcji </w:t>
      </w:r>
      <w:r>
        <w:t xml:space="preserve">kontrolowanej </w:t>
      </w:r>
      <w:r w:rsidRPr="00AB13A1">
        <w:t xml:space="preserve">cena wyrażona jest w więcej niż </w:t>
      </w:r>
      <w:r>
        <w:t>jednej</w:t>
      </w:r>
      <w:r w:rsidRPr="00AB13A1">
        <w:t xml:space="preserve"> formie: np. zarówno cen</w:t>
      </w:r>
      <w:r>
        <w:t>ą</w:t>
      </w:r>
      <w:r w:rsidRPr="00AB13A1">
        <w:t xml:space="preserve"> stał</w:t>
      </w:r>
      <w:r>
        <w:t>ą</w:t>
      </w:r>
      <w:r w:rsidRPr="00AB13A1">
        <w:t xml:space="preserve"> jak i prowizj</w:t>
      </w:r>
      <w:r>
        <w:t>ą lub</w:t>
      </w:r>
      <w:r w:rsidRPr="00AB13A1">
        <w:t xml:space="preserve"> marż</w:t>
      </w:r>
      <w:r>
        <w:t>ą (albo w inny sposób łączący kilka odmiennych wartości)?</w:t>
      </w:r>
    </w:p>
    <w:p w14:paraId="572F09E5" w14:textId="2EB84611" w:rsidR="00E64C30" w:rsidRDefault="00E64C30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2</w:t>
      </w:r>
      <w:r w:rsidRPr="00462671">
        <w:rPr>
          <w:b/>
          <w:bCs/>
        </w:rPr>
        <w:t xml:space="preserve"> Objaśnień]</w:t>
      </w:r>
      <w:r>
        <w:t xml:space="preserve"> </w:t>
      </w:r>
      <w:r w:rsidRPr="00E64C30">
        <w:t>Co</w:t>
      </w:r>
      <w:r>
        <w:t xml:space="preserve"> należy zrobić </w:t>
      </w:r>
      <w:r w:rsidRPr="00E64C30">
        <w:t xml:space="preserve">z refakturami? Jak </w:t>
      </w:r>
      <w:r>
        <w:t>prezentować</w:t>
      </w:r>
      <w:r w:rsidRPr="00E64C30">
        <w:t xml:space="preserve"> cenę porównawczą</w:t>
      </w:r>
      <w:r>
        <w:t xml:space="preserve"> dla tego typu transakcji?</w:t>
      </w:r>
    </w:p>
    <w:p w14:paraId="6E64C208" w14:textId="01A83BB7" w:rsidR="00473DFF" w:rsidRDefault="00473DFF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2</w:t>
      </w:r>
      <w:r w:rsidRPr="00462671">
        <w:rPr>
          <w:b/>
          <w:bCs/>
        </w:rPr>
        <w:t xml:space="preserve"> Objaśnień]</w:t>
      </w:r>
      <w:r>
        <w:t xml:space="preserve"> </w:t>
      </w:r>
      <w:r w:rsidRPr="00473DFF">
        <w:t>Jak pokazać transakcje ubezpieczeni</w:t>
      </w:r>
      <w:r>
        <w:t>owe (</w:t>
      </w:r>
      <w:r w:rsidRPr="00473DFF">
        <w:t>np. polisy</w:t>
      </w:r>
      <w:r>
        <w:t xml:space="preserve"> lub reasekurację)</w:t>
      </w:r>
      <w:r w:rsidRPr="00473DFF">
        <w:t>, które mają wiele</w:t>
      </w:r>
      <w:r>
        <w:t xml:space="preserve"> różnych</w:t>
      </w:r>
      <w:r w:rsidRPr="00473DFF">
        <w:t xml:space="preserve"> elementów ceno</w:t>
      </w:r>
      <w:r>
        <w:t>twórczych?</w:t>
      </w:r>
    </w:p>
    <w:p w14:paraId="3D12EB6E" w14:textId="19D88520" w:rsidR="005C7D3F" w:rsidRDefault="00D9340A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3</w:t>
      </w:r>
      <w:r w:rsidRPr="00462671">
        <w:rPr>
          <w:b/>
          <w:bCs/>
        </w:rPr>
        <w:t xml:space="preserve"> Objaśnień]</w:t>
      </w:r>
      <w:r>
        <w:rPr>
          <w:b/>
          <w:bCs/>
        </w:rPr>
        <w:t xml:space="preserve"> </w:t>
      </w:r>
      <w:r>
        <w:t xml:space="preserve">Przypadek szczególny – </w:t>
      </w:r>
      <w:r w:rsidR="005C7D3F">
        <w:t>w trakcie roku został zrobiony benchmark i powoduje on korektę stosowanych cen (i wyjście poza przedział z poprzedniego benchmarku). Jaki przedział należy pokazać w TPR? Nowy czy stary czy obydwa?</w:t>
      </w:r>
    </w:p>
    <w:p w14:paraId="01B793D4" w14:textId="03DC94F0" w:rsidR="003E40FA" w:rsidRDefault="00D9340A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3E40FA">
        <w:rPr>
          <w:b/>
          <w:bCs/>
        </w:rPr>
        <w:lastRenderedPageBreak/>
        <w:t xml:space="preserve">[pkt. 5.3 Objaśnień] </w:t>
      </w:r>
      <w:r w:rsidR="003E40FA" w:rsidRPr="003E40FA">
        <w:t xml:space="preserve">Jaką metodę i sposób weryfikacji </w:t>
      </w:r>
      <w:r w:rsidR="003E40FA">
        <w:t xml:space="preserve">(z listy dostępnych) </w:t>
      </w:r>
      <w:r w:rsidR="003E40FA" w:rsidRPr="003E40FA">
        <w:t xml:space="preserve">należy </w:t>
      </w:r>
      <w:r w:rsidR="003E40FA">
        <w:t>wybrać</w:t>
      </w:r>
      <w:r w:rsidR="003E40FA" w:rsidRPr="003E40FA">
        <w:t xml:space="preserve"> dla </w:t>
      </w:r>
      <w:r w:rsidR="003E40FA">
        <w:t>transakcji dla</w:t>
      </w:r>
      <w:r w:rsidR="003E40FA" w:rsidRPr="003E40FA">
        <w:t xml:space="preserve"> któr</w:t>
      </w:r>
      <w:r w:rsidR="003E40FA">
        <w:t>ej</w:t>
      </w:r>
      <w:r w:rsidR="003E40FA" w:rsidRPr="003E40FA">
        <w:t xml:space="preserve"> nie </w:t>
      </w:r>
      <w:r w:rsidR="003E40FA">
        <w:t xml:space="preserve">było możliwe </w:t>
      </w:r>
      <w:r w:rsidR="003E40FA" w:rsidRPr="003E40FA">
        <w:t>sporządz</w:t>
      </w:r>
      <w:r w:rsidR="003E40FA">
        <w:t>enie</w:t>
      </w:r>
      <w:r w:rsidR="003E40FA" w:rsidRPr="003E40FA">
        <w:t xml:space="preserve"> analizy porównawczej i </w:t>
      </w:r>
      <w:r w:rsidR="003E40FA">
        <w:t>podatnik przygotował opis /</w:t>
      </w:r>
      <w:r w:rsidR="003E40FA" w:rsidRPr="003E40FA">
        <w:t xml:space="preserve"> analiz</w:t>
      </w:r>
      <w:r w:rsidR="003E40FA">
        <w:t>ę</w:t>
      </w:r>
      <w:r w:rsidR="003E40FA" w:rsidRPr="003E40FA">
        <w:t xml:space="preserve"> zgodności warunków transakcji</w:t>
      </w:r>
      <w:r w:rsidR="003E40FA">
        <w:t>?</w:t>
      </w:r>
    </w:p>
    <w:p w14:paraId="11B3982A" w14:textId="54006D46" w:rsidR="005C7D3F" w:rsidRDefault="00CF7DA8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3E40FA">
        <w:rPr>
          <w:b/>
          <w:bCs/>
        </w:rPr>
        <w:t xml:space="preserve">[pkt. 5.3 Objaśnień] </w:t>
      </w:r>
      <w:r w:rsidR="005C7D3F" w:rsidRPr="003E40FA">
        <w:t>Co</w:t>
      </w:r>
      <w:r w:rsidR="005C7D3F">
        <w:t xml:space="preserve"> </w:t>
      </w:r>
      <w:r>
        <w:t xml:space="preserve">w przypadku, gdy jako metodę weryfikacji ceny wybrana została metoda </w:t>
      </w:r>
      <w:r w:rsidR="005C7D3F">
        <w:t xml:space="preserve">PCN </w:t>
      </w:r>
      <w:r>
        <w:t xml:space="preserve">w porównaniu </w:t>
      </w:r>
      <w:r w:rsidR="005C7D3F">
        <w:t>wewnętrzny</w:t>
      </w:r>
      <w:r>
        <w:t>m</w:t>
      </w:r>
      <w:r w:rsidR="005C7D3F">
        <w:t xml:space="preserve"> </w:t>
      </w:r>
      <w:r>
        <w:t>(</w:t>
      </w:r>
      <w:r w:rsidR="005C7D3F">
        <w:t>na cenach jednostkowych i indeksów porównywanych jest kilkaset</w:t>
      </w:r>
      <w:r>
        <w:t xml:space="preserve">) </w:t>
      </w:r>
      <w:r>
        <w:sym w:font="Wingdings" w:char="F0E0"/>
      </w:r>
      <w:r w:rsidR="005C7D3F">
        <w:t xml:space="preserve"> </w:t>
      </w:r>
      <w:r>
        <w:t>Czy należy poda</w:t>
      </w:r>
      <w:r w:rsidR="005C7D3F">
        <w:t>ć</w:t>
      </w:r>
      <w:r>
        <w:t xml:space="preserve"> wszystkie otrzymane wartości (kilkaset) dla obserwacji porównywalnych</w:t>
      </w:r>
      <w:r w:rsidR="005C7D3F">
        <w:t xml:space="preserve"> czy pokazać bardzo szeroki przedział?</w:t>
      </w:r>
    </w:p>
    <w:p w14:paraId="4D685CD9" w14:textId="77777777" w:rsidR="00EE71B2" w:rsidRDefault="00814DF2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6</w:t>
      </w:r>
      <w:r w:rsidRPr="00462671">
        <w:rPr>
          <w:b/>
          <w:bCs/>
        </w:rPr>
        <w:t>.</w:t>
      </w:r>
      <w:r>
        <w:rPr>
          <w:b/>
          <w:bCs/>
        </w:rPr>
        <w:t>2.1</w:t>
      </w:r>
      <w:r w:rsidRPr="00462671">
        <w:rPr>
          <w:b/>
          <w:bCs/>
        </w:rPr>
        <w:t xml:space="preserve"> </w:t>
      </w:r>
      <w:r>
        <w:rPr>
          <w:b/>
          <w:bCs/>
        </w:rPr>
        <w:t xml:space="preserve">oraz 6.2.2 </w:t>
      </w:r>
      <w:r w:rsidRPr="00462671">
        <w:rPr>
          <w:b/>
          <w:bCs/>
        </w:rPr>
        <w:t>Objaśnień]</w:t>
      </w:r>
      <w:r>
        <w:t xml:space="preserve"> W objaśnieniach </w:t>
      </w:r>
      <w:r w:rsidR="00164A69">
        <w:t>w pkt. 6.2.1. (</w:t>
      </w:r>
      <w:r w:rsidR="00164A69" w:rsidRPr="00164A69">
        <w:t>„Źródło danych do</w:t>
      </w:r>
      <w:r w:rsidR="00BD4749">
        <w:t xml:space="preserve"> </w:t>
      </w:r>
      <w:r w:rsidR="00164A69" w:rsidRPr="00164A69">
        <w:t>analizy cen transferowych” dla transakcji finansowych</w:t>
      </w:r>
      <w:r w:rsidR="00164A69">
        <w:t xml:space="preserve">) jest napisane, że dla tej pozycji </w:t>
      </w:r>
      <w:r w:rsidR="00164A69" w:rsidRPr="00164A69">
        <w:t xml:space="preserve">można zastosować </w:t>
      </w:r>
      <w:r w:rsidR="00164A69">
        <w:t>„</w:t>
      </w:r>
      <w:r w:rsidR="00164A69" w:rsidRPr="00164A69">
        <w:t>wybór wielokrotny</w:t>
      </w:r>
      <w:r w:rsidR="00164A69">
        <w:t>”. Tymczasem w pkt. 6.2.2. (</w:t>
      </w:r>
      <w:r w:rsidR="00164A69" w:rsidRPr="00164A69">
        <w:t xml:space="preserve">„Źródło danych” dla transakcji </w:t>
      </w:r>
      <w:r w:rsidR="00164A69">
        <w:t xml:space="preserve">udostępniania / korzystania z WNiP) nie jest napisane, że </w:t>
      </w:r>
      <w:r w:rsidR="00164A69" w:rsidRPr="00164A69">
        <w:t xml:space="preserve">można zastosować </w:t>
      </w:r>
      <w:r w:rsidR="00164A69">
        <w:t>„</w:t>
      </w:r>
      <w:r w:rsidR="00164A69" w:rsidRPr="00164A69">
        <w:t>wybór wielokrotny</w:t>
      </w:r>
      <w:r w:rsidR="00164A69">
        <w:t xml:space="preserve">” (tak jakby można było zastosować wyłącznie „wybór jednokrotny”). Czemu nie jest zachowana spójność pomiędzy tymi samymi pozycjami dla różnych rodzajów transakcji? </w:t>
      </w:r>
    </w:p>
    <w:p w14:paraId="7F200FD1" w14:textId="30A994E1" w:rsidR="00164A69" w:rsidRDefault="00EE71B2" w:rsidP="00AB6F5B">
      <w:pPr>
        <w:pStyle w:val="Akapitzlist"/>
        <w:ind w:left="426"/>
        <w:contextualSpacing w:val="0"/>
        <w:jc w:val="both"/>
      </w:pPr>
      <w:r>
        <w:t>Jednocześnie</w:t>
      </w:r>
      <w:r w:rsidR="00164A69">
        <w:t xml:space="preserve"> w formularzu testowym w obu przypadkach jest możliwość dokonania wyłącznie wyboru jednokrotnego (wybrania jednego źródła danych) </w:t>
      </w:r>
      <w:r w:rsidR="00164A69">
        <w:sym w:font="Wingdings" w:char="F0E0"/>
      </w:r>
      <w:r w:rsidR="00164A69">
        <w:t xml:space="preserve"> Skąd niespójność formularza z objaśnieniami?</w:t>
      </w:r>
    </w:p>
    <w:p w14:paraId="5A50EC8E" w14:textId="6F994E5A" w:rsidR="00164A69" w:rsidRDefault="008B3B3B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 xml:space="preserve">6.2.2 </w:t>
      </w:r>
      <w:r w:rsidRPr="00462671">
        <w:rPr>
          <w:b/>
          <w:bCs/>
        </w:rPr>
        <w:t>Objaśnień]</w:t>
      </w:r>
      <w:r>
        <w:rPr>
          <w:b/>
          <w:bCs/>
        </w:rPr>
        <w:t xml:space="preserve"> </w:t>
      </w:r>
      <w:r w:rsidRPr="008B3B3B">
        <w:t xml:space="preserve">Dlaczego </w:t>
      </w:r>
      <w:r>
        <w:t xml:space="preserve">(według Objaśnień) </w:t>
      </w:r>
      <w:r w:rsidRPr="008B3B3B">
        <w:t xml:space="preserve">tylko dla transakcji </w:t>
      </w:r>
      <w:r>
        <w:t>dotyczących WNiP</w:t>
      </w:r>
      <w:r w:rsidRPr="008B3B3B">
        <w:t xml:space="preserve"> można wybrać wiele </w:t>
      </w:r>
      <w:r>
        <w:t>„sposobów kalkulacji opłaty”</w:t>
      </w:r>
      <w:r w:rsidRPr="008B3B3B">
        <w:t xml:space="preserve">? Dlaczego </w:t>
      </w:r>
      <w:r>
        <w:t xml:space="preserve">taka możliwość nie jest dostępna dla </w:t>
      </w:r>
      <w:r w:rsidRPr="008B3B3B">
        <w:t xml:space="preserve">wszystkich </w:t>
      </w:r>
      <w:r>
        <w:t xml:space="preserve">rodzajów </w:t>
      </w:r>
      <w:r w:rsidRPr="008B3B3B">
        <w:t>transakcji</w:t>
      </w:r>
      <w:r>
        <w:t>?</w:t>
      </w:r>
      <w:r w:rsidRPr="008B3B3B">
        <w:t xml:space="preserve"> zwłaszcza jeśli w transakcji jest więcej niż jeden element ceno</w:t>
      </w:r>
      <w:r>
        <w:t>twórczy</w:t>
      </w:r>
    </w:p>
    <w:p w14:paraId="675FCDCD" w14:textId="23C9442E" w:rsidR="00EE71B2" w:rsidRDefault="00EE71B2" w:rsidP="00AB6F5B">
      <w:pPr>
        <w:pStyle w:val="Akapitzlist"/>
        <w:ind w:left="426"/>
        <w:contextualSpacing w:val="0"/>
        <w:jc w:val="both"/>
      </w:pPr>
      <w:r>
        <w:t xml:space="preserve">Jednocześnie w formularzu testowym jest możliwość dokonania wyłącznie wyboru jednokrotnego (wybrania jednego „sposobu kalkulacji opłaty”) </w:t>
      </w:r>
      <w:r>
        <w:sym w:font="Wingdings" w:char="F0E0"/>
      </w:r>
      <w:r>
        <w:t xml:space="preserve"> Skąd niespójność formularza z objaśnieniami?</w:t>
      </w:r>
    </w:p>
    <w:p w14:paraId="7E404449" w14:textId="7018616C" w:rsidR="00EE71B2" w:rsidRDefault="00303B99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 xml:space="preserve">6.2.2 </w:t>
      </w:r>
      <w:r w:rsidRPr="00462671">
        <w:rPr>
          <w:b/>
          <w:bCs/>
        </w:rPr>
        <w:t>Objaśnień]</w:t>
      </w:r>
      <w:r>
        <w:t xml:space="preserve"> Jak formularz TPR mają wypełniać spółki tworzące PGK (lub sama PGK)?</w:t>
      </w:r>
    </w:p>
    <w:p w14:paraId="530E439B" w14:textId="799B74EB" w:rsidR="00303B99" w:rsidRDefault="00303B99" w:rsidP="00AB6F5B">
      <w:pPr>
        <w:pStyle w:val="Akapitzlist"/>
        <w:ind w:left="426"/>
        <w:contextualSpacing w:val="0"/>
        <w:jc w:val="both"/>
      </w:pPr>
      <w:r>
        <w:t>W formularzu m</w:t>
      </w:r>
      <w:r w:rsidRPr="00303B99">
        <w:t xml:space="preserve">owa jest o </w:t>
      </w:r>
      <w:r>
        <w:t>„</w:t>
      </w:r>
      <w:r w:rsidRPr="00303B99">
        <w:t>podmiocie składającym informację</w:t>
      </w:r>
      <w:r>
        <w:t>”</w:t>
      </w:r>
      <w:r w:rsidRPr="00303B99">
        <w:t xml:space="preserve"> i </w:t>
      </w:r>
      <w:r>
        <w:t>„</w:t>
      </w:r>
      <w:r w:rsidRPr="00303B99">
        <w:t>podmiocie, dla którego jest składana informacja</w:t>
      </w:r>
      <w:r>
        <w:t>”</w:t>
      </w:r>
      <w:r w:rsidRPr="00303B99">
        <w:t xml:space="preserve">. </w:t>
      </w:r>
      <w:r>
        <w:t>Czy należy rozumieć</w:t>
      </w:r>
      <w:r w:rsidRPr="00303B99">
        <w:t>, że podmiotami, dla których składana jest informacja są spółki wchodzące w skład PGK</w:t>
      </w:r>
      <w:r>
        <w:t>?</w:t>
      </w:r>
      <w:r w:rsidRPr="00303B99">
        <w:t xml:space="preserve"> </w:t>
      </w:r>
      <w:r>
        <w:t>K</w:t>
      </w:r>
      <w:r w:rsidRPr="00303B99">
        <w:t xml:space="preserve">ogo </w:t>
      </w:r>
      <w:r>
        <w:t>podać</w:t>
      </w:r>
      <w:r w:rsidRPr="00303B99">
        <w:t xml:space="preserve"> jako podmiot składający</w:t>
      </w:r>
      <w:r>
        <w:t xml:space="preserve"> –</w:t>
      </w:r>
      <w:r w:rsidRPr="00303B99">
        <w:t xml:space="preserve"> </w:t>
      </w:r>
      <w:r>
        <w:t>PGK czy spółki do niej należące (</w:t>
      </w:r>
      <w:r w:rsidRPr="00303B99">
        <w:t>skoro trzeba podać PKD tego podmiotu</w:t>
      </w:r>
      <w:r>
        <w:t>)?</w:t>
      </w:r>
      <w:r w:rsidRPr="00303B99">
        <w:t xml:space="preserve"> Czy to </w:t>
      </w:r>
      <w:r>
        <w:t>o</w:t>
      </w:r>
      <w:r w:rsidRPr="00303B99">
        <w:t>znacz</w:t>
      </w:r>
      <w:r>
        <w:t xml:space="preserve">a, </w:t>
      </w:r>
      <w:r w:rsidRPr="00303B99">
        <w:t xml:space="preserve">że każda spółka z PGK składa TPR za siebie i nie podaje nigdzie że wchodzi w skład PGK (i nie podaje </w:t>
      </w:r>
      <w:r>
        <w:t xml:space="preserve">nr </w:t>
      </w:r>
      <w:r w:rsidRPr="00303B99">
        <w:t>NIP</w:t>
      </w:r>
      <w:r>
        <w:t xml:space="preserve"> PGK</w:t>
      </w:r>
      <w:r w:rsidRPr="00303B99">
        <w:t>)?</w:t>
      </w:r>
    </w:p>
    <w:p w14:paraId="37BE4935" w14:textId="42E431E6" w:rsidR="00626CF3" w:rsidRDefault="00A4315E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5</w:t>
      </w:r>
      <w:r w:rsidRPr="00462671">
        <w:rPr>
          <w:b/>
          <w:bCs/>
        </w:rPr>
        <w:t>.</w:t>
      </w:r>
      <w:r>
        <w:rPr>
          <w:b/>
          <w:bCs/>
        </w:rPr>
        <w:t>2.1</w:t>
      </w:r>
      <w:r w:rsidRPr="00462671">
        <w:rPr>
          <w:b/>
          <w:bCs/>
        </w:rPr>
        <w:t xml:space="preserve"> </w:t>
      </w:r>
      <w:r>
        <w:rPr>
          <w:b/>
          <w:bCs/>
        </w:rPr>
        <w:t xml:space="preserve">oraz 5.3.1 </w:t>
      </w:r>
      <w:r w:rsidRPr="00462671">
        <w:rPr>
          <w:b/>
          <w:bCs/>
        </w:rPr>
        <w:t>Objaśnień]</w:t>
      </w:r>
      <w:r>
        <w:t xml:space="preserve"> </w:t>
      </w:r>
      <w:r w:rsidRPr="00A4315E">
        <w:t>Metoda porównywalnej ceny niekontrolowanej</w:t>
      </w:r>
    </w:p>
    <w:p w14:paraId="61A36F33" w14:textId="695D36CF" w:rsidR="00890B84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W formularzu mowa jest o </w:t>
      </w:r>
      <w:r w:rsidR="00890B84">
        <w:t>„</w:t>
      </w:r>
      <w:r>
        <w:t>minimalnej i maksymalnej cenie jednostkowej</w:t>
      </w:r>
      <w:r w:rsidR="00890B84">
        <w:t>”</w:t>
      </w:r>
      <w:r>
        <w:t xml:space="preserve"> a nie o </w:t>
      </w:r>
      <w:r w:rsidR="00890B84">
        <w:t xml:space="preserve">„cenie </w:t>
      </w:r>
      <w:r>
        <w:t>średniej</w:t>
      </w:r>
      <w:r w:rsidR="00890B84">
        <w:t xml:space="preserve">” </w:t>
      </w:r>
      <w:r>
        <w:t xml:space="preserve">w roku dla transakcji </w:t>
      </w:r>
      <w:r w:rsidR="00890B84">
        <w:t>kontrolowanej</w:t>
      </w:r>
      <w:r>
        <w:t xml:space="preserve">. </w:t>
      </w:r>
      <w:r w:rsidR="00890B84">
        <w:t>Czy należy rozumieć, że w</w:t>
      </w:r>
      <w:r>
        <w:t xml:space="preserve"> przypadku jednego produktu</w:t>
      </w:r>
      <w:r w:rsidR="00890B84">
        <w:t xml:space="preserve"> „</w:t>
      </w:r>
      <w:r>
        <w:t xml:space="preserve">cenę min. </w:t>
      </w:r>
      <w:r w:rsidR="00890B84">
        <w:t>/</w:t>
      </w:r>
      <w:r>
        <w:t xml:space="preserve"> max</w:t>
      </w:r>
      <w:r w:rsidR="00890B84">
        <w:t>”</w:t>
      </w:r>
      <w:r>
        <w:t xml:space="preserve"> należy wybrać wśród cen jednostkowych pojedynczych transakcji</w:t>
      </w:r>
      <w:r w:rsidR="00890B84">
        <w:t xml:space="preserve">? </w:t>
      </w:r>
    </w:p>
    <w:p w14:paraId="63481CAC" w14:textId="77777777" w:rsidR="005614D2" w:rsidRDefault="00890B84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Jakie ceny należy podać w przypadku sprzedaży zróżnicowanego asortymentu produktów? </w:t>
      </w:r>
      <w:r w:rsidR="00A4315E">
        <w:t xml:space="preserve">W rozporządzeniu jest mowa o tym, że wówczas mają to być </w:t>
      </w:r>
      <w:r>
        <w:t>„</w:t>
      </w:r>
      <w:r w:rsidR="00A4315E">
        <w:t>min. i max. ceny</w:t>
      </w:r>
      <w:r w:rsidR="005614D2">
        <w:t xml:space="preserve"> </w:t>
      </w:r>
      <w:r w:rsidR="00A4315E">
        <w:t>całego asortymentu</w:t>
      </w:r>
      <w:r w:rsidR="005614D2">
        <w:t>”</w:t>
      </w:r>
      <w:r w:rsidR="00A4315E">
        <w:t xml:space="preserve">. </w:t>
      </w:r>
      <w:r w:rsidR="005614D2">
        <w:t>Czy należy rozumieć</w:t>
      </w:r>
      <w:r w:rsidR="00A4315E">
        <w:t xml:space="preserve">, że mowa o jakichś średnich ważonych cenach skalkulowanych na podstawie cen poszczególnych produktów i ich ilości </w:t>
      </w:r>
      <w:r w:rsidR="005614D2">
        <w:lastRenderedPageBreak/>
        <w:t>(</w:t>
      </w:r>
      <w:r w:rsidR="00A4315E">
        <w:t>użytych jako wag</w:t>
      </w:r>
      <w:r w:rsidR="005614D2">
        <w:t>)? S</w:t>
      </w:r>
      <w:r w:rsidR="00A4315E">
        <w:t xml:space="preserve">koro tych średnich nie da się policzyć dla pojedynczych transakcji (ponieważ sprzedaż poszczególnych produktów może być bardzo zróżnicowana w ciągu roku i różnie pogrupowana w ramach pojedynczych transakcji), to jak wyliczyć takie średnie ceny, żeby wybrać z nich cenę minimalną i maksymalną? Czy </w:t>
      </w:r>
      <w:r w:rsidR="005614D2">
        <w:t>może podatnik</w:t>
      </w:r>
      <w:r w:rsidR="00A4315E">
        <w:t xml:space="preserve"> powin</w:t>
      </w:r>
      <w:r w:rsidR="005614D2">
        <w:t>ien</w:t>
      </w:r>
      <w:r w:rsidR="00A4315E">
        <w:t xml:space="preserve"> skalkulować  średnie ceny dla poszczególnych miesięcy i wybrać z nich </w:t>
      </w:r>
      <w:r w:rsidR="005614D2">
        <w:t xml:space="preserve">wartość </w:t>
      </w:r>
      <w:r w:rsidR="00A4315E">
        <w:t>minimalną i maksymalną?</w:t>
      </w:r>
    </w:p>
    <w:p w14:paraId="7A264C0C" w14:textId="552BDE94" w:rsidR="005614D2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>Czy w przypadku porównywalnych cen chodzi o ceny jednostkowe dla poszcz</w:t>
      </w:r>
      <w:r w:rsidR="005614D2">
        <w:t>ególnych</w:t>
      </w:r>
      <w:r>
        <w:t xml:space="preserve"> transakcji czy raczej o to, by wybrać najniższą i najwyższą cenę spośród średnich cen z roku skalkulowanych dla poszczególnych </w:t>
      </w:r>
      <w:r w:rsidR="005614D2">
        <w:t xml:space="preserve">transakcji z </w:t>
      </w:r>
      <w:r>
        <w:t>podmiot</w:t>
      </w:r>
      <w:r w:rsidR="005614D2">
        <w:t>ami</w:t>
      </w:r>
      <w:r>
        <w:t xml:space="preserve"> niepowiązany</w:t>
      </w:r>
      <w:r w:rsidR="005614D2">
        <w:t>mi</w:t>
      </w:r>
      <w:r>
        <w:t>?</w:t>
      </w:r>
    </w:p>
    <w:p w14:paraId="4BE09A7C" w14:textId="0F06B999" w:rsidR="005614D2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Jeżeli w ramach jednej transakcji z </w:t>
      </w:r>
      <w:r w:rsidR="005614D2">
        <w:t>jednym</w:t>
      </w:r>
      <w:r>
        <w:t xml:space="preserve"> podmiotem </w:t>
      </w:r>
      <w:r w:rsidR="005614D2">
        <w:t xml:space="preserve">powiązanym dokonywany jest </w:t>
      </w:r>
      <w:r>
        <w:t xml:space="preserve">zakup (lub sprzedaż) </w:t>
      </w:r>
      <w:r w:rsidR="005614D2">
        <w:t xml:space="preserve">dwóch </w:t>
      </w:r>
      <w:r>
        <w:t>grup produktów traktowanych jako transakcj</w:t>
      </w:r>
      <w:r w:rsidR="005614D2">
        <w:t>a</w:t>
      </w:r>
      <w:r>
        <w:t xml:space="preserve"> jednorodną, dla których jednak przeprowadzono osobną analizę porównawczą (ze względu na istotne różnice w cenie produktów), to czy w TPR powinniśmy zaraportować je jako </w:t>
      </w:r>
      <w:r w:rsidR="005614D2">
        <w:t>jedną</w:t>
      </w:r>
      <w:r>
        <w:t xml:space="preserve"> transakcję czy </w:t>
      </w:r>
      <w:r w:rsidR="005614D2">
        <w:t>dwie</w:t>
      </w:r>
      <w:r>
        <w:t xml:space="preserve"> osobne transakcje?</w:t>
      </w:r>
    </w:p>
    <w:p w14:paraId="67A90125" w14:textId="77777777" w:rsidR="005614D2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Czy w przypadku zakupu materiałów </w:t>
      </w:r>
      <w:r w:rsidR="005614D2">
        <w:t>„</w:t>
      </w:r>
      <w:r>
        <w:t>ceny minimalne i maksymalne</w:t>
      </w:r>
      <w:r w:rsidR="005614D2">
        <w:t>”</w:t>
      </w:r>
      <w:r>
        <w:t xml:space="preserve"> powinny być wybrane spośród cen materiałów przyjętych w danym roku do magazynu czy cen z faktur otrzymanych w danym roku?</w:t>
      </w:r>
    </w:p>
    <w:p w14:paraId="245926C5" w14:textId="77777777" w:rsidR="005D4AF5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Jak skalkulować ceny minimalne i maksymalne ma </w:t>
      </w:r>
      <w:r w:rsidR="005D4AF5">
        <w:t>podatnik</w:t>
      </w:r>
      <w:r>
        <w:t>, któr</w:t>
      </w:r>
      <w:r w:rsidR="005D4AF5">
        <w:t>y</w:t>
      </w:r>
      <w:r>
        <w:t xml:space="preserve"> do tej samej sprzedaży udziela rabatów miesięcznych, kwartalnych i rocznych </w:t>
      </w:r>
      <w:r w:rsidR="005D4AF5">
        <w:t>(</w:t>
      </w:r>
      <w:r>
        <w:t>każdy dokumentując osobną fakturą korygującą</w:t>
      </w:r>
      <w:r w:rsidR="005D4AF5">
        <w:t>, a</w:t>
      </w:r>
      <w:r>
        <w:t xml:space="preserve"> </w:t>
      </w:r>
      <w:r w:rsidR="005D4AF5">
        <w:t>fa</w:t>
      </w:r>
      <w:r>
        <w:t>ktury rabatowe wystawiane są czasami wiele miesięcy po dokonaniu sprzedaży</w:t>
      </w:r>
      <w:r w:rsidR="005D4AF5">
        <w:t xml:space="preserve">, w tym </w:t>
      </w:r>
      <w:r>
        <w:t>częściowo w roku następującym po roku sprzedaży)?</w:t>
      </w:r>
      <w:r w:rsidR="005D4AF5">
        <w:t xml:space="preserve"> P</w:t>
      </w:r>
      <w:r>
        <w:t>ytanie</w:t>
      </w:r>
      <w:r w:rsidR="005D4AF5">
        <w:t xml:space="preserve"> to</w:t>
      </w:r>
      <w:r>
        <w:t xml:space="preserve"> dotyczy zarówno cen dla podmiotów powiązanych jak i cen wszystkich porównywalnych podmiotów niepowiązanych.</w:t>
      </w:r>
    </w:p>
    <w:p w14:paraId="26949347" w14:textId="77777777" w:rsidR="000C220C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Spółka dokonując analizy porównawczej cen przedmiotu transakcji </w:t>
      </w:r>
      <w:r w:rsidR="005D4AF5">
        <w:t>uwzględnia</w:t>
      </w:r>
      <w:r>
        <w:t xml:space="preserve"> </w:t>
      </w:r>
      <w:r w:rsidR="000C220C">
        <w:t xml:space="preserve">w swojej kalkulacji </w:t>
      </w:r>
      <w:r>
        <w:t xml:space="preserve">koszty transportu aby zapewnić większą porównywalność cen </w:t>
      </w:r>
      <w:r w:rsidR="005D4AF5">
        <w:t xml:space="preserve">do </w:t>
      </w:r>
      <w:r>
        <w:t xml:space="preserve">podmiotów powiązanych i niepowiązanych. Czy dobrze rozumiemy, że wówczas minimalne i maksymalne ceny raportowane w TPR również powinny </w:t>
      </w:r>
      <w:r w:rsidR="000C220C">
        <w:t xml:space="preserve">uwzględnia </w:t>
      </w:r>
      <w:r>
        <w:t>koszty transportu?</w:t>
      </w:r>
    </w:p>
    <w:p w14:paraId="538D9347" w14:textId="77777777" w:rsidR="000C220C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>Czego dotyczy pole „korekty porównywalności wyników”? Wydawało się, że dotyczy ono właśnie takich sytuacji jak te korekty dot</w:t>
      </w:r>
      <w:r w:rsidR="000C220C">
        <w:t>yczące</w:t>
      </w:r>
      <w:r>
        <w:t xml:space="preserve"> k</w:t>
      </w:r>
      <w:r w:rsidR="000C220C">
        <w:t>osztów</w:t>
      </w:r>
      <w:r>
        <w:t xml:space="preserve"> transportu</w:t>
      </w:r>
      <w:r w:rsidR="000C220C">
        <w:t xml:space="preserve"> (patrz wyże). Niestety </w:t>
      </w:r>
      <w:r>
        <w:t>jest ono w formularzu dostępne tylko dla metod innych niż PCN</w:t>
      </w:r>
      <w:r w:rsidR="000C220C">
        <w:t>. D</w:t>
      </w:r>
      <w:r>
        <w:t xml:space="preserve">laczego?  (analogicznie </w:t>
      </w:r>
      <w:r w:rsidR="000C220C">
        <w:t xml:space="preserve">sytuacja występuje dla </w:t>
      </w:r>
      <w:r>
        <w:t>pol</w:t>
      </w:r>
      <w:r w:rsidR="000C220C">
        <w:t>a</w:t>
      </w:r>
      <w:r>
        <w:t xml:space="preserve">  „Korekta cen transferowych”)</w:t>
      </w:r>
      <w:r w:rsidR="000C220C">
        <w:t>.</w:t>
      </w:r>
    </w:p>
    <w:p w14:paraId="5DC92407" w14:textId="5F8069AF" w:rsidR="000C220C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W jakiej walucie powinny być podawane ceny w TPR? </w:t>
      </w:r>
      <w:r w:rsidR="00E53B3D">
        <w:t>Czy zawsze wszystkie ceny należy podawać w PLN czy może należy podawać je w oryginalnej walucie transakcji (np. EUR, USD, itd.)?</w:t>
      </w:r>
    </w:p>
    <w:p w14:paraId="3D39EC3F" w14:textId="77777777" w:rsidR="00E43596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>Czy dla metody porównywalnej ceny niekontrolowanej jako cenę minimalną i maksymalną można wpisać wartości wyrażone w %</w:t>
      </w:r>
      <w:r w:rsidR="00194EAA">
        <w:t xml:space="preserve"> (</w:t>
      </w:r>
      <w:r>
        <w:t xml:space="preserve">np. </w:t>
      </w:r>
      <w:r w:rsidR="00194EAA">
        <w:t xml:space="preserve">wartość </w:t>
      </w:r>
      <w:r>
        <w:t xml:space="preserve">2% wpisując w polu „Cena min” i „Cena max”  oraz </w:t>
      </w:r>
      <w:r w:rsidR="00E53B3D">
        <w:t>jednostkę „procent”</w:t>
      </w:r>
      <w:r>
        <w:t xml:space="preserve"> w polu „Rodzaj jednostki miary”</w:t>
      </w:r>
      <w:r w:rsidR="00194EAA">
        <w:t>)</w:t>
      </w:r>
      <w:r w:rsidR="00E53B3D">
        <w:t>?</w:t>
      </w:r>
      <w:r>
        <w:t xml:space="preserve"> </w:t>
      </w:r>
      <w:r w:rsidR="00E53B3D">
        <w:t xml:space="preserve">Sytuacja taka ma miejsce np. </w:t>
      </w:r>
      <w:r>
        <w:t>gdy np. dla usł</w:t>
      </w:r>
      <w:r w:rsidR="00194EAA">
        <w:t>ug</w:t>
      </w:r>
      <w:r>
        <w:t xml:space="preserve"> agencyjnych </w:t>
      </w:r>
      <w:r w:rsidR="00194EAA">
        <w:t xml:space="preserve">transakcja rozliczana jest na podstawie </w:t>
      </w:r>
      <w:r>
        <w:t>prowizji kalkulowanej jako</w:t>
      </w:r>
      <w:r w:rsidR="00194EAA">
        <w:t xml:space="preserve"> </w:t>
      </w:r>
      <w:r>
        <w:t xml:space="preserve">% przychodu od sprzedaży stosowanego </w:t>
      </w:r>
      <w:r w:rsidR="00E43596">
        <w:t xml:space="preserve">w transakcjach z </w:t>
      </w:r>
      <w:r>
        <w:t>jednostk</w:t>
      </w:r>
      <w:r w:rsidR="00E43596">
        <w:t>ami</w:t>
      </w:r>
      <w:r>
        <w:t xml:space="preserve"> powiąz</w:t>
      </w:r>
      <w:r w:rsidR="00E43596">
        <w:t>anymi</w:t>
      </w:r>
      <w:r>
        <w:t xml:space="preserve"> i niepowiązan</w:t>
      </w:r>
      <w:r w:rsidR="00E43596">
        <w:t>ymi.</w:t>
      </w:r>
    </w:p>
    <w:p w14:paraId="7F45FC88" w14:textId="557D1E9E" w:rsidR="00A4315E" w:rsidRDefault="00A4315E" w:rsidP="00AB6F5B">
      <w:pPr>
        <w:pStyle w:val="Akapitzlist"/>
        <w:numPr>
          <w:ilvl w:val="0"/>
          <w:numId w:val="19"/>
        </w:numPr>
        <w:ind w:left="709" w:hanging="283"/>
        <w:contextualSpacing w:val="0"/>
        <w:jc w:val="both"/>
      </w:pPr>
      <w:r>
        <w:t xml:space="preserve">Jaki sposób weryfikacji ceny </w:t>
      </w:r>
      <w:r w:rsidR="00E43596">
        <w:t xml:space="preserve">należy </w:t>
      </w:r>
      <w:r>
        <w:t xml:space="preserve">wybrać, gdy do wyznaczenia </w:t>
      </w:r>
      <w:r w:rsidR="00E43596">
        <w:t>r</w:t>
      </w:r>
      <w:r>
        <w:t xml:space="preserve">ynkowego </w:t>
      </w:r>
      <w:r w:rsidR="00E43596">
        <w:t xml:space="preserve">poziomu ceny </w:t>
      </w:r>
      <w:r>
        <w:t xml:space="preserve">wykorzystano różne źródła danych – w formularzu istnieje tylko możliwość wyboru </w:t>
      </w:r>
      <w:r w:rsidR="00E43596">
        <w:t>jednej</w:t>
      </w:r>
      <w:r>
        <w:t xml:space="preserve"> opcji (dotyczyć to może głownie transakcji finansowych)</w:t>
      </w:r>
      <w:r w:rsidR="00E43596">
        <w:t>?</w:t>
      </w:r>
    </w:p>
    <w:p w14:paraId="6A5E3990" w14:textId="52C1A60A" w:rsidR="00A4315E" w:rsidRDefault="00761E62" w:rsidP="00AB6F5B">
      <w:pPr>
        <w:pStyle w:val="Akapitzlist"/>
        <w:numPr>
          <w:ilvl w:val="0"/>
          <w:numId w:val="1"/>
        </w:numPr>
        <w:ind w:left="426" w:hanging="426"/>
        <w:contextualSpacing w:val="0"/>
        <w:jc w:val="both"/>
      </w:pPr>
      <w:r w:rsidRPr="00462671">
        <w:rPr>
          <w:b/>
          <w:bCs/>
        </w:rPr>
        <w:t xml:space="preserve">[pkt. </w:t>
      </w:r>
      <w:r>
        <w:rPr>
          <w:b/>
          <w:bCs/>
        </w:rPr>
        <w:t>6</w:t>
      </w:r>
      <w:r w:rsidRPr="00462671">
        <w:rPr>
          <w:b/>
          <w:bCs/>
        </w:rPr>
        <w:t>.</w:t>
      </w:r>
      <w:r>
        <w:rPr>
          <w:b/>
          <w:bCs/>
        </w:rPr>
        <w:t>2.1</w:t>
      </w:r>
      <w:r w:rsidRPr="00462671">
        <w:rPr>
          <w:b/>
          <w:bCs/>
        </w:rPr>
        <w:t xml:space="preserve"> </w:t>
      </w:r>
      <w:r>
        <w:rPr>
          <w:b/>
          <w:bCs/>
        </w:rPr>
        <w:t xml:space="preserve">oraz 6.2.2 </w:t>
      </w:r>
      <w:r w:rsidRPr="00462671">
        <w:rPr>
          <w:b/>
          <w:bCs/>
        </w:rPr>
        <w:t>Objaśnień</w:t>
      </w:r>
      <w:r>
        <w:rPr>
          <w:b/>
          <w:bCs/>
        </w:rPr>
        <w:t>]</w:t>
      </w:r>
      <w:r>
        <w:t xml:space="preserve"> Transakcje finansowe</w:t>
      </w:r>
    </w:p>
    <w:p w14:paraId="712C232E" w14:textId="24043E38" w:rsidR="00764FE1" w:rsidRDefault="00AC0736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>
        <w:t>Jaka wartość powinna być wpisana w polu „wartość transakcji” dla transakcji cash</w:t>
      </w:r>
      <w:r w:rsidR="00764FE1">
        <w:t xml:space="preserve"> </w:t>
      </w:r>
      <w:r>
        <w:t>pooling’u? Dla pożyczek czy poręczeń „wartością transakcji” jest wartość tożsama z kwotą, którą należy wpisać w polu „Kwota kapitału” (a nie „kwota odsetek”). Skoro dla cash</w:t>
      </w:r>
      <w:r w:rsidR="00764FE1">
        <w:t xml:space="preserve"> </w:t>
      </w:r>
      <w:r>
        <w:t xml:space="preserve">pooling’u kwota kapitału definiowana jest jako limit zadłużenia, to czy jako wartość transakcji także należy </w:t>
      </w:r>
      <w:r w:rsidR="00764FE1">
        <w:t>podać</w:t>
      </w:r>
      <w:r>
        <w:t xml:space="preserve"> ten </w:t>
      </w:r>
      <w:r w:rsidR="00764FE1">
        <w:t xml:space="preserve">sam </w:t>
      </w:r>
      <w:r>
        <w:t xml:space="preserve">limit? Czy w przypadku braku limitu – wartość transakcji ma wynieść zero? Czy </w:t>
      </w:r>
      <w:r w:rsidR="00764FE1">
        <w:t>może jednak</w:t>
      </w:r>
      <w:r>
        <w:t xml:space="preserve"> w tym przypadku powinna to być taka kwota jak w polu „kwota zadłużenia”?</w:t>
      </w:r>
    </w:p>
    <w:p w14:paraId="4DF9BE67" w14:textId="77777777" w:rsidR="00764FE1" w:rsidRDefault="00AC0736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>
        <w:t>Jak prezentować zadłużenie i odsetki wynikające z cashpooling</w:t>
      </w:r>
      <w:r w:rsidR="00764FE1">
        <w:t>’</w:t>
      </w:r>
      <w:r>
        <w:t xml:space="preserve">u </w:t>
      </w:r>
      <w:r w:rsidR="00764FE1">
        <w:t>dla</w:t>
      </w:r>
      <w:r>
        <w:t xml:space="preserve"> podmiot</w:t>
      </w:r>
      <w:r w:rsidR="00764FE1">
        <w:t>u</w:t>
      </w:r>
      <w:r>
        <w:t>, który czasami jest podmiotem udostępniającym</w:t>
      </w:r>
      <w:r w:rsidR="00764FE1">
        <w:t xml:space="preserve"> </w:t>
      </w:r>
      <w:r>
        <w:t>a czasami korzystającym ze środków finansowych</w:t>
      </w:r>
      <w:r w:rsidR="00764FE1">
        <w:t xml:space="preserve"> w ramach modelu cash pooling’owego?</w:t>
      </w:r>
    </w:p>
    <w:p w14:paraId="415858E0" w14:textId="2221C420" w:rsidR="00764FE1" w:rsidRDefault="00764FE1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 w:rsidRPr="00764FE1">
        <w:t xml:space="preserve">Wg </w:t>
      </w:r>
      <w:r>
        <w:t>objaśnień</w:t>
      </w:r>
      <w:r w:rsidRPr="00764FE1">
        <w:t xml:space="preserve"> do TPR „w przypadku cash poolingu wartość zadłużenia uzupełnia się średnią z dziennych sald pozycji ujemnych lub dodatnich w ciągu roku, w zależności od tego, czy podmiot, dla którego składana jest informacja o cenach transferowych, występuje odpowiednio jako korzystający ze środków finansowych, czy umożliwia korzystanie z własnych środków innym podmiotom w ramach cash poolingu.”</w:t>
      </w:r>
    </w:p>
    <w:p w14:paraId="54E88798" w14:textId="77777777" w:rsidR="00D5062B" w:rsidRDefault="008A7CC7" w:rsidP="00AB6F5B">
      <w:pPr>
        <w:pStyle w:val="Akapitzlist"/>
        <w:ind w:left="709"/>
        <w:contextualSpacing w:val="0"/>
        <w:jc w:val="both"/>
      </w:pPr>
      <w:r>
        <w:t>Czy należy rozumieć</w:t>
      </w:r>
      <w:r w:rsidRPr="008A7CC7">
        <w:t xml:space="preserve">, że skoro </w:t>
      </w:r>
      <w:r>
        <w:t xml:space="preserve">rynkowy </w:t>
      </w:r>
      <w:r w:rsidRPr="008A7CC7">
        <w:t xml:space="preserve">poziom </w:t>
      </w:r>
      <w:r>
        <w:t>oprocentowania</w:t>
      </w:r>
      <w:r w:rsidRPr="008A7CC7">
        <w:t xml:space="preserve"> dla sald ujemnych jest inny niż dla dodatnich, </w:t>
      </w:r>
      <w:r>
        <w:t xml:space="preserve">to </w:t>
      </w:r>
      <w:r w:rsidRPr="008A7CC7">
        <w:t xml:space="preserve">te </w:t>
      </w:r>
      <w:r>
        <w:t>dwie</w:t>
      </w:r>
      <w:r w:rsidRPr="008A7CC7">
        <w:t xml:space="preserve"> kategorie powinny być prezentowane w TPR osobno  i  należy policzyć osobno poziom zadłużenia na podstawie występujących w ciągu roku sald dodatnich i osobno dla ujemnych? Jeżeli tak, to czy oznacza to, że jeżeli </w:t>
      </w:r>
      <w:r>
        <w:t>spółka</w:t>
      </w:r>
      <w:r w:rsidRPr="008A7CC7">
        <w:t xml:space="preserve"> w księgach ujmuje odsetki w ujęciu miesięcznym (w </w:t>
      </w:r>
      <w:r>
        <w:t>jednej</w:t>
      </w:r>
      <w:r w:rsidRPr="008A7CC7">
        <w:t xml:space="preserve"> kwocie będąc</w:t>
      </w:r>
      <w:r>
        <w:t>ej</w:t>
      </w:r>
      <w:r w:rsidRPr="008A7CC7">
        <w:t xml:space="preserve"> </w:t>
      </w:r>
      <w:r>
        <w:t xml:space="preserve">zbilansowaną </w:t>
      </w:r>
      <w:r w:rsidRPr="008A7CC7">
        <w:t>wartością netto odsetek dodatnich i ujemnych), to na potrzeby TP-R powinna dokonać innej agregacji odsetek dodatnich i ujemnych niż zostały one ujęte w księgach</w:t>
      </w:r>
      <w:r>
        <w:t>? W taki sposób a</w:t>
      </w:r>
      <w:r w:rsidRPr="008A7CC7">
        <w:t xml:space="preserve">by wartość odsetek była spójna z wyliczoną kwotą zadłużeń dla tych </w:t>
      </w:r>
      <w:r>
        <w:t>dwóch</w:t>
      </w:r>
      <w:r w:rsidRPr="008A7CC7">
        <w:t xml:space="preserve"> kategorii</w:t>
      </w:r>
      <w:r>
        <w:t>?</w:t>
      </w:r>
    </w:p>
    <w:p w14:paraId="53862929" w14:textId="1FA5E1C8" w:rsidR="00AC0736" w:rsidRDefault="008A7CC7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 w:rsidRPr="008A7CC7">
        <w:t xml:space="preserve">Czy w przypadku, gdy dla transakcji finansowych stopa bazowa pomniejszana jest o marżę, to czy w polach „Wynik analizy </w:t>
      </w:r>
      <w:r w:rsidR="00D5062B">
        <w:t xml:space="preserve">- </w:t>
      </w:r>
      <w:r w:rsidRPr="008A7CC7">
        <w:t>granica dolna” oraz „Wynik analizy</w:t>
      </w:r>
      <w:r w:rsidR="00D5062B">
        <w:t xml:space="preserve"> </w:t>
      </w:r>
      <w:r w:rsidRPr="008A7CC7">
        <w:t>-</w:t>
      </w:r>
      <w:r w:rsidR="00D5062B">
        <w:t xml:space="preserve"> </w:t>
      </w:r>
      <w:r w:rsidRPr="008A7CC7">
        <w:t>granica górna” powinna być wpisana marża ze znakiem ujemnym?</w:t>
      </w:r>
    </w:p>
    <w:p w14:paraId="39D38980" w14:textId="5CA981B3" w:rsidR="00D5062B" w:rsidRDefault="00D5062B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 w:rsidRPr="00D5062B">
        <w:t xml:space="preserve">W liście </w:t>
      </w:r>
      <w:r>
        <w:t>kodów (</w:t>
      </w:r>
      <w:r w:rsidRPr="00D5062B">
        <w:t>dot</w:t>
      </w:r>
      <w:r>
        <w:t>yczącej</w:t>
      </w:r>
      <w:r w:rsidRPr="00D5062B">
        <w:t xml:space="preserve"> stóp bazowych</w:t>
      </w:r>
      <w:r>
        <w:t>)</w:t>
      </w:r>
      <w:r w:rsidRPr="00D5062B">
        <w:t xml:space="preserve"> </w:t>
      </w:r>
      <w:r>
        <w:t>wybrać można</w:t>
      </w:r>
      <w:r w:rsidRPr="00D5062B">
        <w:t xml:space="preserve"> tylko LIBOR, WIBOR, EURIBOR</w:t>
      </w:r>
      <w:r>
        <w:t>.</w:t>
      </w:r>
      <w:r w:rsidRPr="00D5062B">
        <w:t xml:space="preserve"> </w:t>
      </w:r>
      <w:r>
        <w:t>N</w:t>
      </w:r>
      <w:r w:rsidRPr="00D5062B">
        <w:t xml:space="preserve">ie ma </w:t>
      </w:r>
      <w:r>
        <w:t xml:space="preserve">możliwości wyboru </w:t>
      </w:r>
      <w:r w:rsidR="002538C4">
        <w:t xml:space="preserve">np. </w:t>
      </w:r>
      <w:r w:rsidRPr="00D5062B">
        <w:t>WIBID</w:t>
      </w:r>
      <w:r>
        <w:t>, LIBID</w:t>
      </w:r>
      <w:r w:rsidR="002538C4">
        <w:t>.</w:t>
      </w:r>
      <w:r w:rsidRPr="00D5062B">
        <w:t xml:space="preserve"> Czy </w:t>
      </w:r>
      <w:r w:rsidR="002538C4">
        <w:t>w sytuacji korzystania z takiej stopy bazowej należy</w:t>
      </w:r>
      <w:r w:rsidRPr="00D5062B">
        <w:t xml:space="preserve"> wybrać „inna stopa bazowa”?</w:t>
      </w:r>
    </w:p>
    <w:p w14:paraId="6DE19AA6" w14:textId="43B85369" w:rsidR="002538C4" w:rsidRDefault="002538C4" w:rsidP="00AB6F5B">
      <w:pPr>
        <w:pStyle w:val="Akapitzlist"/>
        <w:numPr>
          <w:ilvl w:val="0"/>
          <w:numId w:val="20"/>
        </w:numPr>
        <w:ind w:left="709" w:hanging="283"/>
        <w:contextualSpacing w:val="0"/>
        <w:jc w:val="both"/>
      </w:pPr>
      <w:r w:rsidRPr="002538C4">
        <w:t>Jak kalkulować wartość zadłużenia w przypadku poręczenia</w:t>
      </w:r>
      <w:r>
        <w:t xml:space="preserve"> </w:t>
      </w:r>
      <w:r w:rsidRPr="002538C4">
        <w:t>/</w:t>
      </w:r>
      <w:r>
        <w:t xml:space="preserve"> </w:t>
      </w:r>
      <w:r w:rsidRPr="002538C4">
        <w:t xml:space="preserve">gwarancji, która wygasła przed końcem roku? </w:t>
      </w:r>
      <w:r>
        <w:t>N</w:t>
      </w:r>
      <w:r w:rsidRPr="002538C4">
        <w:t>a przykład</w:t>
      </w:r>
      <w:r>
        <w:t>:</w:t>
      </w:r>
      <w:r w:rsidRPr="002538C4">
        <w:t xml:space="preserve"> na dzień </w:t>
      </w:r>
      <w:r>
        <w:t>0</w:t>
      </w:r>
      <w:r w:rsidRPr="002538C4">
        <w:t>1.</w:t>
      </w:r>
      <w:r>
        <w:t>0</w:t>
      </w:r>
      <w:r w:rsidRPr="002538C4">
        <w:t xml:space="preserve">1.2019 wartość poręczenia wynosiła 100 tys. </w:t>
      </w:r>
      <w:r>
        <w:t xml:space="preserve">PLN, </w:t>
      </w:r>
      <w:r w:rsidRPr="002538C4">
        <w:t>a na dzień 31.12.2019 r. 0</w:t>
      </w:r>
      <w:r>
        <w:t xml:space="preserve"> PLN </w:t>
      </w:r>
      <w:r>
        <w:sym w:font="Wingdings" w:char="F0E0"/>
      </w:r>
      <w:r w:rsidRPr="002538C4">
        <w:t xml:space="preserve"> czy w TPR należy wpisać 50 tys. </w:t>
      </w:r>
      <w:r>
        <w:t>PLN</w:t>
      </w:r>
      <w:r w:rsidRPr="002538C4">
        <w:t>?</w:t>
      </w:r>
    </w:p>
    <w:sectPr w:rsidR="002538C4" w:rsidSect="00AB6F5B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BBE52" w14:textId="77777777" w:rsidR="00841F9F" w:rsidRDefault="00841F9F" w:rsidP="005C7D3F">
      <w:pPr>
        <w:spacing w:before="0" w:after="0" w:line="240" w:lineRule="auto"/>
      </w:pPr>
      <w:r>
        <w:separator/>
      </w:r>
    </w:p>
  </w:endnote>
  <w:endnote w:type="continuationSeparator" w:id="0">
    <w:p w14:paraId="541A3369" w14:textId="77777777" w:rsidR="00841F9F" w:rsidRDefault="00841F9F" w:rsidP="005C7D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0937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72B9DF" w14:textId="77777777" w:rsidR="00AB6F5B" w:rsidRDefault="000F692B" w:rsidP="000F692B">
            <w:pPr>
              <w:pStyle w:val="Stopka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C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C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2907E8D" w14:textId="358DEB1E" w:rsidR="000F692B" w:rsidRDefault="00AB6F5B" w:rsidP="00AB6F5B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20819BCB" wp14:editId="27426F93">
                  <wp:extent cx="902208" cy="148078"/>
                  <wp:effectExtent l="0" t="0" r="0" b="444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logo_taxand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4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70F5E" w14:textId="77777777" w:rsidR="00841F9F" w:rsidRDefault="00841F9F" w:rsidP="005C7D3F">
      <w:pPr>
        <w:spacing w:before="0" w:after="0" w:line="240" w:lineRule="auto"/>
      </w:pPr>
      <w:r>
        <w:separator/>
      </w:r>
    </w:p>
  </w:footnote>
  <w:footnote w:type="continuationSeparator" w:id="0">
    <w:p w14:paraId="469D23DD" w14:textId="77777777" w:rsidR="00841F9F" w:rsidRDefault="00841F9F" w:rsidP="005C7D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E90B" w14:textId="4729D9A0" w:rsidR="00AB6F5B" w:rsidRDefault="00AB6F5B">
    <w:pPr>
      <w:pStyle w:val="Nagwek"/>
    </w:pPr>
    <w:r w:rsidRPr="00D663FA">
      <w:rPr>
        <w:rFonts w:asciiTheme="minorHAnsi" w:hAnsiTheme="minorHAnsi"/>
        <w:smallCaps/>
        <w:noProof/>
        <w:lang w:eastAsia="pl-PL"/>
      </w:rPr>
      <w:drawing>
        <wp:inline distT="0" distB="0" distL="0" distR="0" wp14:anchorId="2B8EA811" wp14:editId="1AD25EF5">
          <wp:extent cx="1151269" cy="4536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nowicz\Desktop\Logo_CR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69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2A0" w14:textId="160DC59A" w:rsidR="00AB6F5B" w:rsidRDefault="00AB6F5B">
    <w:pPr>
      <w:pStyle w:val="Nagwek"/>
    </w:pPr>
    <w:r w:rsidRPr="00D663FA">
      <w:rPr>
        <w:rFonts w:asciiTheme="minorHAnsi" w:hAnsiTheme="minorHAnsi"/>
        <w:smallCaps/>
        <w:noProof/>
        <w:lang w:eastAsia="pl-PL"/>
      </w:rPr>
      <w:drawing>
        <wp:inline distT="0" distB="0" distL="0" distR="0" wp14:anchorId="296264DC" wp14:editId="3EC42370">
          <wp:extent cx="1827411" cy="72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nowicz\Desktop\Logo_CRI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41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D1E"/>
    <w:multiLevelType w:val="hybridMultilevel"/>
    <w:tmpl w:val="70F4D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4623"/>
    <w:multiLevelType w:val="hybridMultilevel"/>
    <w:tmpl w:val="34527C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45A3E"/>
    <w:multiLevelType w:val="hybridMultilevel"/>
    <w:tmpl w:val="AF7A7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1425C"/>
    <w:multiLevelType w:val="hybridMultilevel"/>
    <w:tmpl w:val="2B1E9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627F"/>
    <w:multiLevelType w:val="hybridMultilevel"/>
    <w:tmpl w:val="FB3E0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57248"/>
    <w:multiLevelType w:val="hybridMultilevel"/>
    <w:tmpl w:val="EF4A9F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956EDA"/>
    <w:multiLevelType w:val="hybridMultilevel"/>
    <w:tmpl w:val="A37A306A"/>
    <w:lvl w:ilvl="0" w:tplc="57BAD3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105886"/>
    <w:multiLevelType w:val="hybridMultilevel"/>
    <w:tmpl w:val="435E0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94D77"/>
    <w:multiLevelType w:val="hybridMultilevel"/>
    <w:tmpl w:val="3E94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D228F"/>
    <w:multiLevelType w:val="hybridMultilevel"/>
    <w:tmpl w:val="09CAD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C1CE1"/>
    <w:multiLevelType w:val="hybridMultilevel"/>
    <w:tmpl w:val="2F7AE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24CE7"/>
    <w:multiLevelType w:val="hybridMultilevel"/>
    <w:tmpl w:val="4570447A"/>
    <w:lvl w:ilvl="0" w:tplc="8FC27C9E">
      <w:start w:val="1"/>
      <w:numFmt w:val="lowerRoman"/>
      <w:lvlText w:val="(%1)"/>
      <w:lvlJc w:val="left"/>
      <w:pPr>
        <w:ind w:left="720" w:hanging="360"/>
      </w:pPr>
      <w:rPr>
        <w:bCs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0292B"/>
    <w:multiLevelType w:val="hybridMultilevel"/>
    <w:tmpl w:val="23E8F4FA"/>
    <w:lvl w:ilvl="0" w:tplc="A1D4D2A8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96B2627"/>
    <w:multiLevelType w:val="hybridMultilevel"/>
    <w:tmpl w:val="BC48B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F2113"/>
    <w:multiLevelType w:val="hybridMultilevel"/>
    <w:tmpl w:val="02B06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32EC5"/>
    <w:multiLevelType w:val="hybridMultilevel"/>
    <w:tmpl w:val="E15E66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8861AE9"/>
    <w:multiLevelType w:val="hybridMultilevel"/>
    <w:tmpl w:val="097E7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3690F"/>
    <w:multiLevelType w:val="hybridMultilevel"/>
    <w:tmpl w:val="50880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2769"/>
    <w:multiLevelType w:val="hybridMultilevel"/>
    <w:tmpl w:val="59268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14"/>
  </w:num>
  <w:num w:numId="5">
    <w:abstractNumId w:val="10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3"/>
  </w:num>
  <w:num w:numId="11">
    <w:abstractNumId w:val="2"/>
  </w:num>
  <w:num w:numId="12">
    <w:abstractNumId w:val="9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3F"/>
    <w:rsid w:val="00003886"/>
    <w:rsid w:val="0002440C"/>
    <w:rsid w:val="0004085B"/>
    <w:rsid w:val="00062061"/>
    <w:rsid w:val="000C220C"/>
    <w:rsid w:val="000C5E5B"/>
    <w:rsid w:val="000F692B"/>
    <w:rsid w:val="00106128"/>
    <w:rsid w:val="00164A69"/>
    <w:rsid w:val="0018570B"/>
    <w:rsid w:val="00194EAA"/>
    <w:rsid w:val="00213F58"/>
    <w:rsid w:val="002538C4"/>
    <w:rsid w:val="00303B99"/>
    <w:rsid w:val="00314CAB"/>
    <w:rsid w:val="003E40FA"/>
    <w:rsid w:val="00434826"/>
    <w:rsid w:val="00462671"/>
    <w:rsid w:val="00473DFF"/>
    <w:rsid w:val="004E26B6"/>
    <w:rsid w:val="005614D2"/>
    <w:rsid w:val="00561863"/>
    <w:rsid w:val="005B0BCA"/>
    <w:rsid w:val="005C7D3F"/>
    <w:rsid w:val="005D4AF5"/>
    <w:rsid w:val="00626CF3"/>
    <w:rsid w:val="006D13AF"/>
    <w:rsid w:val="0075344C"/>
    <w:rsid w:val="00761E62"/>
    <w:rsid w:val="00764FE1"/>
    <w:rsid w:val="00814DF2"/>
    <w:rsid w:val="00825B93"/>
    <w:rsid w:val="00841F9F"/>
    <w:rsid w:val="00890B84"/>
    <w:rsid w:val="008A7CC7"/>
    <w:rsid w:val="008B3B3B"/>
    <w:rsid w:val="00955C8C"/>
    <w:rsid w:val="009A2832"/>
    <w:rsid w:val="009F5135"/>
    <w:rsid w:val="00A24756"/>
    <w:rsid w:val="00A25289"/>
    <w:rsid w:val="00A304F8"/>
    <w:rsid w:val="00A42C36"/>
    <w:rsid w:val="00A4315E"/>
    <w:rsid w:val="00A92161"/>
    <w:rsid w:val="00AA2D1D"/>
    <w:rsid w:val="00AB13A1"/>
    <w:rsid w:val="00AB6F5B"/>
    <w:rsid w:val="00AC0736"/>
    <w:rsid w:val="00BD4749"/>
    <w:rsid w:val="00BE2FD8"/>
    <w:rsid w:val="00C02106"/>
    <w:rsid w:val="00CF7DA8"/>
    <w:rsid w:val="00D21F69"/>
    <w:rsid w:val="00D41916"/>
    <w:rsid w:val="00D5062B"/>
    <w:rsid w:val="00D573F1"/>
    <w:rsid w:val="00D9340A"/>
    <w:rsid w:val="00DE5F20"/>
    <w:rsid w:val="00E43596"/>
    <w:rsid w:val="00E53B3D"/>
    <w:rsid w:val="00E64C30"/>
    <w:rsid w:val="00EE71B2"/>
    <w:rsid w:val="00F60156"/>
    <w:rsid w:val="00FB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828517"/>
  <w15:chartTrackingRefBased/>
  <w15:docId w15:val="{529EBB92-A402-4AD1-B59C-E9A38A24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before="120" w:after="12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D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9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2B"/>
  </w:style>
  <w:style w:type="paragraph" w:styleId="Stopka">
    <w:name w:val="footer"/>
    <w:basedOn w:val="Normalny"/>
    <w:link w:val="StopkaZnak"/>
    <w:uiPriority w:val="99"/>
    <w:unhideWhenUsed/>
    <w:rsid w:val="000F69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2B"/>
  </w:style>
  <w:style w:type="paragraph" w:styleId="Tekstdymka">
    <w:name w:val="Balloon Text"/>
    <w:basedOn w:val="Normalny"/>
    <w:link w:val="TekstdymkaZnak"/>
    <w:uiPriority w:val="99"/>
    <w:semiHidden/>
    <w:unhideWhenUsed/>
    <w:rsid w:val="000F69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1630</Words>
  <Characters>9782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Janowicz</dc:creator>
  <cp:keywords/>
  <dc:description/>
  <cp:lastModifiedBy>Grzyb Tomasz</cp:lastModifiedBy>
  <cp:revision>2</cp:revision>
  <cp:lastPrinted>2019-10-28T10:05:00Z</cp:lastPrinted>
  <dcterms:created xsi:type="dcterms:W3CDTF">2019-10-31T15:46:00Z</dcterms:created>
  <dcterms:modified xsi:type="dcterms:W3CDTF">2019-10-31T15:46:00Z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PUBLIC</vt:lpwstr>
  </property>
  <property fmtid="{D5CDD505-2E9C-101B-9397-08002B2CF9AE}" pid="3" name="TukanITGREENmodClassifiedBy">
    <vt:lpwstr>ACCREOT\mjanowicz;Michał Janowicz</vt:lpwstr>
  </property>
  <property fmtid="{D5CDD505-2E9C-101B-9397-08002B2CF9AE}" pid="4" name="TukanITGREENmodClassificationDate">
    <vt:lpwstr>2019-08-29T10:50:48.5569916+02:00</vt:lpwstr>
  </property>
  <property fmtid="{D5CDD505-2E9C-101B-9397-08002B2CF9AE}" pid="5" name="TukanITGREENmodClassifiedBySID">
    <vt:lpwstr>ACCREOT\S-1-5-21-2689679564-127267201-59131381-7715</vt:lpwstr>
  </property>
  <property fmtid="{D5CDD505-2E9C-101B-9397-08002B2CF9AE}" pid="6" name="TukanITGREENmodGRNItemId">
    <vt:lpwstr>GRN-c2456e35-fe71-4180-bef2-4c322979efa3</vt:lpwstr>
  </property>
  <property fmtid="{D5CDD505-2E9C-101B-9397-08002B2CF9AE}" pid="7" name="DLPManualFileClassification">
    <vt:lpwstr/>
  </property>
  <property fmtid="{D5CDD505-2E9C-101B-9397-08002B2CF9AE}" pid="8" name="TukanITGREENmodRefresh">
    <vt:lpwstr>False</vt:lpwstr>
  </property>
</Properties>
</file>