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E0B" w:rsidRDefault="00C42E0B" w:rsidP="00C4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C42E0B">
        <w:rPr>
          <w:rFonts w:ascii="Times New Roman" w:hAnsi="Times New Roman" w:cs="Times New Roman"/>
          <w:bCs/>
        </w:rPr>
        <w:t>Załącznik B.56.</w:t>
      </w:r>
    </w:p>
    <w:p w:rsidR="00C42E0B" w:rsidRPr="00C42E0B" w:rsidRDefault="00C42E0B" w:rsidP="00C4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491560" w:rsidRPr="00491560" w:rsidRDefault="00491560" w:rsidP="00491560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491560">
        <w:rPr>
          <w:rFonts w:ascii="Times New Roman" w:eastAsia="Times New Roman" w:hAnsi="Times New Roman" w:cs="Times New Roman"/>
          <w:b/>
          <w:bCs/>
          <w:sz w:val="28"/>
          <w:szCs w:val="20"/>
        </w:rPr>
        <w:t>LECZENIE OPORNEGO NA KASTRACJĘ RAKA GRUCZOŁU KROKOWEGO  (ICD-10  C61)</w:t>
      </w:r>
    </w:p>
    <w:tbl>
      <w:tblPr>
        <w:tblW w:w="48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2"/>
        <w:gridCol w:w="3542"/>
        <w:gridCol w:w="5363"/>
      </w:tblGrid>
      <w:tr w:rsidR="00491560" w:rsidRPr="00491560" w:rsidTr="00D658ED">
        <w:trPr>
          <w:trHeight w:val="48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60" w:rsidRPr="00491560" w:rsidRDefault="00491560" w:rsidP="0049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915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ZAKRES ŚWIADCZENIA GWARANTOWANEGO</w:t>
            </w:r>
          </w:p>
        </w:tc>
      </w:tr>
      <w:tr w:rsidR="00491560" w:rsidRPr="00491560" w:rsidTr="00D658ED">
        <w:trPr>
          <w:trHeight w:val="703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60" w:rsidRPr="00491560" w:rsidRDefault="00491560" w:rsidP="004915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915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ŚWIADCZENIOBIORCY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60" w:rsidRPr="00491560" w:rsidRDefault="00491560" w:rsidP="004915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15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SCHEMAT DAWKOWANIA LEKU W PROGRAMIE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60" w:rsidRPr="00491560" w:rsidRDefault="00491560" w:rsidP="004915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15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BADANIA DIAGNOSTYCZNE WYKONYWANE W RAMACH PROGRAMU</w:t>
            </w:r>
          </w:p>
        </w:tc>
      </w:tr>
      <w:tr w:rsidR="00491560" w:rsidRPr="00491560" w:rsidTr="00D658ED"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60" w:rsidRPr="00491560" w:rsidRDefault="00491560" w:rsidP="0049156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bookmarkStart w:id="0" w:name="_GoBack" w:colFirst="0" w:colLast="0"/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Leczenie opornego na kastrację raka gruczołu krokowego octanem </w:t>
            </w:r>
            <w:proofErr w:type="spellStart"/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abirateronu</w:t>
            </w:r>
            <w:proofErr w:type="spellEnd"/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przed stosowaniem chemioterapii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1"/>
              </w:numPr>
              <w:spacing w:before="120" w:after="120" w:line="248" w:lineRule="exact"/>
              <w:ind w:left="313" w:right="8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Kryteria kwalifikacji</w:t>
            </w:r>
          </w:p>
          <w:p w:rsidR="00491560" w:rsidRPr="00491560" w:rsidRDefault="00491560" w:rsidP="00491560">
            <w:pPr>
              <w:widowControl w:val="0"/>
              <w:spacing w:after="120" w:line="248" w:lineRule="exact"/>
              <w:ind w:left="313" w:right="8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Do leczenia octanem </w:t>
            </w:r>
            <w:proofErr w:type="spellStart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abirateronu</w:t>
            </w:r>
            <w:proofErr w:type="spellEnd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w ramach programu kwalifikują się chorzy na raka gruczołu krokowego z przerzutami spełniający poniższe kryteria: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"/>
              </w:numPr>
              <w:spacing w:after="0" w:line="256" w:lineRule="exact"/>
              <w:ind w:left="596" w:right="22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Histologiczne rozpoznanie raka gruczołowego stercza;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"/>
              </w:numPr>
              <w:spacing w:after="0" w:line="256" w:lineRule="exact"/>
              <w:ind w:left="596" w:right="2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Zastosowanie chemioterapii nie jest jeszcze wskazane klinicznie;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"/>
              </w:numPr>
              <w:spacing w:after="0" w:line="256" w:lineRule="exact"/>
              <w:ind w:left="596" w:right="2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Stadium oporności na kastrację, określone na podstawie oznaczenia stężenia testosteronu w surowicy wynoszącego 50 </w:t>
            </w:r>
            <w:proofErr w:type="spellStart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ng</w:t>
            </w:r>
            <w:proofErr w:type="spellEnd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/dl lub mniej (</w:t>
            </w:r>
            <w:proofErr w:type="spellStart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tj</w:t>
            </w:r>
            <w:proofErr w:type="spellEnd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, wynoszącego 1,7 </w:t>
            </w:r>
            <w:proofErr w:type="spellStart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nmol</w:t>
            </w:r>
            <w:proofErr w:type="spellEnd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/l lub mniej), u chorych z progresją choroby ocenioną wg kryteriów w pkt. 4);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"/>
              </w:numPr>
              <w:spacing w:after="0" w:line="256" w:lineRule="exact"/>
              <w:ind w:left="596" w:right="2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Progresja choroby określona na podstawie: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"/>
              </w:numPr>
              <w:spacing w:after="0" w:line="256" w:lineRule="exact"/>
              <w:ind w:left="1021" w:right="2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trzech kolejnych wzrostów stężenia PSA, oznaczonego w co najmniej tygodniowych odstępach, </w:t>
            </w:r>
            <w:r w:rsidRPr="00491560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z</w:t>
            </w:r>
            <w:r w:rsidRPr="0049156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 </w:t>
            </w: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udowodnionymi </w:t>
            </w: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dwoma wzrostami o 50% wobec wartości wyjściowej (nadir), przy nominalnej wartości stężenia PSA &gt;2 </w:t>
            </w:r>
            <w:proofErr w:type="spellStart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ng</w:t>
            </w:r>
            <w:proofErr w:type="spellEnd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/ml</w:t>
            </w:r>
          </w:p>
          <w:p w:rsidR="00491560" w:rsidRPr="00491560" w:rsidRDefault="00491560" w:rsidP="00491560">
            <w:pPr>
              <w:widowControl w:val="0"/>
              <w:spacing w:after="0" w:line="256" w:lineRule="exact"/>
              <w:ind w:left="1021" w:hanging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lub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"/>
              </w:numPr>
              <w:spacing w:after="0" w:line="256" w:lineRule="exact"/>
              <w:ind w:left="1021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wystąpienia objawów progresji zmian (układ kostny, narządy wewnętrzne, tkanki miękkie) w badaniach obrazowych;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"/>
              </w:numPr>
              <w:tabs>
                <w:tab w:val="left" w:pos="596"/>
              </w:tabs>
              <w:spacing w:after="0" w:line="256" w:lineRule="exact"/>
              <w:ind w:left="596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Stopień złośliwości wg sumy </w:t>
            </w:r>
            <w:proofErr w:type="spellStart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Gleasona</w:t>
            </w:r>
            <w:proofErr w:type="spellEnd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491560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&lt;</w:t>
            </w: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8 </w:t>
            </w: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określony na podstawie badania histopatologicznego;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"/>
              </w:numPr>
              <w:tabs>
                <w:tab w:val="left" w:pos="596"/>
              </w:tabs>
              <w:spacing w:after="0" w:line="256" w:lineRule="exact"/>
              <w:ind w:left="596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lastRenderedPageBreak/>
              <w:t xml:space="preserve">Nie leczenie </w:t>
            </w:r>
            <w:proofErr w:type="spellStart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opioidami</w:t>
            </w:r>
            <w:proofErr w:type="spellEnd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z powodu objawów</w:t>
            </w:r>
            <w:r w:rsidRPr="00491560">
              <w:rPr>
                <w:rFonts w:ascii="Times New Roman" w:eastAsia="Calibri" w:hAnsi="Times New Roman" w:cs="Times New Roman"/>
                <w:color w:val="000000"/>
                <w:spacing w:val="20"/>
                <w:sz w:val="20"/>
                <w:szCs w:val="20"/>
                <w:shd w:val="clear" w:color="auto" w:fill="FFFFFF"/>
                <w:lang w:eastAsia="pl-PL" w:bidi="pl-PL"/>
              </w:rPr>
              <w:t xml:space="preserve"> </w:t>
            </w: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raka gruczołu krokowego (dopuszczalne jest stosowanie </w:t>
            </w:r>
            <w:proofErr w:type="spellStart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opioidów</w:t>
            </w:r>
            <w:proofErr w:type="spellEnd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w przeszłości);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"/>
              </w:numPr>
              <w:tabs>
                <w:tab w:val="left" w:pos="596"/>
              </w:tabs>
              <w:spacing w:after="0" w:line="256" w:lineRule="exact"/>
              <w:ind w:left="596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Stan sprawności 0 według klasyfikacji WHO;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"/>
              </w:numPr>
              <w:tabs>
                <w:tab w:val="left" w:pos="596"/>
              </w:tabs>
              <w:spacing w:after="0" w:line="256" w:lineRule="exact"/>
              <w:ind w:left="596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Wiek powyżej 18. roku życia.</w:t>
            </w:r>
          </w:p>
          <w:p w:rsidR="00491560" w:rsidRPr="00491560" w:rsidRDefault="00491560" w:rsidP="00491560">
            <w:pPr>
              <w:widowControl w:val="0"/>
              <w:tabs>
                <w:tab w:val="left" w:pos="808"/>
              </w:tabs>
              <w:spacing w:before="120" w:after="0" w:line="256" w:lineRule="exact"/>
              <w:ind w:right="8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Kryteria kwalifikacji muszą być spełnione łącznie.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1"/>
              </w:numPr>
              <w:tabs>
                <w:tab w:val="left" w:pos="808"/>
              </w:tabs>
              <w:spacing w:before="120" w:after="120" w:line="256" w:lineRule="exact"/>
              <w:ind w:left="313" w:right="8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</w:pPr>
            <w:r w:rsidRPr="0049156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Określenie czasu leczenia w programie</w:t>
            </w:r>
          </w:p>
          <w:p w:rsidR="00491560" w:rsidRPr="00491560" w:rsidRDefault="00491560" w:rsidP="00491560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Leczenie trwa do czasu podjęcia przez lekarza. prowadzącego decyzji o wyłączeniu świadczeniobiorcy z programu, zgodnie z kryteriami wyłączenia z programu.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1"/>
              </w:numPr>
              <w:spacing w:before="120" w:after="120" w:line="248" w:lineRule="exact"/>
              <w:ind w:left="313"/>
              <w:rPr>
                <w:rFonts w:ascii="Times New Roman" w:eastAsia="Calibri" w:hAnsi="Times New Roman" w:cs="Times New Roman"/>
                <w:b/>
                <w:sz w:val="20"/>
                <w:szCs w:val="18"/>
              </w:rPr>
            </w:pPr>
            <w:r w:rsidRPr="0049156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18"/>
                <w:lang w:bidi="pl-PL"/>
              </w:rPr>
              <w:t xml:space="preserve"> Kryteria uniemożliwiające włączenie do programu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4"/>
              </w:numPr>
              <w:spacing w:after="0" w:line="248" w:lineRule="exact"/>
              <w:ind w:left="596" w:right="200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bidi="pl-PL"/>
              </w:rPr>
              <w:t xml:space="preserve"> </w:t>
            </w: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Nadwrażliwość na substancję czynną lub którąkolwiek substancję pomocniczą,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4"/>
              </w:numPr>
              <w:spacing w:after="0" w:line="248" w:lineRule="exact"/>
              <w:ind w:left="596" w:right="200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Umiarkowane lub ciężkie zaburzenia czynności wątroby (Klasa B lub C wg Child-</w:t>
            </w:r>
            <w:proofErr w:type="spellStart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Pugh</w:t>
            </w:r>
            <w:proofErr w:type="spellEnd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);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4"/>
              </w:numPr>
              <w:spacing w:after="0" w:line="266" w:lineRule="exact"/>
              <w:ind w:left="596" w:right="200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Aktywność </w:t>
            </w:r>
            <w:proofErr w:type="spellStart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aminotransferaz</w:t>
            </w:r>
            <w:proofErr w:type="spellEnd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 równa lub przekraczająca 2,5-krotną wartość górnego zakresu normy; stężenie potasu poniżej dolnej granicy normy;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4"/>
              </w:numPr>
              <w:spacing w:after="0" w:line="248" w:lineRule="exact"/>
              <w:ind w:left="596" w:right="200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Wcześniejsze stosowanie </w:t>
            </w:r>
            <w:proofErr w:type="spellStart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ketokonazolu</w:t>
            </w:r>
            <w:proofErr w:type="spellEnd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 z powodu raka </w:t>
            </w:r>
            <w:r w:rsidRPr="00491560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18"/>
                <w:shd w:val="clear" w:color="auto" w:fill="FFFFFF"/>
                <w:lang w:eastAsia="pl-PL" w:bidi="pl-PL"/>
              </w:rPr>
              <w:t xml:space="preserve">gruczołu </w:t>
            </w: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krokowego powyżej 7 dni;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4"/>
              </w:numPr>
              <w:spacing w:after="0" w:line="248" w:lineRule="exact"/>
              <w:ind w:left="596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Niekontrolowane choroby układu sercowo-naczyniowego, niekontrolowane nadciśnienie tętnicze;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4"/>
              </w:numPr>
              <w:spacing w:after="120" w:line="248" w:lineRule="exact"/>
              <w:ind w:left="596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Rozpoznanie drobnokomórkowego raka stercza.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1"/>
              </w:numPr>
              <w:spacing w:after="120" w:line="252" w:lineRule="exact"/>
              <w:ind w:left="313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 </w:t>
            </w:r>
            <w:r w:rsidRPr="0049156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18"/>
                <w:lang w:bidi="pl-PL"/>
              </w:rPr>
              <w:t>Kryteria wyłączenia z programu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5"/>
              </w:numPr>
              <w:spacing w:after="0" w:line="252" w:lineRule="exact"/>
              <w:ind w:left="500" w:right="200" w:hanging="3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Wystąpienie objawów nadwrażliwości na octan </w:t>
            </w:r>
            <w:proofErr w:type="spellStart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abirateronu</w:t>
            </w:r>
            <w:proofErr w:type="spellEnd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 lub </w:t>
            </w: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którąkolwiek substancję pomocniczą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5"/>
              </w:numPr>
              <w:spacing w:after="0" w:line="252" w:lineRule="exact"/>
              <w:ind w:left="1004" w:right="2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Progresja choroby w trakcie stosowania leku, definiowana według następujących kryteriów: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6"/>
              </w:numPr>
              <w:tabs>
                <w:tab w:val="left" w:pos="875"/>
              </w:tabs>
              <w:spacing w:after="0" w:line="252" w:lineRule="exact"/>
              <w:ind w:right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Wystąpienie łącznie przynajmniej 2 z 3 następujących rodzajów progresji: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7"/>
              </w:numPr>
              <w:spacing w:after="0" w:line="252" w:lineRule="exact"/>
              <w:ind w:left="1021" w:right="200" w:hanging="42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sz w:val="20"/>
                <w:szCs w:val="20"/>
              </w:rPr>
              <w:t>progresja kliniczna:</w:t>
            </w:r>
          </w:p>
          <w:p w:rsidR="00491560" w:rsidRPr="00491560" w:rsidRDefault="00491560" w:rsidP="00491560">
            <w:pPr>
              <w:widowControl w:val="0"/>
              <w:tabs>
                <w:tab w:val="left" w:pos="875"/>
              </w:tabs>
              <w:spacing w:after="0" w:line="252" w:lineRule="exact"/>
              <w:ind w:left="1175" w:right="200" w:hanging="154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lastRenderedPageBreak/>
              <w:t xml:space="preserve">- progresja bólu określona jako włączenie nowego </w:t>
            </w:r>
            <w:proofErr w:type="spellStart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opioidu</w:t>
            </w:r>
            <w:proofErr w:type="spellEnd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na dłużej niż 2 tygodnie (nie dotyczy przypadków, gdy włączenie nowego opioidowego leku przeciwbólowego nastąpiło z powodu działań niepożądanych wywołanych przez lek dotychczas stosowany) lub</w:t>
            </w:r>
          </w:p>
          <w:p w:rsidR="00491560" w:rsidRPr="00491560" w:rsidRDefault="00491560" w:rsidP="00491560">
            <w:pPr>
              <w:widowControl w:val="0"/>
              <w:spacing w:after="0" w:line="252" w:lineRule="exact"/>
              <w:ind w:left="1175" w:right="300" w:hanging="1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- wystąpienie SRE </w:t>
            </w: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en-US"/>
              </w:rPr>
              <w:t>(</w:t>
            </w:r>
            <w:proofErr w:type="spellStart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en-US"/>
              </w:rPr>
              <w:t>skeletal</w:t>
            </w:r>
            <w:proofErr w:type="spellEnd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en-US"/>
              </w:rPr>
              <w:t>related</w:t>
            </w:r>
            <w:proofErr w:type="spellEnd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en-US"/>
              </w:rPr>
              <w:t>events</w:t>
            </w:r>
            <w:proofErr w:type="spellEnd"/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– zdarzeń kostnych) lub</w:t>
            </w:r>
          </w:p>
          <w:p w:rsidR="00491560" w:rsidRPr="00491560" w:rsidRDefault="00491560" w:rsidP="00491560">
            <w:pPr>
              <w:widowControl w:val="0"/>
              <w:spacing w:after="0" w:line="252" w:lineRule="exact"/>
              <w:ind w:left="1175" w:right="300" w:hanging="1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- pogorszenie sprawności pacjenta (wg. </w:t>
            </w:r>
            <w:r w:rsidRPr="00491560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Klasyfikacji </w:t>
            </w:r>
            <w:r w:rsidRPr="00491560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bidi="en-US"/>
              </w:rPr>
              <w:t xml:space="preserve">WHO) </w:t>
            </w: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do co najmniej stopnia 2, utrzymujące się min. 2 tygodnie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7"/>
              </w:numPr>
              <w:spacing w:after="0" w:line="252" w:lineRule="exact"/>
              <w:ind w:left="1021" w:right="180" w:hanging="48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progresja PSA określona jako trzy kolejne wzrosty PSA, oznaczone w co najmniej tygodniowych odstępach, z udowodnionymi wzrostami o co najmniej </w:t>
            </w:r>
            <w:r w:rsidRPr="00491560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50% </w:t>
            </w: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wobec wartości </w:t>
            </w:r>
            <w:r w:rsidRPr="00491560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wyjściowej, </w:t>
            </w: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przy </w:t>
            </w:r>
            <w:r w:rsidRPr="00491560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nominalnej </w:t>
            </w: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wartości stężenia PSA </w:t>
            </w:r>
            <w:r w:rsidRPr="00491560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&gt;2ng/ml.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7"/>
              </w:numPr>
              <w:spacing w:after="0" w:line="252" w:lineRule="exact"/>
              <w:ind w:left="1021" w:right="180" w:hanging="48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progresja radiologiczna określona jako pojawienie się co najmniej dwóch </w:t>
            </w:r>
            <w:r w:rsidRPr="00491560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nowych </w:t>
            </w:r>
            <w:r w:rsidRPr="0049156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ognisk, potwierdzona badaniem </w:t>
            </w:r>
            <w:r w:rsidRPr="00491560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obrazowym</w:t>
            </w:r>
          </w:p>
          <w:p w:rsidR="00491560" w:rsidRPr="00491560" w:rsidRDefault="00491560" w:rsidP="00491560">
            <w:pPr>
              <w:widowControl w:val="0"/>
              <w:spacing w:after="0" w:line="252" w:lineRule="exact"/>
              <w:ind w:left="1021" w:right="180" w:hanging="283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18"/>
                <w:shd w:val="clear" w:color="auto" w:fill="FFFFFF"/>
                <w:lang w:eastAsia="pl-PL" w:bidi="pl-PL"/>
              </w:rPr>
            </w:pPr>
            <w:r w:rsidRPr="00491560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18"/>
                <w:shd w:val="clear" w:color="auto" w:fill="FFFFFF"/>
                <w:lang w:eastAsia="pl-PL" w:bidi="pl-PL"/>
              </w:rPr>
              <w:t>lub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6"/>
              </w:numPr>
              <w:spacing w:after="120" w:line="252" w:lineRule="exact"/>
              <w:ind w:left="738" w:right="18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560">
              <w:rPr>
                <w:rFonts w:ascii="Times New Roman" w:eastAsia="Calibri" w:hAnsi="Times New Roman" w:cs="Times New Roman"/>
                <w:sz w:val="20"/>
                <w:szCs w:val="18"/>
              </w:rPr>
              <w:t>Progresja zgodnie z kryteriami RECIST.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5"/>
              </w:numPr>
              <w:tabs>
                <w:tab w:val="left" w:pos="808"/>
              </w:tabs>
              <w:spacing w:after="0" w:line="256" w:lineRule="exact"/>
              <w:ind w:left="454" w:right="80" w:hanging="3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sz w:val="20"/>
                <w:szCs w:val="20"/>
              </w:rPr>
              <w:t>Wystąpienie działań niepożądanych uniemożliwiających kontynuację leczenia zgodnie z wytycznymi zawartymi w charakterystyce produktu leczniczego;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5"/>
              </w:numPr>
              <w:tabs>
                <w:tab w:val="left" w:pos="808"/>
              </w:tabs>
              <w:spacing w:after="0" w:line="256" w:lineRule="exact"/>
              <w:ind w:left="454" w:right="80" w:hanging="3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Calibri" w:hAnsi="Times New Roman" w:cs="Times New Roman"/>
                <w:sz w:val="20"/>
                <w:szCs w:val="20"/>
              </w:rPr>
              <w:t>Rezygnacja świadczeniobiorcy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240" w:after="120" w:line="240" w:lineRule="auto"/>
              <w:ind w:left="357" w:hanging="357"/>
              <w:contextualSpacing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Leczenie opornego na kastrację raka gruczołu krokowego octanem </w:t>
            </w:r>
            <w:proofErr w:type="spellStart"/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abirateronu</w:t>
            </w:r>
            <w:proofErr w:type="spellEnd"/>
          </w:p>
          <w:p w:rsidR="00491560" w:rsidRPr="00491560" w:rsidRDefault="00491560" w:rsidP="00491560">
            <w:pPr>
              <w:widowControl w:val="0"/>
              <w:numPr>
                <w:ilvl w:val="1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13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Kryteria kwalifikacji 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Do leczenia octanem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 ramach programu kwalifikują się chorzy na raka gruczołu krokowego: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3" w:hanging="310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Rozpoznanego histologicznie (dopuszczalne kwalifikowanie chorych, u których rozpoznanie ustalono w przeszłości cytologicznie, kiedy histologiczne badanie nie było standardem postępowania diagnostycznego);</w:t>
            </w:r>
          </w:p>
          <w:p w:rsidR="00491560" w:rsidRPr="00491560" w:rsidRDefault="00491560" w:rsidP="00491560">
            <w:pPr>
              <w:numPr>
                <w:ilvl w:val="1"/>
                <w:numId w:val="9"/>
              </w:numPr>
              <w:spacing w:after="0" w:line="240" w:lineRule="auto"/>
              <w:ind w:left="313" w:hanging="31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W stadium oporności na kastrację, </w:t>
            </w:r>
            <w:r w:rsidRPr="004915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określonym na podstawie oznaczenia stężenia testosteronu w surowicy wynoszącego 50 </w:t>
            </w:r>
            <w:proofErr w:type="spellStart"/>
            <w:r w:rsidRPr="004915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ng</w:t>
            </w:r>
            <w:proofErr w:type="spellEnd"/>
            <w:r w:rsidRPr="004915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/dl lub mniej (tj. wynoszącego 1,7 </w:t>
            </w:r>
            <w:proofErr w:type="spellStart"/>
            <w:r w:rsidRPr="004915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nmol</w:t>
            </w:r>
            <w:proofErr w:type="spellEnd"/>
            <w:r w:rsidRPr="004915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 lub mniej), u chorych z progresją choroby ocenioną wg kryteriów w pkt 1.3)</w:t>
            </w: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491560" w:rsidRPr="00491560" w:rsidRDefault="00491560" w:rsidP="00491560">
            <w:pPr>
              <w:numPr>
                <w:ilvl w:val="1"/>
                <w:numId w:val="9"/>
              </w:numPr>
              <w:spacing w:after="0" w:line="240" w:lineRule="auto"/>
              <w:ind w:left="313" w:hanging="31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progresją choroby w trakcie lub po chemioterapii z udziałem </w:t>
            </w:r>
            <w:proofErr w:type="spellStart"/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docetakselu</w:t>
            </w:r>
            <w:proofErr w:type="spellEnd"/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określoną na podstawie: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 xml:space="preserve">trzech kolejnych wzrostów stężenia PSA, oznaczonego w co najmniej tygodniowych odstępach, z udowodnionymi dwoma wzrostami o 50% wobec wartości wyjściowej (nadir), przy nominalnej wartości stężenia PSA &gt;2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ng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 xml:space="preserve">/ml lub </w:t>
            </w:r>
          </w:p>
          <w:p w:rsidR="00491560" w:rsidRPr="00491560" w:rsidRDefault="00491560" w:rsidP="00491560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 objawów progresji zmian (układ kostny, narządy wewnętrzne, tkanki miękkie) w badaniach obrazowych;</w:t>
            </w:r>
          </w:p>
          <w:p w:rsidR="00491560" w:rsidRPr="00491560" w:rsidRDefault="00491560" w:rsidP="00491560">
            <w:pPr>
              <w:numPr>
                <w:ilvl w:val="1"/>
                <w:numId w:val="9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stanie sprawności 0-1 według klasyfikacji WHO;</w:t>
            </w:r>
          </w:p>
          <w:p w:rsidR="00491560" w:rsidRPr="00491560" w:rsidRDefault="00491560" w:rsidP="00491560">
            <w:pPr>
              <w:numPr>
                <w:ilvl w:val="1"/>
                <w:numId w:val="9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wieku powyżej 18. roku życia.</w:t>
            </w:r>
          </w:p>
          <w:p w:rsidR="00491560" w:rsidRPr="00491560" w:rsidRDefault="00491560" w:rsidP="0049156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Kryteria kwalifikacji muszą być spełnione łącznie. </w:t>
            </w:r>
          </w:p>
          <w:p w:rsidR="00491560" w:rsidRPr="00491560" w:rsidRDefault="00491560" w:rsidP="0049156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 programu kwalifikowani są również pacjenci dotychczas leczeni z zastosowaniem octanu </w:t>
            </w:r>
            <w:proofErr w:type="spellStart"/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>abirateronu</w:t>
            </w:r>
            <w:proofErr w:type="spellEnd"/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ramach świadczenia chemioterapii niestandardowej, pod warunkiem, że zostali zakwalifikowani do leczenia w ramach chemioterapii niestandardowej przed 1 stycznia 2014 r. oraz przed rozpoczęciem leczenia nie spełniali kryteriów wyłączenia z programu.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Określenie czasu leczenia w programie:</w:t>
            </w:r>
          </w:p>
          <w:p w:rsidR="00491560" w:rsidRPr="00491560" w:rsidRDefault="00491560" w:rsidP="0049156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Leczenie trwa do czasu podjęcia przez lekarza prowadzącego decyzji o wyłączeniu świadczeniobiorcy z programu, zgodnie z kryteriami wyłączenia z programu. 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uniemożliwiające włączenie do programu: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 w:hanging="380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Nadwrażliwość na substancję czynną lub którąkolwiek substancję pomocniczą;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 w:hanging="37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Umiarkowane lub ciężkie zaburzenia czynności wątroby (Klasa B lub C wg Child-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Pugh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 w:hanging="378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Aktywność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aminotransferaz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równa lub przekraczająca 2,5-krotną wartość górnego zakresu normy;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 w:hanging="378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Wcześniejsze stosowanie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ketokonazolu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powodu raka gruczołu krokowego;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 w:hanging="37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Niekontrolowane choroby układu sercowo-naczyniowego;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 w:hanging="37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Wcześniejsze leczenie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enzalutamidem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octanem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lastRenderedPageBreak/>
              <w:t>Kryteria wyłączenia z programu: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2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Wystąpienie objawów nadwrażliwości na octan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którąkolwiek substancję pomocniczą;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2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choroby w trakcie stosowania leku, definiowana według następujących kryteriów: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8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łącznie przynajmniej 2 z 3 następujących rodzajów progresji: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880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kliniczna: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880" w:hanging="142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- progresja bólu określona jako włączenie nowego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opioidu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na dłużej niż 2 tygodnie (nie dotyczy przypadków, gdy włączenie nowego opioidowego leku przeciwbólowego nastąpiło z powodu działań niepożądanych wywołanych przez lek dotychczas stosowany) lub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880" w:hanging="142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- wystąpienie SRE (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skeletal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related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events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- zdarzeń kostnych) lub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880" w:hanging="142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- utrzymujące się min. 2 tygodnie pogorszenie sprawności pacjenta do co najmniej stopnia 2 (wg. klasyfikacji WHO);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879" w:hanging="357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PSA określona jako trzy kolejne wzrosty PSA, oznaczone w co najmniej tygodniowych odstępach, z udowodnionymi wzrostami o co najmniej 50% wobec wartości wyjściowej, przy nominalnej wartości stężenia PSA &gt;2ng/ml,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879" w:hanging="357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radiologiczna określona jako pojawienie się co najmniej dwóch nowych ognisk, potwierdzona badaniem obrazowym,</w:t>
            </w:r>
          </w:p>
          <w:p w:rsidR="00491560" w:rsidRPr="00491560" w:rsidRDefault="00491560" w:rsidP="00491560">
            <w:pPr>
              <w:spacing w:after="120" w:line="276" w:lineRule="auto"/>
              <w:ind w:left="880" w:hanging="425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zgodnie z kryteriami RECIST;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3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działań niepożądanych uniemożliwiających kontynuację leczenia zgodnie z wytycznymi zawartymi w charakterystyce produktu leczniczego;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240" w:line="240" w:lineRule="auto"/>
              <w:ind w:left="313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Rezygnacja świadczeniobiorcy.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240" w:after="120" w:line="240" w:lineRule="auto"/>
              <w:contextualSpacing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Leczenie opornego na kastrację raka gruczołu krokowego </w:t>
            </w:r>
            <w:proofErr w:type="spellStart"/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enzalutamidem</w:t>
            </w:r>
            <w:proofErr w:type="spellEnd"/>
          </w:p>
          <w:p w:rsidR="00491560" w:rsidRPr="00491560" w:rsidRDefault="00491560" w:rsidP="00491560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Kryteria włączenia świadczeniobiorcy</w:t>
            </w:r>
          </w:p>
          <w:p w:rsidR="00491560" w:rsidRPr="00491560" w:rsidRDefault="00491560" w:rsidP="0049156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54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wiek ≥18 lat;</w:t>
            </w:r>
          </w:p>
          <w:p w:rsidR="00491560" w:rsidRPr="00491560" w:rsidRDefault="00491560" w:rsidP="0049156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54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rozpoznanie histologiczne raka gruczołu krokowego;</w:t>
            </w:r>
          </w:p>
          <w:p w:rsidR="00491560" w:rsidRPr="00491560" w:rsidRDefault="00491560" w:rsidP="0049156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54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 xml:space="preserve">stadium oporności na kastrację (stężenie testosteronu w surowicy wynoszące poniżej 50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/dl, tj. wynoszącego mniej niż 1,7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/l);</w:t>
            </w:r>
          </w:p>
          <w:p w:rsidR="00491560" w:rsidRPr="00491560" w:rsidRDefault="00491560" w:rsidP="0049156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54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stan sprawności 0-1 według ECOG;</w:t>
            </w:r>
          </w:p>
          <w:p w:rsidR="00491560" w:rsidRPr="00491560" w:rsidRDefault="00491560" w:rsidP="0049156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54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choroby podczas lub po zakończeniu leczenia z udziałem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 definiowana jako spełnienie co najmniej jednego spośród trzech poniższych kryteriów, w określonych w lit. a-c:</w:t>
            </w:r>
          </w:p>
          <w:p w:rsidR="00491560" w:rsidRPr="00491560" w:rsidRDefault="00491560" w:rsidP="00491560">
            <w:pPr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880" w:hanging="2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wzrastające wartości PSA w trzech kolejnych badaniach wykonywanych </w:t>
            </w: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w co najmniej tygodniowych odstępach</w:t>
            </w: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. Minimalny wzrost stężenia PSA wynosi przynajmniej 50% w stosunku do wartości wyjściowej wynoszącej  &gt;2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/ml,</w:t>
            </w:r>
          </w:p>
          <w:p w:rsidR="00491560" w:rsidRPr="00491560" w:rsidRDefault="00491560" w:rsidP="00491560">
            <w:pPr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880" w:hanging="2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objawów progresji zmian w tkankach miękkich ocenianych wg kryteriów RECIST,</w:t>
            </w:r>
          </w:p>
          <w:p w:rsidR="00491560" w:rsidRPr="00491560" w:rsidRDefault="00491560" w:rsidP="00491560">
            <w:pPr>
              <w:numPr>
                <w:ilvl w:val="1"/>
                <w:numId w:val="18"/>
              </w:numPr>
              <w:autoSpaceDN w:val="0"/>
              <w:spacing w:after="0" w:line="240" w:lineRule="auto"/>
              <w:ind w:left="880" w:hanging="2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wystąpienie objawów progresji zmian w kościach definiowanych jako co najmniej dwie nowe zmiany w badaniach obrazowych kości wg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Prostate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Cancer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Working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Group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2 (Pojawienie się co najmniej 2 nowych ognisk wzmożonego wychwytu w scyntygrafii kości).</w:t>
            </w:r>
          </w:p>
          <w:p w:rsidR="00491560" w:rsidRPr="00491560" w:rsidRDefault="00491560" w:rsidP="00491560">
            <w:pPr>
              <w:spacing w:before="120"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:rsidR="00491560" w:rsidRPr="00491560" w:rsidRDefault="00491560" w:rsidP="00491560">
            <w:pPr>
              <w:spacing w:before="120"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 programu lekowego, w celu zapewnienia kontynuacji terapii, kwalifikowani są pacjenci z opornym na kastrację rakiem gruczołu krokowego, leczeni </w:t>
            </w:r>
            <w:proofErr w:type="spellStart"/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>enzalutamidem</w:t>
            </w:r>
            <w:proofErr w:type="spellEnd"/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 zakończeniu leczenia z udziałem </w:t>
            </w:r>
            <w:proofErr w:type="spellStart"/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ramach innego sposobu finansowania terapii.</w:t>
            </w:r>
          </w:p>
          <w:p w:rsidR="00491560" w:rsidRPr="00491560" w:rsidRDefault="00491560" w:rsidP="00491560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3"/>
              <w:contextualSpacing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Kryteria uniemożliwiające włączenie chorego do programu</w:t>
            </w:r>
          </w:p>
          <w:p w:rsidR="00491560" w:rsidRPr="00491560" w:rsidRDefault="00491560" w:rsidP="0049156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nadwrażliwość na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którąkolwiek substancję pomocniczą;</w:t>
            </w:r>
          </w:p>
          <w:p w:rsidR="00491560" w:rsidRPr="00491560" w:rsidRDefault="00491560" w:rsidP="0049156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ciężka niewydolność nerek, ciężka niewydolność wątroby (klasa C wg skali Child –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Pugh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);</w:t>
            </w:r>
          </w:p>
          <w:p w:rsidR="00491560" w:rsidRPr="00491560" w:rsidRDefault="00491560" w:rsidP="0049156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choroby układu sercowo-naczyniowego: zawał mięśnia sercowego przebyty wciągu ostatnich 6 miesięcy lub niestabilna dusznica bolesna (w ostatnich 3 miesiącach) lub niewydolność serca klasy III lub IV według NYHA lub istotne i niekontrolowane zaburzenia rytmu lub przewodnictwa serca (w tym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QTcF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&gt; 470 ms) lub nieleczone albo niepoddające się leczeniu znaczne nadciśnienie tętnicze;</w:t>
            </w:r>
          </w:p>
          <w:p w:rsidR="00491560" w:rsidRPr="00491560" w:rsidRDefault="00491560" w:rsidP="0049156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dziedziczna nietolerancja fruktozy;</w:t>
            </w:r>
          </w:p>
          <w:p w:rsidR="00491560" w:rsidRPr="00491560" w:rsidRDefault="00491560" w:rsidP="0049156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wcześniejsze leczenie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enzalutamidem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octanem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491560" w:rsidRPr="00491560" w:rsidRDefault="00491560" w:rsidP="0049156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napady padaczkowe w wywiadzie lub inne opisane w wywiadzie czynniki predysponujące do ich wystąpienia.</w:t>
            </w:r>
          </w:p>
          <w:p w:rsidR="00491560" w:rsidRPr="00491560" w:rsidRDefault="00491560" w:rsidP="00491560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3"/>
              <w:contextualSpacing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Określenie czasu leczenia w programie</w:t>
            </w:r>
          </w:p>
          <w:p w:rsidR="00491560" w:rsidRPr="00491560" w:rsidRDefault="00491560" w:rsidP="00491560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>Leczenie trwa do czasu podjęcia przez lekarza prowadzącego decyzji o zakończeniu leczenia świadczeniobiorcy w programie, zgodnie z kryteriami wyłączenia z programu.</w:t>
            </w:r>
          </w:p>
          <w:p w:rsidR="00491560" w:rsidRPr="00491560" w:rsidRDefault="00491560" w:rsidP="00491560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3"/>
              <w:contextualSpacing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Kryteria wyłączenia z programu</w:t>
            </w:r>
          </w:p>
          <w:p w:rsidR="00491560" w:rsidRPr="00491560" w:rsidRDefault="00491560" w:rsidP="00491560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choroby w trakcie stosowania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 zdefiniowana jako spełnienie co najmniej jednego spośród trzech poniższych kryteriów, podanych w punktach a - c:</w:t>
            </w:r>
          </w:p>
          <w:p w:rsidR="00491560" w:rsidRPr="00491560" w:rsidRDefault="00491560" w:rsidP="00491560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1021" w:hanging="283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wzrastające wartości PSA w trzech kolejnych badaniach wykonywanych </w:t>
            </w: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w co najmniej tygodniowych odstępach</w:t>
            </w: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. Minimalny wzrost stężenia PSA wynosi przynajmniej 50% w stosunku do nadiru i wynosi w wartościach bezwzględnych przynajmniej 5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/ml,</w:t>
            </w:r>
          </w:p>
          <w:p w:rsidR="00491560" w:rsidRPr="00491560" w:rsidRDefault="00491560" w:rsidP="00491560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1021" w:hanging="283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objawów progresji zmian w tkankach miękkich ocenianych wg kryteriów RECIST,</w:t>
            </w:r>
          </w:p>
          <w:p w:rsidR="00491560" w:rsidRPr="00491560" w:rsidRDefault="00491560" w:rsidP="00491560">
            <w:pPr>
              <w:numPr>
                <w:ilvl w:val="1"/>
                <w:numId w:val="21"/>
              </w:numPr>
              <w:autoSpaceDN w:val="0"/>
              <w:spacing w:after="0" w:line="240" w:lineRule="auto"/>
              <w:ind w:left="1021" w:hanging="283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wystąpienie objawów progresji zmian w kościach definiowanych jako co najmniej dwie nowe zmiany w badaniach obrazowych kości wg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Prostate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Cancer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Working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Group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2 (Pojawienie się co najmniej 2 nowych ognisk wzmożonego wychwytu w scyntygrafii kości; w przypadku ich stwierdzenia w pierwszym badaniu w trakcie leczenia dodatkowo konieczne jest stwierdzenie co najmniej 2 kolejnych nowych ognisk w kolejnej scyntygrafii wykonanej po co najmniej 6 tygodniach.);</w:t>
            </w:r>
          </w:p>
          <w:p w:rsidR="00491560" w:rsidRPr="00491560" w:rsidRDefault="00491560" w:rsidP="00491560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wystąpienie objawów nadwrażliwości na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którąkolwiek substancję pomocniczą;</w:t>
            </w:r>
          </w:p>
          <w:p w:rsidR="00491560" w:rsidRPr="00491560" w:rsidRDefault="00491560" w:rsidP="00491560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działań niepożądanych uniemożliwiających kontynuację leczenia zgodnie z zaleceniami zawartymi w Charakterystyce Produktu Leczniczego;</w:t>
            </w:r>
          </w:p>
          <w:p w:rsidR="00491560" w:rsidRPr="00491560" w:rsidRDefault="00491560" w:rsidP="00491560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596" w:hanging="425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rezygnacja świadczeniobiorcy.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40" w:after="120" w:line="240" w:lineRule="auto"/>
              <w:ind w:left="357" w:hanging="357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Leczenie opornego na kastrację raka gruczołu krokowego </w:t>
            </w:r>
            <w:proofErr w:type="spellStart"/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dichlorkiem</w:t>
            </w:r>
            <w:proofErr w:type="spellEnd"/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radu Ra-223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3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kwalifikacji: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Do programu kwalifikuje się pacjentów spełniających łącznie następujące kryteria: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histologiczne lub cytologiczne rozpoznanie raka gruczołu krokowego;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kastracyjne stężenie testosteronu (poniżej 50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/dl) pomimo prowadzonego farmakologicznego leczenia kastracyjnego (farmakologiczne leczenie kastracyjne powinno być kontynuowane) 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 wykonanej kastracji chirurgicznej;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nowotworu definiowana jako: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880" w:hanging="142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wzrost stężenia PSA w kolejnych 3 badaniach wykonanych </w:t>
            </w: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w co najmniej tygodniowych odstępach</w:t>
            </w: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w tym co najmniej dwoma wzrostami o 50% wobec wartości wyjściowej, która musi wynosić powyżej 5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/ml 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880" w:hanging="142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880" w:hanging="142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objawów progresji zmian w badaniach obrazowych;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potwierdzenie w badaniu scyntygraficznym obecności co najmniej 6 przerzutów do kości;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bóle kostne wymagające stałego stosowania leków przeciwbólowych lub paliatywnej radioterapii w okresie nie więcej niż 12 tygodni przed rozpoczęciem leczenia;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brak przerzutów do narządów trzewnych z wyjątkiem  przerzutów do węzłów chłonnych miednicy o wymiarze mniejszym lub równym 2cm w osi krótkiej;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leczenie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ukończone co najmniej 4 tygodnie przed rozpoczęciem leczenia radem-223 lub 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obecność udokumentowanych przeciwwskazań do zastosowania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stan sprawności ogólnej 0-2 według ECOG;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wiek pacjenta: 18 lat i powyżej;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wyniki badania morfologii krwi z rozmazem: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021" w:hanging="21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liczba płytek krwi większa lub równa 1,0 x 10</w:t>
            </w:r>
            <w:r w:rsidRPr="00491560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eastAsia="zh-CN"/>
              </w:rPr>
              <w:t>5</w:t>
            </w: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/mm</w:t>
            </w:r>
            <w:r w:rsidRPr="00491560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eastAsia="zh-CN"/>
              </w:rPr>
              <w:t>3</w:t>
            </w: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021" w:hanging="21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bezwzględna liczba neutrofilów większa lub równa 1500/mm</w:t>
            </w:r>
            <w:r w:rsidRPr="00491560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eastAsia="zh-CN"/>
              </w:rPr>
              <w:t>3</w:t>
            </w: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021" w:hanging="21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stężenie hemoglobiny większe lub równe10,0 g/dl;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stężenie bilirubiny mniejsze lub równe 1,5 GGN;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aktywność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AspAT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i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AlAT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mniejsze lub równe 2,5 GGN;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9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stężenie kreatyniny mniejsze lub równe 1,5 GGN;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 w:line="240" w:lineRule="auto"/>
              <w:ind w:left="595" w:hanging="357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oczekiwany czas przeżycia dłuższy niż 6 miesięcy.</w:t>
            </w:r>
          </w:p>
          <w:p w:rsidR="00491560" w:rsidRPr="00491560" w:rsidRDefault="00491560" w:rsidP="00491560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 programu lekowego, w celu zapewnienia kontynuacji terapii, kwalifikowani są pacjenci z opornym na kastrację rakiem gruczołu krokowego, leczeni </w:t>
            </w:r>
            <w:proofErr w:type="spellStart"/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>dichlorkiem</w:t>
            </w:r>
            <w:proofErr w:type="spellEnd"/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radu Ra-223 po zakończeniu leczenia z udziałem </w:t>
            </w:r>
            <w:proofErr w:type="spellStart"/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42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lub w przypadku udokumentowanych przeciwwskazań do zastosowania </w:t>
            </w:r>
            <w:proofErr w:type="spellStart"/>
            <w:r w:rsidRPr="00C42E0B">
              <w:rPr>
                <w:rFonts w:ascii="Times New Roman" w:eastAsia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Pr="00C42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>w ramach innego sposobu finansowania terapii.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3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Określenie czasu leczenia w programie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Leczenie w programie obejmuje 6 podań leku wykonywanych w odstępach 4 tygodni, chyba że w oparciu o kryteria zakończenia udziału w programie, określonych w pkt 4.4. zostanie podjęta decyzja o wyłączeniu pacjenta z programu.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3"/>
              <w:contextualSpacing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Kryteria uniemożliwiające włączenie pacjenta do programu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 programu nie kwalifikuje się pacjentów w przypadku wystąpienia co najmniej jednego z poniższych kryteriów: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współistnienie innego aktywnego nowotworu złośliwego (z wyjątkiem raka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podstawnokomórkowego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skóry) 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albo wcześniejsze zachorowanie na jakikolwiek nowotwór złośliwy, o ile leczenie nie miało charakteru radykalnego lub miało charakter radykalny, ale nie uzyskano całkowitej remisji;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istotnych klinicznie działań niepożądanych spowodowanych chemioterapią, które nie ustępują w ciągu 4 tygodni od przerwania leczenia (z wyjątkiem utrzymującej się neuropatii);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leczenie z zastosowaniem strontu-89, samaru-153, renu-186 lub renu-188 w okresie 24 tygodni przed rozpoczęciem leczenia w ramach tego programu;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kompresja rdzenia kręgowego potwierdzona badaniem klinicznym lub badaniem rezonansu magnetycznego, wymagająca zaopatrzenia miejscowego lub radioterapii (leczenie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dichlorkiem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radu Ra-223 może zostać podjęte po skutecznym zakończeniu leczenia miejscowego);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obecność przerzutów do mózgu  niekontrolowanych leczeniem miejscowym;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obecność co najmniej jednego z następujących schorzeń współistniejących: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880" w:hanging="219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niekontrolowana infekcja,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880" w:hanging="219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niewydolność serca w stopniu III lub IV NYHA, 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880" w:hanging="219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choroba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Crohna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wrzodziejące zapalenie jelita grubego, 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880" w:hanging="219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mielodysplazja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szpiku;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niepoddające się leczeniu nietrzymanie kału;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53" w:hanging="357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obecność jakichkolwiek innych stanów lub schorzeń, które w opinii lekarza mogą stanowić przeciwwskazanie do zastosowania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radu Ra-223.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313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zakończenia udziału w programie.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Leczenie pacjenta w programie zostaje zakończone jeżeli w trakcie tego leczenia wystąpi co najmniej jedno z następujących kryteriów: 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nieakceptowalnej toksyczności hematologicznej tj. 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neutropenii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trombocytopenii w stopniu 3 lub 4 wg CTC, utrzymujące się pomimo podjętego leczenia objawowego przez okres powyżej 14 dni 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utrzymywanie się pomimo podjętego leczenia objawowego innej toksyczności w stopniu 4 wg CTC przez okres powyżej 7 dni; 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rozpoczęcie nowego leczenia z zastosowaniem innego preparatu radioizotopowego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- z wyjątkiem zastosowania radioterapii paliatywnej na pojedyncze ogniska przerzutowe;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pogorszenie stanu sprawności ogólnej o co najmniej 2 stopnie wg ECOG w stosunku do wartości wyjściowej;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PSA rozumiana jako postępujące zwiększenie stężenia PSA w kolejnych 3 badaniach wykonanych </w:t>
            </w: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w co najmniej tygodniowych odstępach</w:t>
            </w: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z co najmniej dwoma wzrostami o 50% wobec wartości wyjściowej, która musi być większa 5 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/ml;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niepoddające się leczeniu nietrzymanie kału;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kompresja rdzenia kręgowego potwierdzona badaniem klinicznym lub badaniem rezonansu magnetycznego, która nie może zostać zaopatrzona miejscowo lub której zaopatrzenie wymagałoby opóźnienia podania kolejnej dawki leku o więcej niż 4 tygodnie;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ind w:left="45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jakiekolwiek inne poważne schorzenie, które w opinii lekarza prowadzącego uniemożliwia kontynuację leczenia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dichlorkiem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radu Ra-223.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60" w:rsidRPr="00491560" w:rsidRDefault="00491560" w:rsidP="00491560">
            <w:pPr>
              <w:widowControl w:val="0"/>
              <w:numPr>
                <w:ilvl w:val="1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16"/>
              <w:contextualSpacing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lastRenderedPageBreak/>
              <w:t xml:space="preserve">Dawkowanie w leczeniu opornego na kastrację raka gruczołu krokowego octanem </w:t>
            </w:r>
            <w:proofErr w:type="spellStart"/>
            <w:r w:rsidRPr="00491560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abirateronu</w:t>
            </w:r>
            <w:proofErr w:type="spellEnd"/>
            <w:r w:rsidRPr="00491560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przed stosowaniem chemioterapii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Zalecana dawka octanu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wynosi 1000 mg i jest stosowana jednorazowo co 24 godziny. Leku nie wolno przyjmować razem z pokarmem (przyjmowanie leku z pokarmem zwiększa całkowite narażenie organizmu na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).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Octan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należy przyjmować w skojarzeniu z małą dawką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prednizonu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prednizolonu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. Zalecana dawka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prednizonu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prednizolonu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wynosi 10 mg na dobę.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U chorych, którzy nie byli uprzednio poddani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orchidektomii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w trakcie leczenia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abirateronem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należy  utrzymać supresję androgenową, z zastosowaniem agonistów LHRH.</w:t>
            </w:r>
          </w:p>
          <w:p w:rsidR="00491560" w:rsidRPr="00491560" w:rsidRDefault="00491560" w:rsidP="00491560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Dopuszczalne są modyfikacje dawkowania w sytuacjach i w zakresie </w:t>
            </w: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lastRenderedPageBreak/>
              <w:t>wskazanym w charakterystyce produktu leczniczego.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16"/>
              <w:contextualSpacing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Dawkowanie w leczeniu opornego na kastrację raka gruczołu krokowego octanem </w:t>
            </w:r>
            <w:proofErr w:type="spellStart"/>
            <w:r w:rsidRPr="00491560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abirateronu</w:t>
            </w:r>
            <w:proofErr w:type="spellEnd"/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Zalecana dawka octanu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wynosi 1000 mg i jest stosowana jednorazowo co 24 godziny. Leku nie wolno przyjmować razem z pokarmem (przyjmowanie leku z pokarmem zwiększa całkowite narażenie organizmu na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).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Octan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należy przyjmować w skojarzeniu z małą dawką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prednizonu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prednizolonu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. Zalecana dawka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prednizonu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prednizolonu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wynosi 10 mg na dobę.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U chorych, którzy nie byli uprzednio poddani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orchidektomii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w trakcie leczenia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abirateronem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należy  utrzymać supresję androgenową, z zastosowaniem agonistów LHRH.</w:t>
            </w:r>
          </w:p>
          <w:p w:rsidR="00491560" w:rsidRPr="00491560" w:rsidRDefault="00491560" w:rsidP="00491560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Dopuszczalne są modyfikacje dawkowania w sytuacjach i w zakresie wskazanym w charakterystyce produktu leczniczego.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before="120" w:after="0" w:line="240" w:lineRule="auto"/>
              <w:ind w:left="316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Dawkowanie w leczeniu opornego na kastrację raka gruczołu krokowego </w:t>
            </w:r>
            <w:proofErr w:type="spellStart"/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enzalutamidem</w:t>
            </w:r>
            <w:proofErr w:type="spellEnd"/>
          </w:p>
          <w:p w:rsidR="00491560" w:rsidRPr="00491560" w:rsidRDefault="00491560" w:rsidP="00491560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Zalecana dawka </w:t>
            </w:r>
            <w:proofErr w:type="spellStart"/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>enzalutamidu</w:t>
            </w:r>
            <w:proofErr w:type="spellEnd"/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to 160 mg (cztery kapsułki po 40 mg) w jednorazowej dawce dobowej. Kapsułki </w:t>
            </w: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należy połykać w całości popijając wodą niezależnie od posiłku.</w:t>
            </w:r>
          </w:p>
          <w:p w:rsidR="00491560" w:rsidRPr="00491560" w:rsidRDefault="00491560" w:rsidP="00491560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>W przypadku pominięcia przyjęcia leku o zwykłej porze, przepisaną dawkę należy przyjąć tak szybko jak to możliwe.</w:t>
            </w:r>
          </w:p>
          <w:p w:rsidR="00491560" w:rsidRPr="00491560" w:rsidRDefault="00491560" w:rsidP="00491560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>W przypadku pominięcia dawki w danym dniu, leczenie należy wznowić następnego dnia przyjmując zazwyczaj stosowaną dawkę dobową.</w:t>
            </w:r>
          </w:p>
          <w:p w:rsidR="00491560" w:rsidRPr="00491560" w:rsidRDefault="00491560" w:rsidP="00491560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>Jeśli u pacjenta wystąpią objawy toksyczności stopnia ≥ 3 lub inne działania niepożądane, należy przerwać stosowanie produktu na tydzień lub do czasu zmniejszenia objawów do stopnia ≤ 2. Maksymalna przerwa w podawaniu leku nie może być dłuższa niż 8 tygodni. Następnie należy wznowić stosowanie leku w tej samej lub, jeżeli jest to uzasadnione, zmniejszonej dawce (120 mg lub 80 mg).</w:t>
            </w:r>
          </w:p>
          <w:p w:rsidR="00491560" w:rsidRPr="00491560" w:rsidRDefault="00491560" w:rsidP="0049156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 chorych nie poddanych obustronnej </w:t>
            </w:r>
            <w:proofErr w:type="spellStart"/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>orchiektomii</w:t>
            </w:r>
            <w:proofErr w:type="spellEnd"/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należy kontynuować terapię farmakologiczną, której celem jest uzyskanie kastracji.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  <w:ind w:left="316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Dawkowanie w leczeniu opornego na kastrację raka gruczołu krokowego </w:t>
            </w:r>
            <w:proofErr w:type="spellStart"/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dichlorkiem</w:t>
            </w:r>
            <w:proofErr w:type="spellEnd"/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radu Ra-223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lang w:eastAsia="zh-CN"/>
              </w:rPr>
              <w:t>Lek jest podawany we wstrzyknięciach dożylnych w dawce 55 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lang w:eastAsia="zh-CN"/>
              </w:rPr>
              <w:t>kBq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lang w:eastAsia="zh-CN"/>
              </w:rPr>
              <w:t xml:space="preserve">/kg mc. 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lang w:eastAsia="zh-CN"/>
              </w:rPr>
              <w:lastRenderedPageBreak/>
              <w:t>Dawka leku nie może być modyfikowana.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lang w:eastAsia="zh-CN"/>
              </w:rPr>
              <w:t>W przypadku wystąpienia działań niepożądanych kolejna dawka leku może być podana z opóźnieniem, jednak nie może ono wynieść więcej niż 4 tygodnie.</w:t>
            </w:r>
          </w:p>
          <w:p w:rsidR="00491560" w:rsidRPr="00491560" w:rsidRDefault="00491560" w:rsidP="00491560">
            <w:pPr>
              <w:numPr>
                <w:ilvl w:val="1"/>
                <w:numId w:val="28"/>
              </w:numPr>
              <w:autoSpaceDN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lang w:eastAsia="zh-CN"/>
              </w:rPr>
              <w:t>Warunkiem podania kolejnej dawki leku w przypadku, o którym mowa powyżej (w pkt 4.3.) jest:</w:t>
            </w:r>
          </w:p>
          <w:p w:rsidR="00491560" w:rsidRPr="00491560" w:rsidRDefault="00491560" w:rsidP="00491560">
            <w:pPr>
              <w:numPr>
                <w:ilvl w:val="0"/>
                <w:numId w:val="29"/>
              </w:numPr>
              <w:autoSpaceDN w:val="0"/>
              <w:spacing w:after="0" w:line="240" w:lineRule="auto"/>
              <w:ind w:left="316"/>
              <w:contextualSpacing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lang w:eastAsia="zh-CN"/>
              </w:rPr>
              <w:t xml:space="preserve">w przypadku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lang w:eastAsia="zh-CN"/>
              </w:rPr>
              <w:t>hematotoksyczności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lang w:eastAsia="zh-CN"/>
              </w:rPr>
              <w:t>: działanie powinno zmniejszyć się co najmniej do stopnia 2 wg CTC;</w:t>
            </w:r>
          </w:p>
          <w:p w:rsidR="00491560" w:rsidRPr="00491560" w:rsidRDefault="00491560" w:rsidP="00491560">
            <w:pPr>
              <w:numPr>
                <w:ilvl w:val="0"/>
                <w:numId w:val="29"/>
              </w:numPr>
              <w:autoSpaceDN w:val="0"/>
              <w:spacing w:after="0" w:line="240" w:lineRule="auto"/>
              <w:ind w:left="316"/>
              <w:contextualSpacing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lang w:eastAsia="zh-CN"/>
              </w:rPr>
              <w:t>w przypadku toksyczności innych niż hematologiczne: działanie powinno zmniejszyć się do stopnia 2 wg CTC w przypadku działań żołądkowo-jelitowych lub stopnia 3 wg CTC w przypadku pozostałych działań;</w:t>
            </w:r>
          </w:p>
          <w:p w:rsidR="00491560" w:rsidRPr="00491560" w:rsidRDefault="00491560" w:rsidP="00491560">
            <w:pPr>
              <w:numPr>
                <w:ilvl w:val="0"/>
                <w:numId w:val="29"/>
              </w:numPr>
              <w:autoSpaceDN w:val="0"/>
              <w:spacing w:after="0" w:line="240" w:lineRule="auto"/>
              <w:ind w:left="316"/>
              <w:contextualSpacing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lang w:eastAsia="zh-CN"/>
              </w:rPr>
              <w:t xml:space="preserve">w przypadku kompresji rdzenia kręgowego, do której dojdzie w trakcie leczenia, stosowanie leku może być kontynuowane, jeżeli zaopatrzenie pacjenta nie spowoduje opóźnienia podania kolejnej dawki leku o więcej niż 4 tygodnie; </w:t>
            </w:r>
          </w:p>
          <w:p w:rsidR="00491560" w:rsidRPr="00491560" w:rsidRDefault="00491560" w:rsidP="00491560">
            <w:pPr>
              <w:numPr>
                <w:ilvl w:val="0"/>
                <w:numId w:val="29"/>
              </w:numPr>
              <w:autoSpaceDN w:val="0"/>
              <w:spacing w:after="0" w:line="240" w:lineRule="auto"/>
              <w:ind w:left="316"/>
              <w:contextualSpacing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lang w:eastAsia="zh-CN"/>
              </w:rPr>
              <w:t>w przypadku złamania kostnego, do którego dojdzie w trakcie leczenia, podanie kolejnej dawki leku powinno odbyć się w okresie od 2 do 4 tygodni po dokonaniu się złamania.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60" w:rsidRPr="00491560" w:rsidRDefault="00491560" w:rsidP="00491560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lastRenderedPageBreak/>
              <w:t>Leczenie</w:t>
            </w: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491560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opornego na kastrację raka gruczołu krokowego octanem </w:t>
            </w:r>
            <w:proofErr w:type="spellStart"/>
            <w:r w:rsidRPr="00491560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abirateronu</w:t>
            </w:r>
            <w:proofErr w:type="spellEnd"/>
            <w:r w:rsidRPr="00491560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przed stosowaniem chemioterapii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17" w:hanging="357"/>
              <w:contextualSpacing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Badania przy kwalifikacji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1"/>
              </w:numPr>
              <w:spacing w:after="0" w:line="252" w:lineRule="exact"/>
              <w:ind w:left="458" w:right="20" w:hanging="36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91560">
              <w:rPr>
                <w:rFonts w:ascii="Calibri" w:eastAsia="Calibri" w:hAnsi="Calibri" w:cs="Times New Roman"/>
                <w:color w:val="000000"/>
                <w:sz w:val="20"/>
                <w:szCs w:val="20"/>
                <w:lang w:bidi="pl-PL"/>
              </w:rPr>
              <w:t>Histologicznie potwierdzone rozpoznanie raka gruczołu krokowego;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1"/>
              </w:numPr>
              <w:tabs>
                <w:tab w:val="left" w:pos="600"/>
              </w:tabs>
              <w:spacing w:after="0" w:line="252" w:lineRule="exact"/>
              <w:ind w:left="458" w:right="1020" w:hanging="360"/>
              <w:rPr>
                <w:rFonts w:ascii="Calibri" w:eastAsia="Calibri" w:hAnsi="Calibri" w:cs="Times New Roman"/>
                <w:color w:val="000000"/>
                <w:sz w:val="20"/>
                <w:szCs w:val="20"/>
                <w:lang w:bidi="pl-PL"/>
              </w:rPr>
            </w:pPr>
            <w:r w:rsidRPr="00491560">
              <w:rPr>
                <w:rFonts w:ascii="Calibri" w:eastAsia="Calibri" w:hAnsi="Calibri" w:cs="Times New Roman"/>
                <w:color w:val="000000"/>
                <w:sz w:val="20"/>
                <w:szCs w:val="20"/>
                <w:lang w:bidi="pl-PL"/>
              </w:rPr>
              <w:t xml:space="preserve">Ocena aktywności </w:t>
            </w:r>
            <w:proofErr w:type="spellStart"/>
            <w:r w:rsidRPr="00491560">
              <w:rPr>
                <w:rFonts w:ascii="Calibri" w:eastAsia="Calibri" w:hAnsi="Calibri" w:cs="Times New Roman"/>
                <w:color w:val="000000"/>
                <w:sz w:val="20"/>
                <w:szCs w:val="20"/>
                <w:lang w:bidi="pl-PL"/>
              </w:rPr>
              <w:t>aiminotransferaz</w:t>
            </w:r>
            <w:proofErr w:type="spellEnd"/>
            <w:r w:rsidRPr="00491560">
              <w:rPr>
                <w:rFonts w:ascii="Calibri" w:eastAsia="Calibri" w:hAnsi="Calibri" w:cs="Times New Roman"/>
                <w:color w:val="000000"/>
                <w:sz w:val="20"/>
                <w:szCs w:val="20"/>
                <w:lang w:bidi="pl-PL"/>
              </w:rPr>
              <w:t xml:space="preserve"> w surowicy oraz innych wskaźników koniecznych do określenia kat. niewydolności wątroby wg </w:t>
            </w:r>
            <w:proofErr w:type="spellStart"/>
            <w:r w:rsidRPr="00491560">
              <w:rPr>
                <w:rFonts w:ascii="Calibri" w:eastAsia="Calibri" w:hAnsi="Calibri" w:cs="Times New Roman"/>
                <w:color w:val="000000"/>
                <w:sz w:val="20"/>
                <w:szCs w:val="20"/>
                <w:lang w:bidi="pl-PL"/>
              </w:rPr>
              <w:t>ChildPugh</w:t>
            </w:r>
            <w:proofErr w:type="spellEnd"/>
            <w:r w:rsidRPr="00491560">
              <w:rPr>
                <w:rFonts w:ascii="Calibri" w:eastAsia="Calibri" w:hAnsi="Calibri" w:cs="Times New Roman"/>
                <w:color w:val="000000"/>
                <w:sz w:val="20"/>
                <w:szCs w:val="20"/>
                <w:lang w:bidi="pl-PL"/>
              </w:rPr>
              <w:t xml:space="preserve"> przed rozpoczęciem leczenia;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1"/>
              </w:numPr>
              <w:spacing w:after="0" w:line="252" w:lineRule="exact"/>
              <w:ind w:left="458" w:right="1020" w:hanging="360"/>
              <w:rPr>
                <w:rFonts w:ascii="Calibri" w:eastAsia="Calibri" w:hAnsi="Calibri" w:cs="Times New Roman"/>
                <w:color w:val="000000"/>
                <w:sz w:val="20"/>
                <w:szCs w:val="20"/>
                <w:lang w:bidi="pl-PL"/>
              </w:rPr>
            </w:pPr>
            <w:r w:rsidRPr="00491560">
              <w:rPr>
                <w:rFonts w:ascii="Calibri" w:eastAsia="Calibri" w:hAnsi="Calibri" w:cs="Times New Roman"/>
                <w:color w:val="000000"/>
                <w:sz w:val="20"/>
                <w:szCs w:val="20"/>
                <w:lang w:bidi="pl-PL"/>
              </w:rPr>
              <w:t>Scyntygrafia kośćca (jeżeli nie była wykonana wcześniej);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1"/>
              </w:numPr>
              <w:spacing w:after="0" w:line="252" w:lineRule="exact"/>
              <w:ind w:left="458" w:right="1020" w:hanging="360"/>
              <w:rPr>
                <w:rFonts w:ascii="Calibri" w:eastAsia="Calibri" w:hAnsi="Calibri" w:cs="Times New Roman"/>
                <w:color w:val="000000"/>
                <w:sz w:val="20"/>
                <w:szCs w:val="20"/>
                <w:lang w:bidi="pl-PL"/>
              </w:rPr>
            </w:pPr>
            <w:r w:rsidRPr="00491560">
              <w:rPr>
                <w:rFonts w:ascii="Calibri" w:eastAsia="Calibri" w:hAnsi="Calibri" w:cs="Times New Roman"/>
                <w:color w:val="000000"/>
                <w:sz w:val="20"/>
                <w:szCs w:val="20"/>
                <w:lang w:bidi="pl-PL"/>
              </w:rPr>
              <w:t>Obrazowanie (</w:t>
            </w:r>
            <w:proofErr w:type="spellStart"/>
            <w:r w:rsidRPr="00491560">
              <w:rPr>
                <w:rFonts w:ascii="Calibri" w:eastAsia="Calibri" w:hAnsi="Calibri" w:cs="Times New Roman"/>
                <w:color w:val="000000"/>
                <w:sz w:val="20"/>
                <w:szCs w:val="20"/>
                <w:lang w:bidi="pl-PL"/>
              </w:rPr>
              <w:t>rentgenografiia</w:t>
            </w:r>
            <w:proofErr w:type="spellEnd"/>
            <w:r w:rsidRPr="00491560">
              <w:rPr>
                <w:rFonts w:ascii="Calibri" w:eastAsia="Calibri" w:hAnsi="Calibri" w:cs="Times New Roman"/>
                <w:color w:val="000000"/>
                <w:sz w:val="20"/>
                <w:szCs w:val="20"/>
                <w:lang w:bidi="pl-PL"/>
              </w:rPr>
              <w:t xml:space="preserve"> lub tomografia komputerowa lub rezonans magnetyczny) w zależności od sytuacji klinicznej;</w:t>
            </w:r>
          </w:p>
          <w:p w:rsidR="00491560" w:rsidRPr="00491560" w:rsidRDefault="00491560" w:rsidP="00491560">
            <w:pPr>
              <w:spacing w:after="0" w:line="276" w:lineRule="auto"/>
              <w:ind w:left="458" w:hanging="360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6)</w:t>
            </w:r>
            <w:r w:rsidRPr="00491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ab/>
              <w:t>Oznaczenie stężenia PSA i testosteronu.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458"/>
              <w:contextualSpacing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 leczenia</w:t>
            </w:r>
          </w:p>
          <w:p w:rsidR="00491560" w:rsidRPr="00491560" w:rsidRDefault="00491560" w:rsidP="0049156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3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Zawsze w przypadku wskazań klinicznych: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Oznaczenie stężenia </w:t>
            </w:r>
            <w:r w:rsidRPr="0049156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PSA co 3 miesiące;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2"/>
              </w:numPr>
              <w:spacing w:after="0" w:line="256" w:lineRule="exact"/>
              <w:ind w:left="458" w:right="520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91560">
              <w:rPr>
                <w:rFonts w:ascii="Calibri" w:eastAsia="Calibri" w:hAnsi="Calibri" w:cs="Times New Roman"/>
                <w:color w:val="000000"/>
                <w:sz w:val="18"/>
                <w:szCs w:val="18"/>
                <w:lang w:bidi="pl-PL"/>
              </w:rPr>
              <w:t xml:space="preserve"> Obrazowanie w zależności od badania wykonanego przy kwalifikacji;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Ocena aktywności </w:t>
            </w:r>
            <w:proofErr w:type="spellStart"/>
            <w:r w:rsidRPr="0049156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aminotransferaz</w:t>
            </w:r>
            <w:proofErr w:type="spellEnd"/>
            <w:r w:rsidRPr="0049156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surowicy co dwa tygodnie przez pierwsze trzy miesiące leczenia a następnie co miesiąc;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>Inne badania w zależności od sytuacji klinicznej;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Scyntygrafia po 6 miesiącach od włączania do programu lub wcześniej, w przypadku stwierdzenia progresji klinicznej, na podstawie kryteriów zawartych w kryteriach progresji.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spacing w:before="120" w:after="0" w:line="240" w:lineRule="auto"/>
              <w:contextualSpacing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Leczenie opornego na kastrację raka gruczołu krokowego octanem </w:t>
            </w:r>
            <w:proofErr w:type="spellStart"/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abirateronu</w:t>
            </w:r>
            <w:proofErr w:type="spellEnd"/>
          </w:p>
          <w:p w:rsidR="00491560" w:rsidRPr="00491560" w:rsidRDefault="00491560" w:rsidP="00491560">
            <w:pPr>
              <w:widowControl w:val="0"/>
              <w:numPr>
                <w:ilvl w:val="1"/>
                <w:numId w:val="30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17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proofErr w:type="spellStart"/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Badania</w:t>
            </w:r>
            <w:proofErr w:type="spellEnd"/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przy</w:t>
            </w:r>
            <w:proofErr w:type="spellEnd"/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kwalifikacji</w:t>
            </w:r>
            <w:proofErr w:type="spellEnd"/>
          </w:p>
          <w:p w:rsidR="00491560" w:rsidRPr="00491560" w:rsidRDefault="00491560" w:rsidP="00491560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Histologicznie lub cytologicznie potwierdzone rozpoznanie raka gruczołu krokowego;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Ocena aktywności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aminotransferaz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 surowicy oraz innych wskaźników koniecznych do określenia kat. niewydolności wątroby wg Child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Pugh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przed rozpoczęciem leczenia;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Scyntygrafia kośćca (jeżeli nie była wykonana wcześniej);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Obrazowanie (rentgenografia lub tomografia komputerowa lub rezonans magnetyczny) w zależności od sytuacji klinicznej;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Oznaczenie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stężenia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 xml:space="preserve"> PSA.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before="120" w:after="0" w:line="240" w:lineRule="auto"/>
              <w:ind w:left="317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proofErr w:type="spellStart"/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Monitorowanie</w:t>
            </w:r>
            <w:proofErr w:type="spellEnd"/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leczenia</w:t>
            </w:r>
            <w:proofErr w:type="spellEnd"/>
          </w:p>
          <w:p w:rsidR="00491560" w:rsidRPr="00491560" w:rsidRDefault="00491560" w:rsidP="004915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uto"/>
              <w:ind w:left="36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Zawsze w przypadku wskazań klinicznych</w:t>
            </w: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: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PSA co 3 miesiące;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Obrazowanie w zależności od badania wykonanego przy kwalifikacji;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Ocena aktywności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aminotransferaz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 surowicy co dwa tygodnie przez pierwsze trzy miesiące leczenia a następnie co miesiąc;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Inne badania w zależności od sytuacji klinicznej;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3" w:hanging="357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Scyntygrafia po 6 miesiącach od włączenia do programu lub w przypadku stwierdzenia progresji klinicznej, na podstawie kryteriów zawartych w kryteriach progresji.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240" w:after="0" w:line="240" w:lineRule="auto"/>
              <w:ind w:left="357" w:hanging="357"/>
              <w:contextualSpacing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Leczenie opornego na kastrację raka gruczołu krokowego </w:t>
            </w:r>
            <w:proofErr w:type="spellStart"/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enzalutamidem</w:t>
            </w:r>
            <w:proofErr w:type="spellEnd"/>
          </w:p>
          <w:p w:rsidR="00491560" w:rsidRPr="00491560" w:rsidRDefault="00491560" w:rsidP="00491560">
            <w:pPr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52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Badania przy kwalifikacji</w:t>
            </w:r>
          </w:p>
          <w:p w:rsidR="00491560" w:rsidRPr="00491560" w:rsidRDefault="00491560" w:rsidP="0049156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histologiczne  potwierdzenie rozpoznania raka gruczołu krokowego</w:t>
            </w: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;</w:t>
            </w:r>
          </w:p>
          <w:p w:rsidR="00491560" w:rsidRPr="00491560" w:rsidRDefault="00491560" w:rsidP="0049156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lastRenderedPageBreak/>
              <w:t xml:space="preserve">oznaczenie aktywności </w:t>
            </w:r>
            <w:proofErr w:type="spellStart"/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AlAT</w:t>
            </w:r>
            <w:proofErr w:type="spellEnd"/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AspAT</w:t>
            </w:r>
            <w:proofErr w:type="spellEnd"/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i stężenia bilirubiny w surowicy, albumin, INR, oznaczenie stężenia wapnia w surowicy;</w:t>
            </w:r>
          </w:p>
          <w:p w:rsidR="00491560" w:rsidRPr="00491560" w:rsidRDefault="00491560" w:rsidP="0049156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stężenia kreatyniny;</w:t>
            </w:r>
          </w:p>
          <w:p w:rsidR="00491560" w:rsidRPr="00491560" w:rsidRDefault="00491560" w:rsidP="0049156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stężenia testosteronu;</w:t>
            </w:r>
          </w:p>
          <w:p w:rsidR="00491560" w:rsidRPr="00491560" w:rsidRDefault="00491560" w:rsidP="0049156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stężenia PSA;</w:t>
            </w:r>
          </w:p>
          <w:p w:rsidR="00491560" w:rsidRPr="00491560" w:rsidRDefault="00491560" w:rsidP="0049156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scyntygrafia kośćca (jeżeli nie była wykonywana w ciągu ostatnich 6 miesięcy);</w:t>
            </w:r>
          </w:p>
          <w:p w:rsidR="00491560" w:rsidRPr="00491560" w:rsidRDefault="00491560" w:rsidP="0049156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badania obrazowe </w:t>
            </w: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(tomografia komputerowa lub rezonans magnetyczny)</w:t>
            </w: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: klatki piersiowej, jamy brzusznej i miednicy. </w:t>
            </w:r>
          </w:p>
          <w:p w:rsidR="00491560" w:rsidRPr="00491560" w:rsidRDefault="00491560" w:rsidP="00491560">
            <w:pPr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51" w:hanging="357"/>
              <w:contextualSpacing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Monitorowanie leczenia</w:t>
            </w:r>
          </w:p>
          <w:p w:rsidR="00491560" w:rsidRPr="00491560" w:rsidRDefault="00491560" w:rsidP="00491560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ocena stanu klinicznego;</w:t>
            </w:r>
          </w:p>
          <w:p w:rsidR="00491560" w:rsidRPr="00491560" w:rsidRDefault="00491560" w:rsidP="00491560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badanie poziomu testosteronu co 3 miesiące;</w:t>
            </w:r>
          </w:p>
          <w:p w:rsidR="00491560" w:rsidRPr="00491560" w:rsidRDefault="00491560" w:rsidP="00491560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stężenia PSA co 3 miesiące, w przypadku zwiększenia stężenia, kolejne oznaczenia PSA w celu wykluczenia progresji biochemicznej wykonywać co 28-30 dni;</w:t>
            </w:r>
          </w:p>
          <w:p w:rsidR="00491560" w:rsidRPr="00491560" w:rsidRDefault="00491560" w:rsidP="00491560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scyntygrafia nie rzadziej niż co 6 miesięcy lub w przypadku wskazań klinicznych (w przypadku podejrzenia progresji w postaci nowych ognisk stwierdzanych w pierwszym badaniu w trakcie leczenia konieczne jest wykonanie badania kontrolnego po kolejnych ≥6 tygodniach);</w:t>
            </w:r>
          </w:p>
          <w:p w:rsidR="00491560" w:rsidRPr="00491560" w:rsidRDefault="00491560" w:rsidP="00491560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494" w:hanging="425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inne badania w zależności od sytuacji klinicznej i wyjściowej lokalizacji przerzutów, badania oceniające odpowiedź wg RECIST (z wyjątkiem scyntygrafii kości) powinny być wykonywane nie rzadziej niż co 3 miesiące.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Leczenie opornego na kastrację raka gruczołu krokowego </w:t>
            </w:r>
            <w:proofErr w:type="spellStart"/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dichlorkiem</w:t>
            </w:r>
            <w:proofErr w:type="spellEnd"/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radu Ra-223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12" w:hanging="357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Badania przy kwalifikacji 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Badania laboratoryjne wykonuje się maksymalnie na 2 tygodnie przed kwalifikacją do programu, badania obrazowe (z wyjątkiem scyntygrafii) na 2 miesiące przed kwalifikacją do programu, scyntygrafię wykonuje się maksymalnie na 3 miesiące przed kwalifikacją pacjenta do programu.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17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W ramach kwalifikacji pacjenta do programu wykonuje się </w:t>
            </w: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lastRenderedPageBreak/>
              <w:t>następujące badania: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 krwi z rozmazem;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PSA;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w surowicy stężenia: bilirubiny, kreatyniny, fosfatazy alkalicznej, testosteronu;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w surowicy aktywności transaminaz (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AspAT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AlAT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scyntygrafia kości;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tomografia komputerowa jamy brzusznej i miednicy;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rtg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tomografia komputerowa klatki piersiowej.</w:t>
            </w:r>
          </w:p>
          <w:p w:rsidR="00491560" w:rsidRPr="00491560" w:rsidRDefault="00491560" w:rsidP="00491560">
            <w:pPr>
              <w:widowControl w:val="0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317"/>
              <w:contextualSpacing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Monitorowanie leczenia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W ramach monitorowania leczenia w programie </w:t>
            </w: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każdorazowo przed podaniem kolejnej dawki leku </w:t>
            </w:r>
            <w:r w:rsidRPr="0049156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wykonuje się następujące badania: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 krwi z rozmazem,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oznaczenie w surowicy stężenia bilirubiny, kreatyniny, fosfatazy alkalicznej, 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w surowicy aktywności transaminaz (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AspAT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AlAT</w:t>
            </w:r>
            <w:proofErr w:type="spellEnd"/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),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88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PSA.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 zakończeniu leczenia w programie, w okresie 4-8 tygodni od momentu podania ostatniej dawki leku, jednorazowo wykonuje się badania określone w pkt 1).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Inne badania w razie wskazań klinicznych, zgodnie z decyzją lekarza prowadzącego.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 programu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Uzupełnianie danych zawartych w rejestrze (SMPT) dostępnym za pomocą aplikacji internetowej udostępnionej przez OW NFZ, z częstotliwością zgodną z opisem programu oraz na zakończenie leczenia;</w:t>
            </w:r>
          </w:p>
          <w:p w:rsidR="00491560" w:rsidRPr="00491560" w:rsidRDefault="00491560" w:rsidP="00491560">
            <w:pPr>
              <w:widowControl w:val="0"/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8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Przekazywanie informacji sprawozdawczo-rozliczeniowych do NFZ: informacje przekazuje się do NFZ w formie papierowej lub w formie elektronicznej, zgodnie z wymaganiami opublikowanymi przez </w:t>
            </w:r>
            <w:r w:rsidRPr="0049156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Narodowy Fundusz Zdrowia.</w:t>
            </w:r>
          </w:p>
        </w:tc>
      </w:tr>
      <w:bookmarkEnd w:id="0"/>
    </w:tbl>
    <w:p w:rsidR="00491560" w:rsidRPr="00491560" w:rsidRDefault="00491560" w:rsidP="00491560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4"/>
          <w:szCs w:val="20"/>
        </w:rPr>
      </w:pPr>
    </w:p>
    <w:p w:rsidR="00491560" w:rsidRPr="00491560" w:rsidRDefault="00491560" w:rsidP="00491560">
      <w:pPr>
        <w:autoSpaceDE w:val="0"/>
        <w:autoSpaceDN w:val="0"/>
        <w:adjustRightInd w:val="0"/>
        <w:spacing w:after="240" w:line="360" w:lineRule="auto"/>
        <w:rPr>
          <w:rFonts w:ascii="Arial" w:eastAsia="Times New Roman" w:hAnsi="Arial" w:cs="Arial"/>
          <w:szCs w:val="24"/>
          <w:lang w:eastAsia="pl-PL"/>
        </w:rPr>
      </w:pPr>
    </w:p>
    <w:p w:rsidR="00A06AAE" w:rsidRDefault="00A06AAE"/>
    <w:sectPr w:rsidR="00A06AAE" w:rsidSect="003A3748"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26F" w:rsidRDefault="008121D5">
      <w:pPr>
        <w:spacing w:after="0" w:line="240" w:lineRule="auto"/>
      </w:pPr>
      <w:r>
        <w:separator/>
      </w:r>
    </w:p>
  </w:endnote>
  <w:endnote w:type="continuationSeparator" w:id="0">
    <w:p w:rsidR="003E526F" w:rsidRDefault="0081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26F" w:rsidRDefault="008121D5">
      <w:pPr>
        <w:spacing w:after="0" w:line="240" w:lineRule="auto"/>
      </w:pPr>
      <w:r>
        <w:separator/>
      </w:r>
    </w:p>
  </w:footnote>
  <w:footnote w:type="continuationSeparator" w:id="0">
    <w:p w:rsidR="003E526F" w:rsidRDefault="00812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7FCD"/>
    <w:multiLevelType w:val="multilevel"/>
    <w:tmpl w:val="A024EDF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55655DE"/>
    <w:multiLevelType w:val="multilevel"/>
    <w:tmpl w:val="DC0EAD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295980"/>
    <w:multiLevelType w:val="hybridMultilevel"/>
    <w:tmpl w:val="04BAA4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3B0ECB"/>
    <w:multiLevelType w:val="hybridMultilevel"/>
    <w:tmpl w:val="854AE1D6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3D14BF"/>
    <w:multiLevelType w:val="hybridMultilevel"/>
    <w:tmpl w:val="1974C8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2321B"/>
    <w:multiLevelType w:val="hybridMultilevel"/>
    <w:tmpl w:val="5CFEDF7A"/>
    <w:lvl w:ilvl="0" w:tplc="5BDA192E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B57046B"/>
    <w:multiLevelType w:val="hybridMultilevel"/>
    <w:tmpl w:val="5C2ED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37D34"/>
    <w:multiLevelType w:val="multilevel"/>
    <w:tmpl w:val="2D22D9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C2B590D"/>
    <w:multiLevelType w:val="hybridMultilevel"/>
    <w:tmpl w:val="41CEE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F1FFE"/>
    <w:multiLevelType w:val="hybridMultilevel"/>
    <w:tmpl w:val="FAAA0E88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E1151A"/>
    <w:multiLevelType w:val="hybridMultilevel"/>
    <w:tmpl w:val="F5FED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613E"/>
    <w:multiLevelType w:val="hybridMultilevel"/>
    <w:tmpl w:val="947E1116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E226C0"/>
    <w:multiLevelType w:val="hybridMultilevel"/>
    <w:tmpl w:val="A6105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05D5D"/>
    <w:multiLevelType w:val="multilevel"/>
    <w:tmpl w:val="FD8EEDF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11" w:hanging="360"/>
      </w:pPr>
    </w:lvl>
    <w:lvl w:ilvl="2">
      <w:start w:val="1"/>
      <w:numFmt w:val="decimal"/>
      <w:lvlText w:val="%1.%2.%3"/>
      <w:lvlJc w:val="left"/>
      <w:pPr>
        <w:ind w:left="1422" w:hanging="720"/>
      </w:pPr>
    </w:lvl>
    <w:lvl w:ilvl="3">
      <w:start w:val="1"/>
      <w:numFmt w:val="decimal"/>
      <w:lvlText w:val="%1.%2.%3.%4"/>
      <w:lvlJc w:val="left"/>
      <w:pPr>
        <w:ind w:left="1773" w:hanging="720"/>
      </w:pPr>
    </w:lvl>
    <w:lvl w:ilvl="4">
      <w:start w:val="1"/>
      <w:numFmt w:val="decimal"/>
      <w:lvlText w:val="%1.%2.%3.%4.%5"/>
      <w:lvlJc w:val="left"/>
      <w:pPr>
        <w:ind w:left="2124" w:hanging="720"/>
      </w:pPr>
    </w:lvl>
    <w:lvl w:ilvl="5">
      <w:start w:val="1"/>
      <w:numFmt w:val="decimal"/>
      <w:lvlText w:val="%1.%2.%3.%4.%5.%6"/>
      <w:lvlJc w:val="left"/>
      <w:pPr>
        <w:ind w:left="2835" w:hanging="1080"/>
      </w:pPr>
    </w:lvl>
    <w:lvl w:ilvl="6">
      <w:start w:val="1"/>
      <w:numFmt w:val="decimal"/>
      <w:lvlText w:val="%1.%2.%3.%4.%5.%6.%7"/>
      <w:lvlJc w:val="left"/>
      <w:pPr>
        <w:ind w:left="3186" w:hanging="1080"/>
      </w:pPr>
    </w:lvl>
    <w:lvl w:ilvl="7">
      <w:start w:val="1"/>
      <w:numFmt w:val="decimal"/>
      <w:lvlText w:val="%1.%2.%3.%4.%5.%6.%7.%8"/>
      <w:lvlJc w:val="left"/>
      <w:pPr>
        <w:ind w:left="3897" w:hanging="1440"/>
      </w:pPr>
    </w:lvl>
    <w:lvl w:ilvl="8">
      <w:start w:val="1"/>
      <w:numFmt w:val="decimal"/>
      <w:lvlText w:val="%1.%2.%3.%4.%5.%6.%7.%8.%9"/>
      <w:lvlJc w:val="left"/>
      <w:pPr>
        <w:ind w:left="4248" w:hanging="1440"/>
      </w:pPr>
    </w:lvl>
  </w:abstractNum>
  <w:abstractNum w:abstractNumId="14" w15:restartNumberingAfterBreak="0">
    <w:nsid w:val="2F9943C8"/>
    <w:multiLevelType w:val="hybridMultilevel"/>
    <w:tmpl w:val="8580DF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C952EE"/>
    <w:multiLevelType w:val="multilevel"/>
    <w:tmpl w:val="98322D8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16" w:hanging="360"/>
      </w:pPr>
    </w:lvl>
    <w:lvl w:ilvl="2">
      <w:start w:val="1"/>
      <w:numFmt w:val="decimal"/>
      <w:lvlText w:val="%1.%2.%3."/>
      <w:lvlJc w:val="left"/>
      <w:pPr>
        <w:ind w:left="632" w:hanging="720"/>
      </w:pPr>
    </w:lvl>
    <w:lvl w:ilvl="3">
      <w:start w:val="1"/>
      <w:numFmt w:val="decimal"/>
      <w:lvlText w:val="%1.%2.%3.%4."/>
      <w:lvlJc w:val="left"/>
      <w:pPr>
        <w:ind w:left="588" w:hanging="720"/>
      </w:pPr>
    </w:lvl>
    <w:lvl w:ilvl="4">
      <w:start w:val="1"/>
      <w:numFmt w:val="decimal"/>
      <w:lvlText w:val="%1.%2.%3.%4.%5."/>
      <w:lvlJc w:val="left"/>
      <w:pPr>
        <w:ind w:left="904" w:hanging="1080"/>
      </w:pPr>
    </w:lvl>
    <w:lvl w:ilvl="5">
      <w:start w:val="1"/>
      <w:numFmt w:val="decimal"/>
      <w:lvlText w:val="%1.%2.%3.%4.%5.%6."/>
      <w:lvlJc w:val="left"/>
      <w:pPr>
        <w:ind w:left="860" w:hanging="1080"/>
      </w:pPr>
    </w:lvl>
    <w:lvl w:ilvl="6">
      <w:start w:val="1"/>
      <w:numFmt w:val="decimal"/>
      <w:lvlText w:val="%1.%2.%3.%4.%5.%6.%7."/>
      <w:lvlJc w:val="left"/>
      <w:pPr>
        <w:ind w:left="1176" w:hanging="1440"/>
      </w:pPr>
    </w:lvl>
    <w:lvl w:ilvl="7">
      <w:start w:val="1"/>
      <w:numFmt w:val="decimal"/>
      <w:lvlText w:val="%1.%2.%3.%4.%5.%6.%7.%8."/>
      <w:lvlJc w:val="left"/>
      <w:pPr>
        <w:ind w:left="1132" w:hanging="1440"/>
      </w:pPr>
    </w:lvl>
    <w:lvl w:ilvl="8">
      <w:start w:val="1"/>
      <w:numFmt w:val="decimal"/>
      <w:lvlText w:val="%1.%2.%3.%4.%5.%6.%7.%8.%9."/>
      <w:lvlJc w:val="left"/>
      <w:pPr>
        <w:ind w:left="1448" w:hanging="1800"/>
      </w:pPr>
    </w:lvl>
  </w:abstractNum>
  <w:abstractNum w:abstractNumId="16" w15:restartNumberingAfterBreak="0">
    <w:nsid w:val="334771FC"/>
    <w:multiLevelType w:val="hybridMultilevel"/>
    <w:tmpl w:val="02220B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7BF84B36">
      <w:start w:val="1"/>
      <w:numFmt w:val="decimal"/>
      <w:lvlText w:val="%2."/>
      <w:lvlJc w:val="left"/>
      <w:pPr>
        <w:ind w:left="121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04344D"/>
    <w:multiLevelType w:val="hybridMultilevel"/>
    <w:tmpl w:val="3BD47C8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F06DAC"/>
    <w:multiLevelType w:val="hybridMultilevel"/>
    <w:tmpl w:val="D85A8F50"/>
    <w:lvl w:ilvl="0" w:tplc="EC60CD76">
      <w:start w:val="1"/>
      <w:numFmt w:val="decimal"/>
      <w:lvlText w:val="%1)"/>
      <w:lvlJc w:val="left"/>
      <w:pPr>
        <w:ind w:left="720" w:hanging="360"/>
      </w:pPr>
      <w:rPr>
        <w:color w:val="00000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07410"/>
    <w:multiLevelType w:val="hybridMultilevel"/>
    <w:tmpl w:val="1B82BF3E"/>
    <w:lvl w:ilvl="0" w:tplc="C35E9C0C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C1070D"/>
    <w:multiLevelType w:val="multilevel"/>
    <w:tmpl w:val="F6E08DC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42C9597A"/>
    <w:multiLevelType w:val="hybridMultilevel"/>
    <w:tmpl w:val="442CD9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C22523"/>
    <w:multiLevelType w:val="hybridMultilevel"/>
    <w:tmpl w:val="0B80A7C0"/>
    <w:lvl w:ilvl="0" w:tplc="2260478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A20AF"/>
    <w:multiLevelType w:val="hybridMultilevel"/>
    <w:tmpl w:val="02967C8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B511A94"/>
    <w:multiLevelType w:val="hybridMultilevel"/>
    <w:tmpl w:val="6C22B0DE"/>
    <w:lvl w:ilvl="0" w:tplc="17928388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EB71922"/>
    <w:multiLevelType w:val="hybridMultilevel"/>
    <w:tmpl w:val="8BC8F340"/>
    <w:lvl w:ilvl="0" w:tplc="76F4DDB8">
      <w:start w:val="1"/>
      <w:numFmt w:val="lowerLetter"/>
      <w:lvlText w:val="%1)"/>
      <w:lvlJc w:val="left"/>
      <w:pPr>
        <w:ind w:left="120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6" w15:restartNumberingAfterBreak="0">
    <w:nsid w:val="51544138"/>
    <w:multiLevelType w:val="hybridMultilevel"/>
    <w:tmpl w:val="9A78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373984"/>
    <w:multiLevelType w:val="multilevel"/>
    <w:tmpl w:val="EAF8ECBA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8341483"/>
    <w:multiLevelType w:val="multilevel"/>
    <w:tmpl w:val="65D411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2784" w:hanging="108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3712" w:hanging="1440"/>
      </w:pPr>
    </w:lvl>
  </w:abstractNum>
  <w:abstractNum w:abstractNumId="29" w15:restartNumberingAfterBreak="0">
    <w:nsid w:val="5C544035"/>
    <w:multiLevelType w:val="hybridMultilevel"/>
    <w:tmpl w:val="070C9734"/>
    <w:lvl w:ilvl="0" w:tplc="62DC0E5A">
      <w:start w:val="1"/>
      <w:numFmt w:val="decimal"/>
      <w:lvlText w:val="%1)"/>
      <w:lvlJc w:val="left"/>
      <w:pPr>
        <w:ind w:left="360" w:hanging="360"/>
      </w:pPr>
    </w:lvl>
    <w:lvl w:ilvl="1" w:tplc="E30AB33E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B74B21"/>
    <w:multiLevelType w:val="hybridMultilevel"/>
    <w:tmpl w:val="CB82CC2E"/>
    <w:lvl w:ilvl="0" w:tplc="4DCE3F18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31" w15:restartNumberingAfterBreak="0">
    <w:nsid w:val="653A3E71"/>
    <w:multiLevelType w:val="hybridMultilevel"/>
    <w:tmpl w:val="578044A8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8C00B6"/>
    <w:multiLevelType w:val="multilevel"/>
    <w:tmpl w:val="3106307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69F4796C"/>
    <w:multiLevelType w:val="hybridMultilevel"/>
    <w:tmpl w:val="FCF83DFE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4D735C"/>
    <w:multiLevelType w:val="hybridMultilevel"/>
    <w:tmpl w:val="6CBCE4C6"/>
    <w:lvl w:ilvl="0" w:tplc="CB66A910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E7008A4"/>
    <w:multiLevelType w:val="hybridMultilevel"/>
    <w:tmpl w:val="8806C488"/>
    <w:lvl w:ilvl="0" w:tplc="23B2B30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C019D2"/>
    <w:multiLevelType w:val="multilevel"/>
    <w:tmpl w:val="A3DCBB66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644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b/>
      </w:rPr>
    </w:lvl>
  </w:abstractNum>
  <w:abstractNum w:abstractNumId="37" w15:restartNumberingAfterBreak="0">
    <w:nsid w:val="75631AD0"/>
    <w:multiLevelType w:val="hybridMultilevel"/>
    <w:tmpl w:val="CB4258FE"/>
    <w:lvl w:ilvl="0" w:tplc="62DC0E5A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71186C"/>
    <w:multiLevelType w:val="hybridMultilevel"/>
    <w:tmpl w:val="2F5433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E30AB33E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68A5685"/>
    <w:multiLevelType w:val="hybridMultilevel"/>
    <w:tmpl w:val="5E044972"/>
    <w:lvl w:ilvl="0" w:tplc="A1C8E78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A41723C"/>
    <w:multiLevelType w:val="hybridMultilevel"/>
    <w:tmpl w:val="6276BF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71765A"/>
    <w:multiLevelType w:val="multilevel"/>
    <w:tmpl w:val="705616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3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560"/>
    <w:rsid w:val="003A3748"/>
    <w:rsid w:val="003E526F"/>
    <w:rsid w:val="00491560"/>
    <w:rsid w:val="008121D5"/>
    <w:rsid w:val="00A06AAE"/>
    <w:rsid w:val="00B17670"/>
    <w:rsid w:val="00C4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EBDBDA-CEBC-4899-AE6C-AEF5D8B8E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60"/>
  </w:style>
  <w:style w:type="paragraph" w:styleId="Stopka">
    <w:name w:val="footer"/>
    <w:basedOn w:val="Normalny"/>
    <w:link w:val="Stopka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3598</Words>
  <Characters>21589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Amanowicz Marcin</cp:lastModifiedBy>
  <cp:revision>4</cp:revision>
  <dcterms:created xsi:type="dcterms:W3CDTF">2017-12-08T10:48:00Z</dcterms:created>
  <dcterms:modified xsi:type="dcterms:W3CDTF">2017-12-15T11:13:00Z</dcterms:modified>
</cp:coreProperties>
</file>