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1FD" w:rsidRDefault="00F729FE" w:rsidP="006501FD">
      <w:pPr>
        <w:tabs>
          <w:tab w:val="left" w:pos="5865"/>
        </w:tabs>
        <w:spacing w:after="0" w:line="240" w:lineRule="auto"/>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Załącznik B.99</w:t>
      </w:r>
      <w:r w:rsidR="006501FD" w:rsidRPr="006501FD">
        <w:rPr>
          <w:rFonts w:ascii="Times New Roman" w:eastAsia="Times New Roman" w:hAnsi="Times New Roman" w:cs="Times New Roman"/>
          <w:szCs w:val="20"/>
          <w:lang w:eastAsia="pl-PL"/>
        </w:rPr>
        <w:t>.</w:t>
      </w:r>
    </w:p>
    <w:p w:rsidR="006501FD" w:rsidRPr="006501FD" w:rsidRDefault="006501FD" w:rsidP="006501FD">
      <w:pPr>
        <w:tabs>
          <w:tab w:val="left" w:pos="5865"/>
        </w:tabs>
        <w:spacing w:after="0" w:line="240" w:lineRule="auto"/>
        <w:jc w:val="both"/>
        <w:rPr>
          <w:rFonts w:ascii="Times New Roman" w:eastAsia="Times New Roman" w:hAnsi="Times New Roman" w:cs="Times New Roman"/>
          <w:b/>
          <w:lang w:eastAsia="pl-PL"/>
        </w:rPr>
      </w:pPr>
    </w:p>
    <w:p w:rsidR="009B6E4C" w:rsidRPr="009B6E4C" w:rsidRDefault="009B6E4C" w:rsidP="006501FD">
      <w:pPr>
        <w:tabs>
          <w:tab w:val="left" w:pos="5865"/>
        </w:tabs>
        <w:spacing w:after="240" w:line="240" w:lineRule="auto"/>
        <w:jc w:val="both"/>
        <w:rPr>
          <w:rFonts w:ascii="Times New Roman" w:eastAsia="Times New Roman" w:hAnsi="Times New Roman" w:cs="Times New Roman"/>
          <w:b/>
          <w:sz w:val="28"/>
          <w:szCs w:val="24"/>
          <w:lang w:eastAsia="pl-PL"/>
        </w:rPr>
      </w:pPr>
      <w:r w:rsidRPr="009B6E4C">
        <w:rPr>
          <w:rFonts w:ascii="Times New Roman" w:eastAsia="Times New Roman" w:hAnsi="Times New Roman" w:cs="Times New Roman"/>
          <w:b/>
          <w:sz w:val="28"/>
          <w:szCs w:val="24"/>
          <w:lang w:eastAsia="pl-PL"/>
        </w:rPr>
        <w:t>LECZENIE</w:t>
      </w:r>
      <w:r w:rsidR="00F729FE" w:rsidRPr="00F729FE">
        <w:rPr>
          <w:rFonts w:ascii="Times New Roman" w:eastAsia="Times New Roman" w:hAnsi="Times New Roman" w:cs="Times New Roman"/>
          <w:b/>
          <w:sz w:val="28"/>
          <w:szCs w:val="24"/>
          <w:lang w:eastAsia="pl-PL"/>
        </w:rPr>
        <w:t xml:space="preserve"> AKROMEGALII PASYREOTYDEM (ICD-10 E22.0)</w:t>
      </w:r>
    </w:p>
    <w:tbl>
      <w:tblPr>
        <w:tblW w:w="5000" w:type="pct"/>
        <w:tblInd w:w="-8" w:type="dxa"/>
        <w:tblCellMar>
          <w:left w:w="70" w:type="dxa"/>
          <w:right w:w="70" w:type="dxa"/>
        </w:tblCellMar>
        <w:tblLook w:val="0000" w:firstRow="0" w:lastRow="0" w:firstColumn="0" w:lastColumn="0" w:noHBand="0" w:noVBand="0"/>
      </w:tblPr>
      <w:tblGrid>
        <w:gridCol w:w="6113"/>
        <w:gridCol w:w="4328"/>
        <w:gridCol w:w="4941"/>
      </w:tblGrid>
      <w:tr w:rsidR="00F729FE" w:rsidRPr="001116D2" w:rsidTr="00F729FE">
        <w:trPr>
          <w:trHeight w:val="407"/>
        </w:trPr>
        <w:tc>
          <w:tcPr>
            <w:tcW w:w="5000" w:type="pct"/>
            <w:gridSpan w:val="3"/>
            <w:tcBorders>
              <w:top w:val="single" w:sz="6" w:space="0" w:color="auto"/>
              <w:left w:val="single" w:sz="6" w:space="0" w:color="auto"/>
              <w:bottom w:val="nil"/>
              <w:right w:val="single" w:sz="6" w:space="0" w:color="auto"/>
            </w:tcBorders>
            <w:vAlign w:val="center"/>
          </w:tcPr>
          <w:p w:rsidR="00F729FE" w:rsidRPr="00FE4F27" w:rsidRDefault="00F729FE" w:rsidP="00F729FE">
            <w:pPr>
              <w:widowControl w:val="0"/>
              <w:spacing w:after="0"/>
              <w:jc w:val="center"/>
              <w:rPr>
                <w:rFonts w:ascii="Times New Roman" w:eastAsia="Times New Roman" w:hAnsi="Times New Roman" w:cs="Times New Roman"/>
                <w:b/>
                <w:sz w:val="20"/>
                <w:szCs w:val="20"/>
                <w:lang w:eastAsia="pl-PL"/>
              </w:rPr>
            </w:pPr>
            <w:r w:rsidRPr="00FE4F27">
              <w:rPr>
                <w:rFonts w:ascii="Times New Roman" w:eastAsia="Times New Roman" w:hAnsi="Times New Roman" w:cs="Times New Roman"/>
                <w:b/>
                <w:sz w:val="20"/>
                <w:szCs w:val="20"/>
                <w:lang w:eastAsia="pl-PL"/>
              </w:rPr>
              <w:t>ZAKRES ŚWIADCZENIA GWARANTOWANEGO</w:t>
            </w:r>
          </w:p>
        </w:tc>
      </w:tr>
      <w:tr w:rsidR="00F729FE" w:rsidRPr="001116D2" w:rsidTr="00F729FE">
        <w:trPr>
          <w:trHeight w:val="680"/>
        </w:trPr>
        <w:tc>
          <w:tcPr>
            <w:tcW w:w="1987" w:type="pct"/>
            <w:tcBorders>
              <w:top w:val="single" w:sz="6" w:space="0" w:color="auto"/>
              <w:left w:val="single" w:sz="6" w:space="0" w:color="auto"/>
              <w:bottom w:val="single" w:sz="6" w:space="0" w:color="auto"/>
              <w:right w:val="single" w:sz="6" w:space="0" w:color="auto"/>
            </w:tcBorders>
            <w:vAlign w:val="center"/>
          </w:tcPr>
          <w:p w:rsidR="00F729FE" w:rsidRPr="00FE4F27" w:rsidRDefault="00F729FE" w:rsidP="00F729FE">
            <w:pPr>
              <w:widowControl w:val="0"/>
              <w:spacing w:after="0"/>
              <w:jc w:val="center"/>
              <w:rPr>
                <w:rFonts w:ascii="Times New Roman" w:eastAsia="Times New Roman" w:hAnsi="Times New Roman" w:cs="Times New Roman"/>
                <w:b/>
                <w:sz w:val="20"/>
                <w:szCs w:val="20"/>
                <w:lang w:eastAsia="pl-PL"/>
              </w:rPr>
            </w:pPr>
            <w:r w:rsidRPr="00FE4F27">
              <w:rPr>
                <w:rFonts w:ascii="Times New Roman" w:eastAsia="Times New Roman" w:hAnsi="Times New Roman" w:cs="Times New Roman"/>
                <w:b/>
                <w:sz w:val="20"/>
                <w:szCs w:val="20"/>
                <w:lang w:eastAsia="pl-PL"/>
              </w:rPr>
              <w:t>ŚWIADCZENIOBIORCY</w:t>
            </w:r>
          </w:p>
        </w:tc>
        <w:tc>
          <w:tcPr>
            <w:tcW w:w="1407" w:type="pct"/>
            <w:tcBorders>
              <w:top w:val="single" w:sz="6" w:space="0" w:color="auto"/>
              <w:left w:val="single" w:sz="6" w:space="0" w:color="auto"/>
              <w:bottom w:val="single" w:sz="6" w:space="0" w:color="auto"/>
              <w:right w:val="single" w:sz="6" w:space="0" w:color="auto"/>
            </w:tcBorders>
            <w:vAlign w:val="center"/>
          </w:tcPr>
          <w:p w:rsidR="00F729FE" w:rsidRPr="00FE4F27" w:rsidRDefault="00F729FE" w:rsidP="00F729FE">
            <w:pPr>
              <w:widowControl w:val="0"/>
              <w:spacing w:after="0"/>
              <w:jc w:val="center"/>
              <w:rPr>
                <w:rFonts w:ascii="Times New Roman" w:eastAsia="Times New Roman" w:hAnsi="Times New Roman" w:cs="Times New Roman"/>
                <w:b/>
                <w:sz w:val="20"/>
                <w:szCs w:val="20"/>
                <w:lang w:eastAsia="pl-PL"/>
              </w:rPr>
            </w:pPr>
            <w:r w:rsidRPr="00FE4F27">
              <w:rPr>
                <w:rFonts w:ascii="Times New Roman" w:eastAsia="Times New Roman" w:hAnsi="Times New Roman" w:cs="Times New Roman"/>
                <w:b/>
                <w:sz w:val="20"/>
                <w:szCs w:val="20"/>
                <w:lang w:eastAsia="pl-PL"/>
              </w:rPr>
              <w:t>SCHEMAT DAWKOWANIA LEKÓW w PROGRAMIE</w:t>
            </w:r>
          </w:p>
        </w:tc>
        <w:tc>
          <w:tcPr>
            <w:tcW w:w="1607" w:type="pct"/>
            <w:tcBorders>
              <w:top w:val="single" w:sz="6" w:space="0" w:color="auto"/>
              <w:left w:val="single" w:sz="6" w:space="0" w:color="auto"/>
              <w:bottom w:val="single" w:sz="6" w:space="0" w:color="auto"/>
              <w:right w:val="single" w:sz="6" w:space="0" w:color="auto"/>
            </w:tcBorders>
            <w:vAlign w:val="center"/>
          </w:tcPr>
          <w:p w:rsidR="00F729FE" w:rsidRPr="00FE4F27" w:rsidRDefault="00F729FE" w:rsidP="00F729FE">
            <w:pPr>
              <w:widowControl w:val="0"/>
              <w:spacing w:after="0"/>
              <w:jc w:val="center"/>
              <w:rPr>
                <w:rFonts w:ascii="Times New Roman" w:eastAsia="Times New Roman" w:hAnsi="Times New Roman" w:cs="Times New Roman"/>
                <w:b/>
                <w:sz w:val="20"/>
                <w:szCs w:val="20"/>
                <w:lang w:eastAsia="pl-PL"/>
              </w:rPr>
            </w:pPr>
            <w:r w:rsidRPr="00FE4F27">
              <w:rPr>
                <w:rFonts w:ascii="Times New Roman" w:eastAsia="Times New Roman" w:hAnsi="Times New Roman" w:cs="Times New Roman"/>
                <w:b/>
                <w:sz w:val="20"/>
                <w:szCs w:val="20"/>
                <w:lang w:eastAsia="pl-PL"/>
              </w:rPr>
              <w:t>BADANIA DIAGNOSTYCZNE WYKONYWANE w RAMACH PROGRAMU</w:t>
            </w:r>
          </w:p>
        </w:tc>
      </w:tr>
      <w:tr w:rsidR="00F729FE" w:rsidRPr="001116D2" w:rsidTr="00F729FE">
        <w:tc>
          <w:tcPr>
            <w:tcW w:w="1987" w:type="pct"/>
            <w:tcBorders>
              <w:top w:val="single" w:sz="6" w:space="0" w:color="auto"/>
              <w:left w:val="single" w:sz="6" w:space="0" w:color="auto"/>
              <w:bottom w:val="single" w:sz="6" w:space="0" w:color="auto"/>
              <w:right w:val="single" w:sz="6" w:space="0" w:color="auto"/>
            </w:tcBorders>
          </w:tcPr>
          <w:p w:rsidR="00F729FE" w:rsidRPr="0073124E" w:rsidRDefault="00F729FE" w:rsidP="00F729FE">
            <w:pPr>
              <w:numPr>
                <w:ilvl w:val="0"/>
                <w:numId w:val="16"/>
              </w:numPr>
              <w:spacing w:before="120" w:after="120"/>
              <w:ind w:left="357" w:right="87" w:hanging="357"/>
              <w:jc w:val="both"/>
              <w:rPr>
                <w:rFonts w:ascii="Times New Roman" w:eastAsia="Times New Roman" w:hAnsi="Times New Roman"/>
                <w:b/>
                <w:sz w:val="20"/>
                <w:szCs w:val="20"/>
              </w:rPr>
            </w:pPr>
            <w:r w:rsidRPr="0073124E">
              <w:rPr>
                <w:rFonts w:ascii="Times New Roman" w:eastAsia="Times New Roman" w:hAnsi="Times New Roman"/>
                <w:b/>
                <w:sz w:val="20"/>
                <w:szCs w:val="20"/>
              </w:rPr>
              <w:t>Kryteria kwalifikacji</w:t>
            </w:r>
          </w:p>
          <w:p w:rsidR="00F729FE" w:rsidRPr="0073124E" w:rsidRDefault="00F729FE" w:rsidP="00F729FE">
            <w:pPr>
              <w:numPr>
                <w:ilvl w:val="1"/>
                <w:numId w:val="16"/>
              </w:numPr>
              <w:spacing w:after="120"/>
              <w:ind w:left="426" w:right="87"/>
              <w:jc w:val="both"/>
              <w:rPr>
                <w:rFonts w:ascii="Times New Roman" w:eastAsia="Times New Roman" w:hAnsi="Times New Roman"/>
                <w:sz w:val="20"/>
                <w:szCs w:val="20"/>
              </w:rPr>
            </w:pPr>
            <w:r w:rsidRPr="0073124E">
              <w:rPr>
                <w:rFonts w:ascii="Times New Roman" w:eastAsia="Times New Roman" w:hAnsi="Times New Roman"/>
                <w:sz w:val="20"/>
                <w:szCs w:val="20"/>
              </w:rPr>
              <w:t>dorośli chorzy, wiek co najmniej 18 lat;</w:t>
            </w:r>
          </w:p>
          <w:p w:rsidR="00F729FE" w:rsidRPr="0073124E" w:rsidRDefault="00F729FE" w:rsidP="00F729FE">
            <w:pPr>
              <w:numPr>
                <w:ilvl w:val="1"/>
                <w:numId w:val="16"/>
              </w:numPr>
              <w:spacing w:after="120"/>
              <w:ind w:left="426" w:right="87"/>
              <w:jc w:val="both"/>
              <w:rPr>
                <w:rFonts w:ascii="Times New Roman" w:eastAsia="Times New Roman" w:hAnsi="Times New Roman"/>
                <w:sz w:val="20"/>
                <w:szCs w:val="20"/>
              </w:rPr>
            </w:pPr>
            <w:r w:rsidRPr="0073124E">
              <w:rPr>
                <w:rFonts w:ascii="Times New Roman" w:eastAsia="Times New Roman" w:hAnsi="Times New Roman"/>
                <w:sz w:val="20"/>
                <w:szCs w:val="20"/>
              </w:rPr>
              <w:t>akromegalia rozpoznana na podstawie powszechnie przyjętych kryteriów klinicznych i biochemicznych;</w:t>
            </w:r>
          </w:p>
          <w:p w:rsidR="00F729FE" w:rsidRPr="0073124E" w:rsidRDefault="00F729FE" w:rsidP="00F729FE">
            <w:pPr>
              <w:numPr>
                <w:ilvl w:val="1"/>
                <w:numId w:val="16"/>
              </w:numPr>
              <w:spacing w:after="120"/>
              <w:ind w:left="426" w:right="87"/>
              <w:jc w:val="both"/>
              <w:rPr>
                <w:rFonts w:ascii="Times New Roman" w:eastAsia="Times New Roman" w:hAnsi="Times New Roman"/>
                <w:sz w:val="20"/>
                <w:szCs w:val="20"/>
              </w:rPr>
            </w:pPr>
            <w:r w:rsidRPr="0073124E">
              <w:rPr>
                <w:rFonts w:ascii="Times New Roman" w:eastAsia="Times New Roman" w:hAnsi="Times New Roman"/>
                <w:sz w:val="20"/>
                <w:szCs w:val="20"/>
              </w:rPr>
              <w:t xml:space="preserve">pacjenci, u których leczenie operacyjne (zabieg neurochirurgiczny usunięcia guza </w:t>
            </w:r>
            <w:proofErr w:type="spellStart"/>
            <w:r w:rsidRPr="0073124E">
              <w:rPr>
                <w:rFonts w:ascii="Times New Roman" w:eastAsia="Times New Roman" w:hAnsi="Times New Roman"/>
                <w:sz w:val="20"/>
                <w:szCs w:val="20"/>
              </w:rPr>
              <w:t>somatotropowego</w:t>
            </w:r>
            <w:proofErr w:type="spellEnd"/>
            <w:r w:rsidRPr="0073124E">
              <w:rPr>
                <w:rFonts w:ascii="Times New Roman" w:eastAsia="Times New Roman" w:hAnsi="Times New Roman"/>
                <w:sz w:val="20"/>
                <w:szCs w:val="20"/>
              </w:rPr>
              <w:t xml:space="preserve"> przysadki) nie doprowadziło do normalizacji stężenia GH (w doustnym teście obciążenia glukozą OGTT lub w profilu GH) oraz stężenia IGF-1 prawidłowego dla płci i wieku i którzy nie osiągnęli biochemicznej kontroli akromegalii po przynajmniej 6-cio miesięcznym okresie leczenia uzupełniającego analogami </w:t>
            </w:r>
            <w:proofErr w:type="spellStart"/>
            <w:r w:rsidRPr="0073124E">
              <w:rPr>
                <w:rFonts w:ascii="Times New Roman" w:eastAsia="Times New Roman" w:hAnsi="Times New Roman"/>
                <w:sz w:val="20"/>
                <w:szCs w:val="20"/>
              </w:rPr>
              <w:t>somatostatyny</w:t>
            </w:r>
            <w:proofErr w:type="spellEnd"/>
            <w:r w:rsidRPr="0073124E">
              <w:rPr>
                <w:rFonts w:ascii="Times New Roman" w:eastAsia="Times New Roman" w:hAnsi="Times New Roman"/>
                <w:sz w:val="20"/>
                <w:szCs w:val="20"/>
              </w:rPr>
              <w:t xml:space="preserve"> o przedłużonym działaniu tj. </w:t>
            </w:r>
            <w:proofErr w:type="spellStart"/>
            <w:r w:rsidRPr="0073124E">
              <w:rPr>
                <w:rFonts w:ascii="Times New Roman" w:eastAsia="Times New Roman" w:hAnsi="Times New Roman"/>
                <w:sz w:val="20"/>
                <w:szCs w:val="20"/>
              </w:rPr>
              <w:t>oktreotydem</w:t>
            </w:r>
            <w:proofErr w:type="spellEnd"/>
            <w:r w:rsidRPr="0073124E">
              <w:rPr>
                <w:rFonts w:ascii="Times New Roman" w:eastAsia="Times New Roman" w:hAnsi="Times New Roman"/>
                <w:sz w:val="20"/>
                <w:szCs w:val="20"/>
              </w:rPr>
              <w:t xml:space="preserve"> w dawce ≥30 mg lub </w:t>
            </w:r>
            <w:proofErr w:type="spellStart"/>
            <w:r w:rsidRPr="0073124E">
              <w:rPr>
                <w:rFonts w:ascii="Times New Roman" w:eastAsia="Times New Roman" w:hAnsi="Times New Roman"/>
                <w:sz w:val="20"/>
                <w:szCs w:val="20"/>
              </w:rPr>
              <w:t>lanreotydem</w:t>
            </w:r>
            <w:proofErr w:type="spellEnd"/>
            <w:r w:rsidRPr="0073124E">
              <w:rPr>
                <w:rFonts w:ascii="Times New Roman" w:eastAsia="Times New Roman" w:hAnsi="Times New Roman"/>
                <w:sz w:val="20"/>
                <w:szCs w:val="20"/>
              </w:rPr>
              <w:t xml:space="preserve"> w dawce 120 mg, podawanymi co 28 dni;</w:t>
            </w:r>
          </w:p>
          <w:p w:rsidR="00F729FE" w:rsidRPr="0073124E" w:rsidRDefault="00F729FE" w:rsidP="00F729FE">
            <w:pPr>
              <w:numPr>
                <w:ilvl w:val="1"/>
                <w:numId w:val="16"/>
              </w:numPr>
              <w:spacing w:after="120"/>
              <w:ind w:left="426" w:right="87"/>
              <w:jc w:val="both"/>
              <w:rPr>
                <w:rFonts w:ascii="Times New Roman" w:eastAsia="Times New Roman" w:hAnsi="Times New Roman"/>
                <w:sz w:val="20"/>
                <w:szCs w:val="20"/>
              </w:rPr>
            </w:pPr>
            <w:r w:rsidRPr="0073124E">
              <w:rPr>
                <w:rFonts w:ascii="Times New Roman" w:eastAsia="Times New Roman" w:hAnsi="Times New Roman"/>
                <w:sz w:val="20"/>
                <w:szCs w:val="20"/>
              </w:rPr>
              <w:t>pacjenci, którzy nie są kandydatami do ponownego leczenia operacyjnego (ponowna operacja w opinii specjalisty neurochirurga nie poprawi kontroli choroby lub leczenie chirurgiczne nie jest możliwe);</w:t>
            </w:r>
          </w:p>
          <w:p w:rsidR="00F729FE" w:rsidRPr="0073124E" w:rsidRDefault="00F729FE" w:rsidP="00F729FE">
            <w:pPr>
              <w:numPr>
                <w:ilvl w:val="1"/>
                <w:numId w:val="16"/>
              </w:numPr>
              <w:spacing w:after="120"/>
              <w:ind w:left="426" w:right="87"/>
              <w:jc w:val="both"/>
              <w:rPr>
                <w:rFonts w:ascii="Times New Roman" w:eastAsia="Times New Roman" w:hAnsi="Times New Roman"/>
                <w:sz w:val="20"/>
                <w:szCs w:val="20"/>
              </w:rPr>
            </w:pPr>
            <w:r w:rsidRPr="0073124E">
              <w:rPr>
                <w:rFonts w:ascii="Times New Roman" w:eastAsia="Times New Roman" w:hAnsi="Times New Roman"/>
                <w:sz w:val="20"/>
                <w:szCs w:val="20"/>
              </w:rPr>
              <w:t xml:space="preserve">pacjenci, którzy nie byli dotychczas operowani mogą być kwalifikowani do leczenia </w:t>
            </w:r>
            <w:proofErr w:type="spellStart"/>
            <w:r w:rsidRPr="0073124E">
              <w:rPr>
                <w:rFonts w:ascii="Times New Roman" w:eastAsia="Times New Roman" w:hAnsi="Times New Roman"/>
                <w:sz w:val="20"/>
                <w:szCs w:val="20"/>
              </w:rPr>
              <w:t>pasyreotydem</w:t>
            </w:r>
            <w:proofErr w:type="spellEnd"/>
            <w:r w:rsidRPr="0073124E">
              <w:rPr>
                <w:rFonts w:ascii="Times New Roman" w:eastAsia="Times New Roman" w:hAnsi="Times New Roman"/>
                <w:sz w:val="20"/>
                <w:szCs w:val="20"/>
              </w:rPr>
              <w:t xml:space="preserve"> wyłącznie w sytuacji, gdy leczenie chirurgiczne nie jest możliwe i nie uzyskano kontroli biochemicznej choroby po przynajmniej 6-cio miesięcznym okresie leczenia analogami </w:t>
            </w:r>
            <w:proofErr w:type="spellStart"/>
            <w:r w:rsidRPr="0073124E">
              <w:rPr>
                <w:rFonts w:ascii="Times New Roman" w:eastAsia="Times New Roman" w:hAnsi="Times New Roman"/>
                <w:sz w:val="20"/>
                <w:szCs w:val="20"/>
              </w:rPr>
              <w:t>somatostatyny</w:t>
            </w:r>
            <w:proofErr w:type="spellEnd"/>
            <w:r w:rsidRPr="0073124E">
              <w:rPr>
                <w:rFonts w:ascii="Times New Roman" w:eastAsia="Times New Roman" w:hAnsi="Times New Roman"/>
                <w:sz w:val="20"/>
                <w:szCs w:val="20"/>
              </w:rPr>
              <w:t xml:space="preserve"> o przedłużonym działaniu </w:t>
            </w:r>
            <w:r w:rsidRPr="0073124E">
              <w:rPr>
                <w:rFonts w:ascii="Times New Roman" w:eastAsia="Times New Roman" w:hAnsi="Times New Roman"/>
                <w:sz w:val="20"/>
                <w:szCs w:val="20"/>
              </w:rPr>
              <w:lastRenderedPageBreak/>
              <w:t>tj.</w:t>
            </w:r>
            <w:r>
              <w:rPr>
                <w:rFonts w:ascii="Times New Roman" w:eastAsia="Times New Roman" w:hAnsi="Times New Roman"/>
                <w:sz w:val="20"/>
                <w:szCs w:val="20"/>
              </w:rPr>
              <w:t> </w:t>
            </w:r>
            <w:proofErr w:type="spellStart"/>
            <w:r w:rsidRPr="0073124E">
              <w:rPr>
                <w:rFonts w:ascii="Times New Roman" w:eastAsia="Times New Roman" w:hAnsi="Times New Roman"/>
                <w:sz w:val="20"/>
                <w:szCs w:val="20"/>
              </w:rPr>
              <w:t>oktreotydem</w:t>
            </w:r>
            <w:proofErr w:type="spellEnd"/>
            <w:r w:rsidRPr="0073124E">
              <w:rPr>
                <w:rFonts w:ascii="Times New Roman" w:eastAsia="Times New Roman" w:hAnsi="Times New Roman"/>
                <w:sz w:val="20"/>
                <w:szCs w:val="20"/>
              </w:rPr>
              <w:t xml:space="preserve"> w dawce ≥30 mg lub </w:t>
            </w:r>
            <w:proofErr w:type="spellStart"/>
            <w:r w:rsidRPr="0073124E">
              <w:rPr>
                <w:rFonts w:ascii="Times New Roman" w:eastAsia="Times New Roman" w:hAnsi="Times New Roman"/>
                <w:sz w:val="20"/>
                <w:szCs w:val="20"/>
              </w:rPr>
              <w:t>lanreotydem</w:t>
            </w:r>
            <w:proofErr w:type="spellEnd"/>
            <w:r w:rsidRPr="0073124E">
              <w:rPr>
                <w:rFonts w:ascii="Times New Roman" w:eastAsia="Times New Roman" w:hAnsi="Times New Roman"/>
                <w:sz w:val="20"/>
                <w:szCs w:val="20"/>
              </w:rPr>
              <w:t xml:space="preserve"> w dawce 120 mg, podawanymi co 28 dni;</w:t>
            </w:r>
          </w:p>
          <w:p w:rsidR="00F729FE" w:rsidRPr="0073124E" w:rsidRDefault="00F729FE" w:rsidP="00F729FE">
            <w:pPr>
              <w:numPr>
                <w:ilvl w:val="1"/>
                <w:numId w:val="16"/>
              </w:numPr>
              <w:spacing w:after="0"/>
              <w:ind w:left="426" w:right="87"/>
              <w:jc w:val="both"/>
              <w:rPr>
                <w:rFonts w:ascii="Times New Roman" w:eastAsia="Times New Roman" w:hAnsi="Times New Roman"/>
                <w:sz w:val="20"/>
                <w:szCs w:val="20"/>
              </w:rPr>
            </w:pPr>
            <w:r w:rsidRPr="0073124E">
              <w:rPr>
                <w:rFonts w:ascii="Times New Roman" w:eastAsia="Times New Roman" w:hAnsi="Times New Roman"/>
                <w:sz w:val="20"/>
                <w:szCs w:val="20"/>
              </w:rPr>
              <w:t xml:space="preserve">kwalifikacja do leczenia </w:t>
            </w:r>
            <w:proofErr w:type="spellStart"/>
            <w:r w:rsidRPr="0073124E">
              <w:rPr>
                <w:rFonts w:ascii="Times New Roman" w:eastAsia="Times New Roman" w:hAnsi="Times New Roman"/>
                <w:sz w:val="20"/>
                <w:szCs w:val="20"/>
              </w:rPr>
              <w:t>pasyreotydem</w:t>
            </w:r>
            <w:proofErr w:type="spellEnd"/>
            <w:r w:rsidRPr="0073124E">
              <w:rPr>
                <w:rFonts w:ascii="Times New Roman" w:eastAsia="Times New Roman" w:hAnsi="Times New Roman"/>
                <w:sz w:val="20"/>
                <w:szCs w:val="20"/>
              </w:rPr>
              <w:t xml:space="preserve"> wymaga spełnienia warunków 1, 2, 3, 4 łącznie lub 1, 2, 5 łącznie.</w:t>
            </w:r>
          </w:p>
          <w:p w:rsidR="00F729FE" w:rsidRPr="0073124E" w:rsidRDefault="00F729FE" w:rsidP="00F729FE">
            <w:pPr>
              <w:numPr>
                <w:ilvl w:val="0"/>
                <w:numId w:val="16"/>
              </w:numPr>
              <w:spacing w:before="120" w:after="120"/>
              <w:ind w:left="426" w:right="87"/>
              <w:jc w:val="both"/>
              <w:rPr>
                <w:rFonts w:ascii="Times New Roman" w:eastAsia="Times New Roman" w:hAnsi="Times New Roman"/>
                <w:b/>
                <w:sz w:val="20"/>
                <w:szCs w:val="20"/>
              </w:rPr>
            </w:pPr>
            <w:r w:rsidRPr="0073124E">
              <w:rPr>
                <w:rFonts w:ascii="Times New Roman" w:eastAsia="Times New Roman" w:hAnsi="Times New Roman"/>
                <w:b/>
                <w:sz w:val="20"/>
                <w:szCs w:val="20"/>
              </w:rPr>
              <w:t>Określenie czasu leczenia w programie</w:t>
            </w:r>
          </w:p>
          <w:p w:rsidR="00F729FE" w:rsidRPr="0073124E" w:rsidRDefault="00F729FE" w:rsidP="00A91EAE">
            <w:pPr>
              <w:ind w:right="87"/>
              <w:rPr>
                <w:rFonts w:ascii="Times New Roman" w:eastAsia="Times New Roman" w:hAnsi="Times New Roman"/>
                <w:sz w:val="20"/>
                <w:szCs w:val="20"/>
              </w:rPr>
            </w:pPr>
            <w:r w:rsidRPr="0073124E">
              <w:rPr>
                <w:rFonts w:ascii="Times New Roman" w:eastAsia="Times New Roman" w:hAnsi="Times New Roman"/>
                <w:sz w:val="20"/>
                <w:szCs w:val="20"/>
              </w:rPr>
              <w:t>Leczenie trwa do czasu podjęcia przez lekarza prowadzącego decyzji o wyłączeniu świadczeniobiorcy z programu zgodnie z kryteriami wyłączenia.</w:t>
            </w:r>
          </w:p>
          <w:p w:rsidR="00F729FE" w:rsidRPr="0073124E" w:rsidRDefault="00F729FE" w:rsidP="00F729FE">
            <w:pPr>
              <w:numPr>
                <w:ilvl w:val="0"/>
                <w:numId w:val="16"/>
              </w:numPr>
              <w:spacing w:after="120"/>
              <w:ind w:left="426" w:right="87"/>
              <w:jc w:val="both"/>
              <w:rPr>
                <w:rFonts w:ascii="Times New Roman" w:eastAsia="Times New Roman" w:hAnsi="Times New Roman"/>
                <w:b/>
                <w:sz w:val="20"/>
                <w:szCs w:val="20"/>
              </w:rPr>
            </w:pPr>
            <w:r w:rsidRPr="0073124E">
              <w:rPr>
                <w:rFonts w:ascii="Times New Roman" w:eastAsia="Times New Roman" w:hAnsi="Times New Roman"/>
                <w:b/>
                <w:sz w:val="20"/>
                <w:szCs w:val="20"/>
              </w:rPr>
              <w:t>Kryteria wyłączenia z programu:</w:t>
            </w:r>
          </w:p>
          <w:p w:rsidR="00F729FE" w:rsidRPr="0073124E" w:rsidRDefault="00F729FE" w:rsidP="00F729FE">
            <w:pPr>
              <w:numPr>
                <w:ilvl w:val="1"/>
                <w:numId w:val="16"/>
              </w:numPr>
              <w:spacing w:after="120"/>
              <w:ind w:left="426" w:right="87"/>
              <w:jc w:val="both"/>
              <w:rPr>
                <w:rFonts w:ascii="Times New Roman" w:eastAsia="Times New Roman" w:hAnsi="Times New Roman"/>
                <w:sz w:val="20"/>
                <w:szCs w:val="20"/>
              </w:rPr>
            </w:pPr>
            <w:r w:rsidRPr="0073124E">
              <w:rPr>
                <w:rFonts w:ascii="Times New Roman" w:eastAsia="Times New Roman" w:hAnsi="Times New Roman"/>
                <w:sz w:val="20"/>
                <w:szCs w:val="20"/>
              </w:rPr>
              <w:t>pacjenci, którzy są kandydatami do pierwszorazowego lub kolejnego leczenia operacyjnego;</w:t>
            </w:r>
          </w:p>
          <w:p w:rsidR="00F729FE" w:rsidRPr="0073124E" w:rsidRDefault="00F729FE" w:rsidP="00F729FE">
            <w:pPr>
              <w:numPr>
                <w:ilvl w:val="1"/>
                <w:numId w:val="16"/>
              </w:numPr>
              <w:spacing w:after="120"/>
              <w:ind w:left="426" w:right="87"/>
              <w:jc w:val="both"/>
              <w:rPr>
                <w:rFonts w:ascii="Times New Roman" w:eastAsia="Times New Roman" w:hAnsi="Times New Roman"/>
                <w:sz w:val="20"/>
                <w:szCs w:val="20"/>
              </w:rPr>
            </w:pPr>
            <w:r w:rsidRPr="0073124E">
              <w:rPr>
                <w:rFonts w:ascii="Times New Roman" w:eastAsia="Times New Roman" w:hAnsi="Times New Roman"/>
                <w:sz w:val="20"/>
                <w:szCs w:val="20"/>
              </w:rPr>
              <w:t xml:space="preserve">ucisk skrzyżowania nerwów wzrokowych przez guz powodujący istotne zaburzenia pola widzenia u pacjentów kwalifikujących się do </w:t>
            </w:r>
            <w:proofErr w:type="spellStart"/>
            <w:r w:rsidRPr="0073124E">
              <w:rPr>
                <w:rFonts w:ascii="Times New Roman" w:eastAsia="Times New Roman" w:hAnsi="Times New Roman"/>
                <w:sz w:val="20"/>
                <w:szCs w:val="20"/>
              </w:rPr>
              <w:t>odbarczającego</w:t>
            </w:r>
            <w:proofErr w:type="spellEnd"/>
            <w:r w:rsidRPr="0073124E">
              <w:rPr>
                <w:rFonts w:ascii="Times New Roman" w:eastAsia="Times New Roman" w:hAnsi="Times New Roman"/>
                <w:sz w:val="20"/>
                <w:szCs w:val="20"/>
              </w:rPr>
              <w:t xml:space="preserve"> leczenia neurochirurgicznego;</w:t>
            </w:r>
          </w:p>
          <w:p w:rsidR="00F729FE" w:rsidRPr="0073124E" w:rsidRDefault="00F729FE" w:rsidP="00F729FE">
            <w:pPr>
              <w:numPr>
                <w:ilvl w:val="1"/>
                <w:numId w:val="16"/>
              </w:numPr>
              <w:spacing w:after="120"/>
              <w:ind w:left="426" w:right="87"/>
              <w:jc w:val="both"/>
              <w:rPr>
                <w:rFonts w:ascii="Times New Roman" w:eastAsia="Times New Roman" w:hAnsi="Times New Roman"/>
                <w:sz w:val="20"/>
                <w:szCs w:val="20"/>
              </w:rPr>
            </w:pPr>
            <w:r w:rsidRPr="0073124E">
              <w:rPr>
                <w:rFonts w:ascii="Times New Roman" w:eastAsia="Times New Roman" w:hAnsi="Times New Roman"/>
                <w:sz w:val="20"/>
                <w:szCs w:val="20"/>
              </w:rPr>
              <w:t xml:space="preserve">cukrzyca niewyrównana metabolicznie pomimo podjęcia próby optymalizacji </w:t>
            </w:r>
            <w:r>
              <w:rPr>
                <w:rFonts w:ascii="Times New Roman" w:eastAsia="Times New Roman" w:hAnsi="Times New Roman"/>
                <w:sz w:val="20"/>
                <w:szCs w:val="20"/>
              </w:rPr>
              <w:t>leczenia zgodnie z punktem 3.1. </w:t>
            </w:r>
            <w:r w:rsidRPr="0073124E">
              <w:rPr>
                <w:rFonts w:ascii="Times New Roman" w:eastAsia="Times New Roman" w:hAnsi="Times New Roman"/>
                <w:i/>
                <w:sz w:val="20"/>
                <w:szCs w:val="20"/>
              </w:rPr>
              <w:t>Schematu dawkowania</w:t>
            </w:r>
            <w:r w:rsidRPr="0073124E">
              <w:rPr>
                <w:rFonts w:ascii="Times New Roman" w:eastAsia="Times New Roman" w:hAnsi="Times New Roman"/>
                <w:sz w:val="20"/>
                <w:szCs w:val="20"/>
              </w:rPr>
              <w:t>;</w:t>
            </w:r>
          </w:p>
          <w:p w:rsidR="00F729FE" w:rsidRPr="0073124E" w:rsidRDefault="00F729FE" w:rsidP="00F729FE">
            <w:pPr>
              <w:numPr>
                <w:ilvl w:val="1"/>
                <w:numId w:val="16"/>
              </w:numPr>
              <w:spacing w:after="120"/>
              <w:ind w:left="426" w:right="87"/>
              <w:jc w:val="both"/>
              <w:rPr>
                <w:rFonts w:ascii="Times New Roman" w:eastAsia="Times New Roman" w:hAnsi="Times New Roman"/>
                <w:sz w:val="20"/>
                <w:szCs w:val="20"/>
              </w:rPr>
            </w:pPr>
            <w:r w:rsidRPr="0073124E">
              <w:rPr>
                <w:rFonts w:ascii="Times New Roman" w:eastAsia="Times New Roman" w:hAnsi="Times New Roman"/>
                <w:sz w:val="20"/>
                <w:szCs w:val="20"/>
              </w:rPr>
              <w:t>objawowa kamica żółciowa;</w:t>
            </w:r>
          </w:p>
          <w:p w:rsidR="00F729FE" w:rsidRPr="0073124E" w:rsidRDefault="00F729FE" w:rsidP="00F729FE">
            <w:pPr>
              <w:numPr>
                <w:ilvl w:val="1"/>
                <w:numId w:val="16"/>
              </w:numPr>
              <w:spacing w:after="120"/>
              <w:ind w:left="426" w:right="87"/>
              <w:jc w:val="both"/>
              <w:rPr>
                <w:rFonts w:ascii="Times New Roman" w:eastAsia="Times New Roman" w:hAnsi="Times New Roman"/>
                <w:sz w:val="20"/>
                <w:szCs w:val="20"/>
              </w:rPr>
            </w:pPr>
            <w:r w:rsidRPr="0073124E">
              <w:rPr>
                <w:rFonts w:ascii="Times New Roman" w:eastAsia="Times New Roman" w:hAnsi="Times New Roman"/>
                <w:sz w:val="20"/>
                <w:szCs w:val="20"/>
              </w:rPr>
              <w:t>ciężkie zaburzenia czynności wątroby (klasa C wg skali Child–</w:t>
            </w:r>
            <w:proofErr w:type="spellStart"/>
            <w:r w:rsidRPr="0073124E">
              <w:rPr>
                <w:rFonts w:ascii="Times New Roman" w:eastAsia="Times New Roman" w:hAnsi="Times New Roman"/>
                <w:sz w:val="20"/>
                <w:szCs w:val="20"/>
              </w:rPr>
              <w:t>Pugha</w:t>
            </w:r>
            <w:proofErr w:type="spellEnd"/>
            <w:r w:rsidRPr="0073124E">
              <w:rPr>
                <w:rFonts w:ascii="Times New Roman" w:eastAsia="Times New Roman" w:hAnsi="Times New Roman"/>
                <w:sz w:val="20"/>
                <w:szCs w:val="20"/>
              </w:rPr>
              <w:t>);</w:t>
            </w:r>
          </w:p>
          <w:p w:rsidR="00F729FE" w:rsidRPr="0073124E" w:rsidRDefault="00F729FE" w:rsidP="00F729FE">
            <w:pPr>
              <w:numPr>
                <w:ilvl w:val="1"/>
                <w:numId w:val="16"/>
              </w:numPr>
              <w:spacing w:after="120"/>
              <w:ind w:left="426" w:right="87"/>
              <w:jc w:val="both"/>
              <w:rPr>
                <w:rFonts w:ascii="Times New Roman" w:eastAsia="Times New Roman" w:hAnsi="Times New Roman"/>
                <w:sz w:val="20"/>
                <w:szCs w:val="20"/>
              </w:rPr>
            </w:pPr>
            <w:r w:rsidRPr="0073124E">
              <w:rPr>
                <w:rFonts w:ascii="Times New Roman" w:eastAsia="Times New Roman" w:hAnsi="Times New Roman"/>
                <w:sz w:val="20"/>
                <w:szCs w:val="20"/>
              </w:rPr>
              <w:t xml:space="preserve">żółtaczka lub inne objawy sugerujące klinicznie istotną dysfunkcję wątroby lub utrzymywanie się zwiększonej aktywności </w:t>
            </w:r>
            <w:proofErr w:type="spellStart"/>
            <w:r w:rsidRPr="0073124E">
              <w:rPr>
                <w:rFonts w:ascii="Times New Roman" w:eastAsia="Times New Roman" w:hAnsi="Times New Roman"/>
                <w:sz w:val="20"/>
                <w:szCs w:val="20"/>
              </w:rPr>
              <w:t>AspAT</w:t>
            </w:r>
            <w:proofErr w:type="spellEnd"/>
            <w:r w:rsidRPr="0073124E">
              <w:rPr>
                <w:rFonts w:ascii="Times New Roman" w:eastAsia="Times New Roman" w:hAnsi="Times New Roman"/>
                <w:sz w:val="20"/>
                <w:szCs w:val="20"/>
              </w:rPr>
              <w:t xml:space="preserve"> lub </w:t>
            </w:r>
            <w:proofErr w:type="spellStart"/>
            <w:r w:rsidRPr="0073124E">
              <w:rPr>
                <w:rFonts w:ascii="Times New Roman" w:eastAsia="Times New Roman" w:hAnsi="Times New Roman"/>
                <w:sz w:val="20"/>
                <w:szCs w:val="20"/>
              </w:rPr>
              <w:t>AlAT</w:t>
            </w:r>
            <w:proofErr w:type="spellEnd"/>
            <w:r w:rsidRPr="0073124E">
              <w:rPr>
                <w:rFonts w:ascii="Times New Roman" w:eastAsia="Times New Roman" w:hAnsi="Times New Roman"/>
                <w:sz w:val="20"/>
                <w:szCs w:val="20"/>
              </w:rPr>
              <w:t xml:space="preserve"> na poziomie co najmniej 5 x GGN (górna granica normy) lub wzrost aktywności </w:t>
            </w:r>
            <w:proofErr w:type="spellStart"/>
            <w:r w:rsidRPr="0073124E">
              <w:rPr>
                <w:rFonts w:ascii="Times New Roman" w:eastAsia="Times New Roman" w:hAnsi="Times New Roman"/>
                <w:sz w:val="20"/>
                <w:szCs w:val="20"/>
              </w:rPr>
              <w:t>AlAT</w:t>
            </w:r>
            <w:proofErr w:type="spellEnd"/>
            <w:r w:rsidRPr="0073124E">
              <w:rPr>
                <w:rFonts w:ascii="Times New Roman" w:eastAsia="Times New Roman" w:hAnsi="Times New Roman"/>
                <w:sz w:val="20"/>
                <w:szCs w:val="20"/>
              </w:rPr>
              <w:t xml:space="preserve"> lub </w:t>
            </w:r>
            <w:proofErr w:type="spellStart"/>
            <w:r w:rsidRPr="0073124E">
              <w:rPr>
                <w:rFonts w:ascii="Times New Roman" w:eastAsia="Times New Roman" w:hAnsi="Times New Roman"/>
                <w:sz w:val="20"/>
                <w:szCs w:val="20"/>
              </w:rPr>
              <w:t>AspAT</w:t>
            </w:r>
            <w:proofErr w:type="spellEnd"/>
            <w:r w:rsidRPr="0073124E">
              <w:rPr>
                <w:rFonts w:ascii="Times New Roman" w:eastAsia="Times New Roman" w:hAnsi="Times New Roman"/>
                <w:sz w:val="20"/>
                <w:szCs w:val="20"/>
              </w:rPr>
              <w:t xml:space="preserve"> przekraczający 3 x GGN z jednoczesnym wzrostem stężenia bilirubiny powyżej 2 x GGN;</w:t>
            </w:r>
          </w:p>
          <w:p w:rsidR="00F729FE" w:rsidRPr="0073124E" w:rsidRDefault="00F729FE" w:rsidP="00F729FE">
            <w:pPr>
              <w:numPr>
                <w:ilvl w:val="1"/>
                <w:numId w:val="16"/>
              </w:numPr>
              <w:spacing w:after="120"/>
              <w:ind w:left="426" w:right="87"/>
              <w:jc w:val="both"/>
              <w:rPr>
                <w:rFonts w:ascii="Times New Roman" w:eastAsia="Times New Roman" w:hAnsi="Times New Roman"/>
                <w:sz w:val="20"/>
                <w:szCs w:val="20"/>
              </w:rPr>
            </w:pPr>
            <w:r w:rsidRPr="0073124E">
              <w:rPr>
                <w:rFonts w:ascii="Times New Roman" w:eastAsia="Times New Roman" w:hAnsi="Times New Roman"/>
                <w:sz w:val="20"/>
                <w:szCs w:val="20"/>
              </w:rPr>
              <w:t>pacjenci z niewyrównaną niedoczynnością kory nadnerczy lub tarczycy (nieadekwatne leczenie substytucyjne);</w:t>
            </w:r>
          </w:p>
          <w:p w:rsidR="00F729FE" w:rsidRPr="0073124E" w:rsidRDefault="00F729FE" w:rsidP="00F729FE">
            <w:pPr>
              <w:numPr>
                <w:ilvl w:val="1"/>
                <w:numId w:val="16"/>
              </w:numPr>
              <w:spacing w:after="120"/>
              <w:ind w:left="426" w:right="87"/>
              <w:jc w:val="both"/>
              <w:rPr>
                <w:rFonts w:ascii="Times New Roman" w:eastAsia="Times New Roman" w:hAnsi="Times New Roman"/>
                <w:sz w:val="20"/>
                <w:szCs w:val="20"/>
              </w:rPr>
            </w:pPr>
            <w:r w:rsidRPr="0073124E">
              <w:rPr>
                <w:rFonts w:ascii="Times New Roman" w:eastAsia="Times New Roman" w:hAnsi="Times New Roman"/>
                <w:sz w:val="20"/>
                <w:szCs w:val="20"/>
              </w:rPr>
              <w:lastRenderedPageBreak/>
              <w:t>okres ciąży lub karmienia piersią;</w:t>
            </w:r>
          </w:p>
          <w:p w:rsidR="00F729FE" w:rsidRPr="0073124E" w:rsidRDefault="00F729FE" w:rsidP="00F729FE">
            <w:pPr>
              <w:numPr>
                <w:ilvl w:val="1"/>
                <w:numId w:val="16"/>
              </w:numPr>
              <w:spacing w:after="120"/>
              <w:ind w:left="426" w:right="87"/>
              <w:jc w:val="both"/>
              <w:rPr>
                <w:rFonts w:ascii="Times New Roman" w:eastAsia="Times New Roman" w:hAnsi="Times New Roman"/>
                <w:sz w:val="20"/>
                <w:szCs w:val="20"/>
              </w:rPr>
            </w:pPr>
            <w:r w:rsidRPr="0073124E">
              <w:rPr>
                <w:rFonts w:ascii="Times New Roman" w:eastAsia="Times New Roman" w:hAnsi="Times New Roman"/>
                <w:sz w:val="20"/>
                <w:szCs w:val="20"/>
              </w:rPr>
              <w:t xml:space="preserve">nadwrażliwość na </w:t>
            </w:r>
            <w:proofErr w:type="spellStart"/>
            <w:r w:rsidRPr="0073124E">
              <w:rPr>
                <w:rFonts w:ascii="Times New Roman" w:eastAsia="Times New Roman" w:hAnsi="Times New Roman"/>
                <w:sz w:val="20"/>
                <w:szCs w:val="20"/>
              </w:rPr>
              <w:t>pasyreotyd</w:t>
            </w:r>
            <w:proofErr w:type="spellEnd"/>
            <w:r w:rsidRPr="0073124E">
              <w:rPr>
                <w:rFonts w:ascii="Times New Roman" w:eastAsia="Times New Roman" w:hAnsi="Times New Roman"/>
                <w:sz w:val="20"/>
                <w:szCs w:val="20"/>
              </w:rPr>
              <w:t xml:space="preserve"> lub którąkolwiek substancję pomocniczą leku;</w:t>
            </w:r>
          </w:p>
          <w:p w:rsidR="00F729FE" w:rsidRPr="0073124E" w:rsidRDefault="00F729FE" w:rsidP="00F729FE">
            <w:pPr>
              <w:numPr>
                <w:ilvl w:val="1"/>
                <w:numId w:val="16"/>
              </w:numPr>
              <w:spacing w:after="120"/>
              <w:ind w:left="426" w:right="87"/>
              <w:jc w:val="both"/>
              <w:rPr>
                <w:rFonts w:ascii="Times New Roman" w:eastAsia="Times New Roman" w:hAnsi="Times New Roman"/>
                <w:sz w:val="20"/>
                <w:szCs w:val="20"/>
              </w:rPr>
            </w:pPr>
            <w:r w:rsidRPr="0073124E">
              <w:rPr>
                <w:rFonts w:ascii="Times New Roman" w:eastAsia="Times New Roman" w:hAnsi="Times New Roman"/>
                <w:sz w:val="20"/>
                <w:szCs w:val="20"/>
              </w:rPr>
              <w:t>brak odpowiedzi na leczenie, w sytuacji gdy odpowiedź definiujemy jako:</w:t>
            </w:r>
          </w:p>
          <w:p w:rsidR="00F729FE" w:rsidRPr="0073124E" w:rsidRDefault="00F729FE" w:rsidP="00F729FE">
            <w:pPr>
              <w:numPr>
                <w:ilvl w:val="2"/>
                <w:numId w:val="17"/>
              </w:numPr>
              <w:tabs>
                <w:tab w:val="left" w:pos="845"/>
              </w:tabs>
              <w:spacing w:after="0"/>
              <w:ind w:left="845" w:right="87" w:hanging="356"/>
              <w:jc w:val="both"/>
              <w:rPr>
                <w:rFonts w:ascii="Times New Roman" w:eastAsia="Times New Roman" w:hAnsi="Times New Roman"/>
                <w:sz w:val="20"/>
                <w:szCs w:val="20"/>
              </w:rPr>
            </w:pPr>
            <w:r w:rsidRPr="0073124E">
              <w:rPr>
                <w:rFonts w:ascii="Times New Roman" w:eastAsia="Times New Roman" w:hAnsi="Times New Roman"/>
                <w:sz w:val="20"/>
                <w:szCs w:val="20"/>
              </w:rPr>
              <w:t xml:space="preserve">obniżenie stężenia GH o &gt; 50% w stosunku do wartości tego stężenia w trakcie kwalifikacji do programu lub do poziomu &lt;2,5 µg/l </w:t>
            </w:r>
            <w:r w:rsidRPr="0073124E">
              <w:rPr>
                <w:rFonts w:ascii="Times New Roman" w:eastAsia="Times New Roman" w:hAnsi="Times New Roman"/>
                <w:sz w:val="20"/>
                <w:szCs w:val="20"/>
              </w:rPr>
              <w:br/>
              <w:t>lub</w:t>
            </w:r>
          </w:p>
          <w:p w:rsidR="00F729FE" w:rsidRPr="0073124E" w:rsidRDefault="00F729FE" w:rsidP="00F729FE">
            <w:pPr>
              <w:numPr>
                <w:ilvl w:val="2"/>
                <w:numId w:val="17"/>
              </w:numPr>
              <w:tabs>
                <w:tab w:val="left" w:pos="845"/>
              </w:tabs>
              <w:spacing w:after="0"/>
              <w:ind w:left="845" w:right="87" w:hanging="356"/>
              <w:jc w:val="both"/>
              <w:rPr>
                <w:rFonts w:ascii="Times New Roman" w:eastAsia="Times New Roman" w:hAnsi="Times New Roman"/>
                <w:sz w:val="20"/>
                <w:szCs w:val="20"/>
              </w:rPr>
            </w:pPr>
            <w:r w:rsidRPr="0073124E">
              <w:rPr>
                <w:rFonts w:ascii="Times New Roman" w:eastAsia="Times New Roman" w:hAnsi="Times New Roman"/>
                <w:sz w:val="20"/>
                <w:szCs w:val="20"/>
              </w:rPr>
              <w:t xml:space="preserve">obniżenie stężenia IGF-1 o &gt;40% w stosunku do wartości tego stężenia w trakcie kwalifikacji do programu lub normalizacja stężenia IGF-1 </w:t>
            </w:r>
            <w:r>
              <w:rPr>
                <w:rFonts w:ascii="Times New Roman" w:eastAsia="Times New Roman" w:hAnsi="Times New Roman"/>
                <w:sz w:val="20"/>
                <w:szCs w:val="20"/>
              </w:rPr>
              <w:br/>
            </w:r>
            <w:r w:rsidRPr="0073124E">
              <w:rPr>
                <w:rFonts w:ascii="Times New Roman" w:eastAsia="Times New Roman" w:hAnsi="Times New Roman"/>
                <w:sz w:val="20"/>
                <w:szCs w:val="20"/>
              </w:rPr>
              <w:t xml:space="preserve">lub </w:t>
            </w:r>
          </w:p>
          <w:p w:rsidR="00F729FE" w:rsidRPr="0073124E" w:rsidRDefault="00F729FE" w:rsidP="00F729FE">
            <w:pPr>
              <w:numPr>
                <w:ilvl w:val="2"/>
                <w:numId w:val="17"/>
              </w:numPr>
              <w:tabs>
                <w:tab w:val="left" w:pos="845"/>
              </w:tabs>
              <w:spacing w:after="120"/>
              <w:ind w:left="845" w:right="87" w:hanging="356"/>
              <w:jc w:val="both"/>
              <w:rPr>
                <w:rFonts w:ascii="Times New Roman" w:eastAsia="Times New Roman" w:hAnsi="Times New Roman"/>
                <w:sz w:val="20"/>
                <w:szCs w:val="20"/>
              </w:rPr>
            </w:pPr>
            <w:r w:rsidRPr="0073124E">
              <w:rPr>
                <w:rFonts w:ascii="Times New Roman" w:eastAsia="Times New Roman" w:hAnsi="Times New Roman"/>
                <w:sz w:val="20"/>
                <w:szCs w:val="20"/>
              </w:rPr>
              <w:t>zmniejszenie maksymalnego wymiaru guza &gt; 25% w stosunku do maksymalnego wymiaru guza w badaniu przeprowadzanym przy kwalifikacji do programu</w:t>
            </w:r>
          </w:p>
          <w:p w:rsidR="00F729FE" w:rsidRPr="0073124E" w:rsidRDefault="00F729FE" w:rsidP="00A91EAE">
            <w:pPr>
              <w:ind w:right="87"/>
              <w:rPr>
                <w:rFonts w:ascii="Times New Roman" w:eastAsia="Times New Roman" w:hAnsi="Times New Roman"/>
                <w:sz w:val="20"/>
                <w:szCs w:val="20"/>
              </w:rPr>
            </w:pPr>
            <w:r w:rsidRPr="0073124E">
              <w:rPr>
                <w:rFonts w:ascii="Times New Roman" w:eastAsia="Times New Roman" w:hAnsi="Times New Roman"/>
                <w:sz w:val="20"/>
                <w:szCs w:val="20"/>
              </w:rPr>
              <w:t xml:space="preserve">- po co najmniej 6-cio miesięcznym okresie podawania </w:t>
            </w:r>
            <w:proofErr w:type="spellStart"/>
            <w:r w:rsidRPr="0073124E">
              <w:rPr>
                <w:rFonts w:ascii="Times New Roman" w:eastAsia="Times New Roman" w:hAnsi="Times New Roman"/>
                <w:sz w:val="20"/>
                <w:szCs w:val="20"/>
              </w:rPr>
              <w:t>pasyreotydu</w:t>
            </w:r>
            <w:proofErr w:type="spellEnd"/>
            <w:r w:rsidRPr="0073124E">
              <w:rPr>
                <w:rFonts w:ascii="Times New Roman" w:eastAsia="Times New Roman" w:hAnsi="Times New Roman"/>
                <w:sz w:val="20"/>
                <w:szCs w:val="20"/>
              </w:rPr>
              <w:t xml:space="preserve"> w najwyższej tolerowanej dawce;</w:t>
            </w:r>
          </w:p>
          <w:p w:rsidR="00F729FE" w:rsidRPr="0073124E" w:rsidRDefault="00F729FE" w:rsidP="00F729FE">
            <w:pPr>
              <w:numPr>
                <w:ilvl w:val="1"/>
                <w:numId w:val="16"/>
              </w:numPr>
              <w:spacing w:after="120"/>
              <w:ind w:left="426" w:right="87"/>
              <w:jc w:val="both"/>
              <w:rPr>
                <w:rFonts w:ascii="Times New Roman" w:eastAsia="Times New Roman" w:hAnsi="Times New Roman"/>
                <w:sz w:val="20"/>
                <w:szCs w:val="20"/>
              </w:rPr>
            </w:pPr>
            <w:r w:rsidRPr="0073124E">
              <w:rPr>
                <w:rFonts w:ascii="Times New Roman" w:eastAsia="Times New Roman" w:hAnsi="Times New Roman"/>
                <w:sz w:val="20"/>
                <w:szCs w:val="20"/>
              </w:rPr>
              <w:t>rezygnacja pacjenta.</w:t>
            </w:r>
          </w:p>
        </w:tc>
        <w:tc>
          <w:tcPr>
            <w:tcW w:w="1407" w:type="pct"/>
            <w:tcBorders>
              <w:top w:val="single" w:sz="6" w:space="0" w:color="auto"/>
              <w:left w:val="single" w:sz="6" w:space="0" w:color="auto"/>
              <w:bottom w:val="single" w:sz="6" w:space="0" w:color="auto"/>
              <w:right w:val="single" w:sz="6" w:space="0" w:color="auto"/>
            </w:tcBorders>
          </w:tcPr>
          <w:p w:rsidR="00F729FE" w:rsidRPr="0073124E" w:rsidRDefault="00F729FE" w:rsidP="00F729FE">
            <w:pPr>
              <w:numPr>
                <w:ilvl w:val="0"/>
                <w:numId w:val="18"/>
              </w:numPr>
              <w:spacing w:before="120" w:after="120"/>
              <w:ind w:left="357" w:right="54" w:hanging="357"/>
              <w:jc w:val="both"/>
              <w:rPr>
                <w:rFonts w:ascii="Times New Roman" w:eastAsia="Times New Roman" w:hAnsi="Times New Roman"/>
                <w:sz w:val="20"/>
                <w:szCs w:val="20"/>
              </w:rPr>
            </w:pPr>
            <w:r w:rsidRPr="0073124E">
              <w:rPr>
                <w:rFonts w:ascii="Times New Roman" w:eastAsia="Times New Roman" w:hAnsi="Times New Roman"/>
                <w:b/>
                <w:sz w:val="20"/>
                <w:szCs w:val="20"/>
              </w:rPr>
              <w:lastRenderedPageBreak/>
              <w:t>Dawkowanie</w:t>
            </w:r>
          </w:p>
          <w:p w:rsidR="00F729FE" w:rsidRPr="0073124E" w:rsidRDefault="00F729FE" w:rsidP="00A91EAE">
            <w:pPr>
              <w:ind w:left="56" w:right="54"/>
              <w:rPr>
                <w:rFonts w:ascii="Times New Roman" w:eastAsia="Times New Roman" w:hAnsi="Times New Roman"/>
                <w:sz w:val="20"/>
                <w:szCs w:val="20"/>
              </w:rPr>
            </w:pPr>
            <w:r w:rsidRPr="0073124E">
              <w:rPr>
                <w:rFonts w:ascii="Times New Roman" w:eastAsia="Times New Roman" w:hAnsi="Times New Roman"/>
                <w:sz w:val="20"/>
                <w:szCs w:val="20"/>
              </w:rPr>
              <w:t xml:space="preserve">Zalecana początkowa dawka </w:t>
            </w:r>
            <w:proofErr w:type="spellStart"/>
            <w:r w:rsidRPr="0073124E">
              <w:rPr>
                <w:rFonts w:ascii="Times New Roman" w:eastAsia="Times New Roman" w:hAnsi="Times New Roman"/>
                <w:sz w:val="20"/>
                <w:szCs w:val="20"/>
              </w:rPr>
              <w:t>pasyreotydu</w:t>
            </w:r>
            <w:proofErr w:type="spellEnd"/>
            <w:r w:rsidRPr="0073124E">
              <w:rPr>
                <w:rFonts w:ascii="Times New Roman" w:eastAsia="Times New Roman" w:hAnsi="Times New Roman"/>
                <w:sz w:val="20"/>
                <w:szCs w:val="20"/>
              </w:rPr>
              <w:t xml:space="preserve"> wynosi 40 mg podawana w iniekcjach domięśniowych co 28 dni. W przypadku braku kontroli biochemicznej akromegalii (utrzymywanie się stężenia GH ≥2,5 µg/l i/lub IG</w:t>
            </w:r>
            <w:bookmarkStart w:id="0" w:name="_GoBack"/>
            <w:bookmarkEnd w:id="0"/>
            <w:r w:rsidRPr="0073124E">
              <w:rPr>
                <w:rFonts w:ascii="Times New Roman" w:eastAsia="Times New Roman" w:hAnsi="Times New Roman"/>
                <w:sz w:val="20"/>
                <w:szCs w:val="20"/>
              </w:rPr>
              <w:t xml:space="preserve">F-1 powyżej normy dla płci i wieku) po 12 tygodniach leczenia, dawka </w:t>
            </w:r>
            <w:proofErr w:type="spellStart"/>
            <w:r w:rsidRPr="0073124E">
              <w:rPr>
                <w:rFonts w:ascii="Times New Roman" w:eastAsia="Times New Roman" w:hAnsi="Times New Roman"/>
                <w:sz w:val="20"/>
                <w:szCs w:val="20"/>
              </w:rPr>
              <w:t>pasyreotydu</w:t>
            </w:r>
            <w:proofErr w:type="spellEnd"/>
            <w:r w:rsidRPr="0073124E">
              <w:rPr>
                <w:rFonts w:ascii="Times New Roman" w:eastAsia="Times New Roman" w:hAnsi="Times New Roman"/>
                <w:sz w:val="20"/>
                <w:szCs w:val="20"/>
              </w:rPr>
              <w:t xml:space="preserve"> może zostać zwiększona do 60 mg podawana co 28 dni. W przypadku wystąpienia działań niepożądanych lub nadmiernej odpowiedzi na leczenie dawka </w:t>
            </w:r>
            <w:proofErr w:type="spellStart"/>
            <w:r w:rsidRPr="0073124E">
              <w:rPr>
                <w:rFonts w:ascii="Times New Roman" w:eastAsia="Times New Roman" w:hAnsi="Times New Roman"/>
                <w:sz w:val="20"/>
                <w:szCs w:val="20"/>
              </w:rPr>
              <w:t>pasyreotydu</w:t>
            </w:r>
            <w:proofErr w:type="spellEnd"/>
            <w:r w:rsidRPr="0073124E">
              <w:rPr>
                <w:rFonts w:ascii="Times New Roman" w:eastAsia="Times New Roman" w:hAnsi="Times New Roman"/>
                <w:sz w:val="20"/>
                <w:szCs w:val="20"/>
              </w:rPr>
              <w:t xml:space="preserve"> może zostać zmniejszona o 20 mg lub preparat powinien zostać odstawiony.</w:t>
            </w:r>
          </w:p>
          <w:p w:rsidR="00F729FE" w:rsidRPr="0073124E" w:rsidRDefault="00F729FE" w:rsidP="00F729FE">
            <w:pPr>
              <w:numPr>
                <w:ilvl w:val="0"/>
                <w:numId w:val="18"/>
              </w:numPr>
              <w:spacing w:after="120"/>
              <w:ind w:left="357" w:right="54" w:hanging="357"/>
              <w:jc w:val="both"/>
              <w:rPr>
                <w:rFonts w:ascii="Times New Roman" w:eastAsia="Times New Roman" w:hAnsi="Times New Roman"/>
                <w:b/>
                <w:sz w:val="20"/>
                <w:szCs w:val="20"/>
              </w:rPr>
            </w:pPr>
            <w:r w:rsidRPr="0073124E">
              <w:rPr>
                <w:rFonts w:ascii="Times New Roman" w:eastAsia="Times New Roman" w:hAnsi="Times New Roman"/>
                <w:b/>
                <w:sz w:val="20"/>
                <w:szCs w:val="20"/>
              </w:rPr>
              <w:t>Sposób podawania</w:t>
            </w:r>
          </w:p>
          <w:p w:rsidR="00F729FE" w:rsidRPr="0073124E" w:rsidRDefault="00F729FE" w:rsidP="00A91EAE">
            <w:pPr>
              <w:ind w:right="54"/>
              <w:rPr>
                <w:rFonts w:ascii="Times New Roman" w:eastAsia="Times New Roman" w:hAnsi="Times New Roman"/>
                <w:sz w:val="20"/>
                <w:szCs w:val="20"/>
              </w:rPr>
            </w:pPr>
            <w:proofErr w:type="spellStart"/>
            <w:r w:rsidRPr="0073124E">
              <w:rPr>
                <w:rFonts w:ascii="Times New Roman" w:eastAsia="Times New Roman" w:hAnsi="Times New Roman"/>
                <w:sz w:val="20"/>
                <w:szCs w:val="20"/>
              </w:rPr>
              <w:t>Pasyreotyd</w:t>
            </w:r>
            <w:proofErr w:type="spellEnd"/>
            <w:r w:rsidRPr="0073124E">
              <w:rPr>
                <w:rFonts w:ascii="Times New Roman" w:eastAsia="Times New Roman" w:hAnsi="Times New Roman"/>
                <w:sz w:val="20"/>
                <w:szCs w:val="20"/>
              </w:rPr>
              <w:t xml:space="preserve"> jest podawany w głębokim wstrzyknięciu domięśniowym wykonywanym przez fachowy personel medyczny.</w:t>
            </w:r>
          </w:p>
          <w:p w:rsidR="00F729FE" w:rsidRPr="0073124E" w:rsidRDefault="00F729FE" w:rsidP="00A91EAE">
            <w:pPr>
              <w:ind w:right="54"/>
              <w:rPr>
                <w:rFonts w:ascii="Times New Roman" w:eastAsia="Times New Roman" w:hAnsi="Times New Roman"/>
                <w:sz w:val="20"/>
                <w:szCs w:val="20"/>
              </w:rPr>
            </w:pPr>
            <w:r w:rsidRPr="0073124E">
              <w:rPr>
                <w:rFonts w:ascii="Times New Roman" w:eastAsia="Times New Roman" w:hAnsi="Times New Roman"/>
                <w:sz w:val="20"/>
                <w:szCs w:val="20"/>
              </w:rPr>
              <w:t>W przypadku wielokrotnego podawania należy zmieniać miejsca podania leku między prawym i lewym mięśniem pośladkowym.</w:t>
            </w:r>
          </w:p>
          <w:p w:rsidR="00F729FE" w:rsidRPr="0073124E" w:rsidRDefault="00F729FE" w:rsidP="00F729FE">
            <w:pPr>
              <w:numPr>
                <w:ilvl w:val="0"/>
                <w:numId w:val="18"/>
              </w:numPr>
              <w:spacing w:before="120" w:after="120"/>
              <w:ind w:left="357" w:right="54" w:hanging="357"/>
              <w:jc w:val="both"/>
              <w:rPr>
                <w:rFonts w:ascii="Times New Roman" w:eastAsia="Times New Roman" w:hAnsi="Times New Roman"/>
                <w:sz w:val="20"/>
                <w:szCs w:val="20"/>
              </w:rPr>
            </w:pPr>
            <w:r w:rsidRPr="0073124E">
              <w:rPr>
                <w:rFonts w:ascii="Times New Roman" w:eastAsia="Times New Roman" w:hAnsi="Times New Roman"/>
                <w:b/>
                <w:sz w:val="20"/>
                <w:szCs w:val="20"/>
              </w:rPr>
              <w:lastRenderedPageBreak/>
              <w:t>Specjalne ostrzeżenia i środki ostrożności dotyczące stosowania</w:t>
            </w:r>
          </w:p>
          <w:p w:rsidR="00F729FE" w:rsidRPr="0073124E" w:rsidRDefault="00F729FE" w:rsidP="00F729FE">
            <w:pPr>
              <w:numPr>
                <w:ilvl w:val="1"/>
                <w:numId w:val="18"/>
              </w:numPr>
              <w:ind w:left="357" w:right="54" w:hanging="357"/>
              <w:jc w:val="both"/>
              <w:rPr>
                <w:rFonts w:ascii="Times New Roman" w:eastAsia="Times New Roman" w:hAnsi="Times New Roman"/>
                <w:sz w:val="20"/>
                <w:szCs w:val="20"/>
              </w:rPr>
            </w:pPr>
            <w:r>
              <w:rPr>
                <w:rFonts w:ascii="Times New Roman" w:eastAsia="Times New Roman" w:hAnsi="Times New Roman"/>
                <w:sz w:val="20"/>
                <w:szCs w:val="20"/>
              </w:rPr>
              <w:t xml:space="preserve">Jeżeli u </w:t>
            </w:r>
            <w:r w:rsidRPr="0073124E">
              <w:rPr>
                <w:rFonts w:ascii="Times New Roman" w:eastAsia="Times New Roman" w:hAnsi="Times New Roman"/>
                <w:sz w:val="20"/>
                <w:szCs w:val="20"/>
              </w:rPr>
              <w:t xml:space="preserve">pacjenta leczonego </w:t>
            </w:r>
            <w:proofErr w:type="spellStart"/>
            <w:r w:rsidRPr="0073124E">
              <w:rPr>
                <w:rFonts w:ascii="Times New Roman" w:eastAsia="Times New Roman" w:hAnsi="Times New Roman"/>
                <w:sz w:val="20"/>
                <w:szCs w:val="20"/>
              </w:rPr>
              <w:t>pasyreotydem</w:t>
            </w:r>
            <w:proofErr w:type="spellEnd"/>
            <w:r w:rsidRPr="0073124E">
              <w:rPr>
                <w:rFonts w:ascii="Times New Roman" w:eastAsia="Times New Roman" w:hAnsi="Times New Roman"/>
                <w:sz w:val="20"/>
                <w:szCs w:val="20"/>
              </w:rPr>
              <w:t xml:space="preserve"> wystąpi hiperglikemia, zaleca się rozpoczęcie lub zmianę leczenia przeciwcukrzycowego według wytycznych dotyczących postępowania w hiperglikemii. Jeżeli niekontrolowana hiperglikemia utrzymuje się pomimo odpowiedniego leczenia, dawkę </w:t>
            </w:r>
            <w:proofErr w:type="spellStart"/>
            <w:r w:rsidRPr="0073124E">
              <w:rPr>
                <w:rFonts w:ascii="Times New Roman" w:eastAsia="Times New Roman" w:hAnsi="Times New Roman"/>
                <w:sz w:val="20"/>
                <w:szCs w:val="20"/>
              </w:rPr>
              <w:t>pasyreotydu</w:t>
            </w:r>
            <w:proofErr w:type="spellEnd"/>
            <w:r w:rsidRPr="0073124E">
              <w:rPr>
                <w:rFonts w:ascii="Times New Roman" w:eastAsia="Times New Roman" w:hAnsi="Times New Roman"/>
                <w:sz w:val="20"/>
                <w:szCs w:val="20"/>
              </w:rPr>
              <w:t xml:space="preserve"> należy zmniejszyć lub należy przerwać leczenie.</w:t>
            </w:r>
          </w:p>
          <w:p w:rsidR="00F729FE" w:rsidRPr="0073124E" w:rsidRDefault="00F729FE" w:rsidP="00F729FE">
            <w:pPr>
              <w:numPr>
                <w:ilvl w:val="1"/>
                <w:numId w:val="18"/>
              </w:numPr>
              <w:spacing w:before="120" w:after="120"/>
              <w:ind w:left="357" w:right="54" w:hanging="357"/>
              <w:jc w:val="both"/>
              <w:rPr>
                <w:rFonts w:ascii="Times New Roman" w:eastAsia="Times New Roman" w:hAnsi="Times New Roman"/>
                <w:sz w:val="20"/>
                <w:szCs w:val="20"/>
              </w:rPr>
            </w:pPr>
            <w:r w:rsidRPr="0073124E">
              <w:rPr>
                <w:rFonts w:ascii="Times New Roman" w:eastAsia="Times New Roman" w:hAnsi="Times New Roman"/>
                <w:sz w:val="20"/>
                <w:szCs w:val="20"/>
              </w:rPr>
              <w:t>Zaburzenia czynności wątroby:</w:t>
            </w:r>
          </w:p>
          <w:p w:rsidR="00F729FE" w:rsidRPr="0073124E" w:rsidRDefault="00F729FE" w:rsidP="00F729FE">
            <w:pPr>
              <w:numPr>
                <w:ilvl w:val="2"/>
                <w:numId w:val="18"/>
              </w:numPr>
              <w:spacing w:before="120" w:after="120"/>
              <w:ind w:left="357" w:right="54" w:hanging="357"/>
              <w:jc w:val="both"/>
              <w:rPr>
                <w:rFonts w:ascii="Times New Roman" w:eastAsia="Times New Roman" w:hAnsi="Times New Roman"/>
                <w:sz w:val="20"/>
                <w:szCs w:val="20"/>
              </w:rPr>
            </w:pPr>
            <w:r w:rsidRPr="0073124E">
              <w:rPr>
                <w:rFonts w:ascii="Times New Roman" w:eastAsia="Times New Roman" w:hAnsi="Times New Roman"/>
                <w:sz w:val="20"/>
                <w:szCs w:val="20"/>
              </w:rPr>
              <w:t>w przypadku pacjentów z łagodnymi zaburzeniami czynności wątroby (klasa A wg skali Child-</w:t>
            </w:r>
            <w:proofErr w:type="spellStart"/>
            <w:r w:rsidRPr="0073124E">
              <w:rPr>
                <w:rFonts w:ascii="Times New Roman" w:eastAsia="Times New Roman" w:hAnsi="Times New Roman"/>
                <w:sz w:val="20"/>
                <w:szCs w:val="20"/>
              </w:rPr>
              <w:t>Pugha</w:t>
            </w:r>
            <w:proofErr w:type="spellEnd"/>
            <w:r w:rsidRPr="0073124E">
              <w:rPr>
                <w:rFonts w:ascii="Times New Roman" w:eastAsia="Times New Roman" w:hAnsi="Times New Roman"/>
                <w:sz w:val="20"/>
                <w:szCs w:val="20"/>
              </w:rPr>
              <w:t>) dostosowanie dawkowania nie jest konieczne;</w:t>
            </w:r>
          </w:p>
          <w:p w:rsidR="00F729FE" w:rsidRPr="0073124E" w:rsidRDefault="00F729FE" w:rsidP="00F729FE">
            <w:pPr>
              <w:numPr>
                <w:ilvl w:val="2"/>
                <w:numId w:val="18"/>
              </w:numPr>
              <w:spacing w:before="120" w:after="120"/>
              <w:ind w:left="357" w:right="54" w:hanging="357"/>
              <w:jc w:val="both"/>
              <w:rPr>
                <w:rFonts w:ascii="Times New Roman" w:eastAsia="Times New Roman" w:hAnsi="Times New Roman"/>
                <w:sz w:val="20"/>
                <w:szCs w:val="20"/>
              </w:rPr>
            </w:pPr>
            <w:r w:rsidRPr="0073124E">
              <w:rPr>
                <w:rFonts w:ascii="Times New Roman" w:eastAsia="Times New Roman" w:hAnsi="Times New Roman"/>
                <w:sz w:val="20"/>
                <w:szCs w:val="20"/>
              </w:rPr>
              <w:t>w przypadku pacjentów z umiarkowanymi zaburzeniami czynności wątroby (klasa B wg. skali Child-</w:t>
            </w:r>
            <w:proofErr w:type="spellStart"/>
            <w:r w:rsidRPr="0073124E">
              <w:rPr>
                <w:rFonts w:ascii="Times New Roman" w:eastAsia="Times New Roman" w:hAnsi="Times New Roman"/>
                <w:sz w:val="20"/>
                <w:szCs w:val="20"/>
              </w:rPr>
              <w:t>Pugha</w:t>
            </w:r>
            <w:proofErr w:type="spellEnd"/>
            <w:r w:rsidRPr="0073124E">
              <w:rPr>
                <w:rFonts w:ascii="Times New Roman" w:eastAsia="Times New Roman" w:hAnsi="Times New Roman"/>
                <w:sz w:val="20"/>
                <w:szCs w:val="20"/>
              </w:rPr>
              <w:t>) zalecana dawka początkowa wynosi 20 mg co 4 tygodnie. Maksymalna dawka zalecana u tych pacjentów wynosi 40 mg co 4 tygodnie;</w:t>
            </w:r>
          </w:p>
          <w:p w:rsidR="00F729FE" w:rsidRPr="0073124E" w:rsidRDefault="00F729FE" w:rsidP="00F729FE">
            <w:pPr>
              <w:numPr>
                <w:ilvl w:val="2"/>
                <w:numId w:val="18"/>
              </w:numPr>
              <w:spacing w:before="120" w:after="120"/>
              <w:ind w:left="357" w:right="54" w:hanging="357"/>
              <w:jc w:val="both"/>
              <w:rPr>
                <w:rFonts w:ascii="Times New Roman" w:eastAsia="Times New Roman" w:hAnsi="Times New Roman"/>
                <w:sz w:val="20"/>
                <w:szCs w:val="20"/>
              </w:rPr>
            </w:pPr>
            <w:r w:rsidRPr="0073124E">
              <w:rPr>
                <w:rFonts w:ascii="Times New Roman" w:eastAsia="Times New Roman" w:hAnsi="Times New Roman"/>
                <w:sz w:val="20"/>
                <w:szCs w:val="20"/>
              </w:rPr>
              <w:t xml:space="preserve">w przypadku pacjentów z żółtaczką lub innymi objawami sugerującymi klinicznie istotną dysfunkcję wątroby lub utrzymywanie się zwiększonej aktywności </w:t>
            </w:r>
            <w:proofErr w:type="spellStart"/>
            <w:r w:rsidRPr="0073124E">
              <w:rPr>
                <w:rFonts w:ascii="Times New Roman" w:eastAsia="Times New Roman" w:hAnsi="Times New Roman"/>
                <w:sz w:val="20"/>
                <w:szCs w:val="20"/>
              </w:rPr>
              <w:t>AspAT</w:t>
            </w:r>
            <w:proofErr w:type="spellEnd"/>
            <w:r w:rsidRPr="0073124E">
              <w:rPr>
                <w:rFonts w:ascii="Times New Roman" w:eastAsia="Times New Roman" w:hAnsi="Times New Roman"/>
                <w:sz w:val="20"/>
                <w:szCs w:val="20"/>
              </w:rPr>
              <w:t xml:space="preserve"> lub </w:t>
            </w:r>
            <w:proofErr w:type="spellStart"/>
            <w:r w:rsidRPr="0073124E">
              <w:rPr>
                <w:rFonts w:ascii="Times New Roman" w:eastAsia="Times New Roman" w:hAnsi="Times New Roman"/>
                <w:sz w:val="20"/>
                <w:szCs w:val="20"/>
              </w:rPr>
              <w:t>AlAT</w:t>
            </w:r>
            <w:proofErr w:type="spellEnd"/>
            <w:r w:rsidRPr="0073124E">
              <w:rPr>
                <w:rFonts w:ascii="Times New Roman" w:eastAsia="Times New Roman" w:hAnsi="Times New Roman"/>
                <w:sz w:val="20"/>
                <w:szCs w:val="20"/>
              </w:rPr>
              <w:t xml:space="preserve"> na poziomie co najmniej 5 x GGN (górna granica normy) lub wzrost aktywności </w:t>
            </w:r>
            <w:proofErr w:type="spellStart"/>
            <w:r w:rsidRPr="0073124E">
              <w:rPr>
                <w:rFonts w:ascii="Times New Roman" w:eastAsia="Times New Roman" w:hAnsi="Times New Roman"/>
                <w:sz w:val="20"/>
                <w:szCs w:val="20"/>
              </w:rPr>
              <w:t>AlAT</w:t>
            </w:r>
            <w:proofErr w:type="spellEnd"/>
            <w:r w:rsidRPr="0073124E">
              <w:rPr>
                <w:rFonts w:ascii="Times New Roman" w:eastAsia="Times New Roman" w:hAnsi="Times New Roman"/>
                <w:sz w:val="20"/>
                <w:szCs w:val="20"/>
              </w:rPr>
              <w:t xml:space="preserve"> lub </w:t>
            </w:r>
            <w:proofErr w:type="spellStart"/>
            <w:r w:rsidRPr="0073124E">
              <w:rPr>
                <w:rFonts w:ascii="Times New Roman" w:eastAsia="Times New Roman" w:hAnsi="Times New Roman"/>
                <w:sz w:val="20"/>
                <w:szCs w:val="20"/>
              </w:rPr>
              <w:t>AspAT</w:t>
            </w:r>
            <w:proofErr w:type="spellEnd"/>
            <w:r w:rsidRPr="0073124E">
              <w:rPr>
                <w:rFonts w:ascii="Times New Roman" w:eastAsia="Times New Roman" w:hAnsi="Times New Roman"/>
                <w:sz w:val="20"/>
                <w:szCs w:val="20"/>
              </w:rPr>
              <w:t xml:space="preserve"> przekraczający 3 x GGN z jednoczesnym wzrostem stężenia bilirubiny </w:t>
            </w:r>
            <w:r w:rsidRPr="0073124E">
              <w:rPr>
                <w:rFonts w:ascii="Times New Roman" w:eastAsia="Times New Roman" w:hAnsi="Times New Roman"/>
                <w:sz w:val="20"/>
                <w:szCs w:val="20"/>
              </w:rPr>
              <w:lastRenderedPageBreak/>
              <w:t xml:space="preserve">powyżej 2 x GGN należy monitorować stan pacjenta po przerwaniu leczenia </w:t>
            </w:r>
            <w:proofErr w:type="spellStart"/>
            <w:r w:rsidRPr="0073124E">
              <w:rPr>
                <w:rFonts w:ascii="Times New Roman" w:eastAsia="Times New Roman" w:hAnsi="Times New Roman"/>
                <w:sz w:val="20"/>
                <w:szCs w:val="20"/>
              </w:rPr>
              <w:t>pasyreotydem</w:t>
            </w:r>
            <w:proofErr w:type="spellEnd"/>
            <w:r w:rsidRPr="0073124E">
              <w:rPr>
                <w:rFonts w:ascii="Times New Roman" w:eastAsia="Times New Roman" w:hAnsi="Times New Roman"/>
                <w:sz w:val="20"/>
                <w:szCs w:val="20"/>
              </w:rPr>
              <w:t xml:space="preserve"> do czasu ustąpienia nieprawidłowości. Leczenia nie należy wznawiać, jeśli w ocenie lekarza nieprawidłowa czynność wątroby ma związek z </w:t>
            </w:r>
            <w:proofErr w:type="spellStart"/>
            <w:r w:rsidRPr="0073124E">
              <w:rPr>
                <w:rFonts w:ascii="Times New Roman" w:eastAsia="Times New Roman" w:hAnsi="Times New Roman"/>
                <w:sz w:val="20"/>
                <w:szCs w:val="20"/>
              </w:rPr>
              <w:t>pasyreotydem</w:t>
            </w:r>
            <w:proofErr w:type="spellEnd"/>
            <w:r w:rsidRPr="0073124E">
              <w:rPr>
                <w:rFonts w:ascii="Times New Roman" w:eastAsia="Times New Roman" w:hAnsi="Times New Roman"/>
                <w:sz w:val="20"/>
                <w:szCs w:val="20"/>
              </w:rPr>
              <w:t>.</w:t>
            </w:r>
          </w:p>
          <w:p w:rsidR="00F729FE" w:rsidRPr="0073124E" w:rsidRDefault="00F729FE" w:rsidP="00F729FE">
            <w:pPr>
              <w:numPr>
                <w:ilvl w:val="1"/>
                <w:numId w:val="18"/>
              </w:numPr>
              <w:ind w:left="357" w:right="54" w:hanging="357"/>
              <w:jc w:val="both"/>
              <w:rPr>
                <w:rFonts w:ascii="Times New Roman" w:eastAsia="Times New Roman" w:hAnsi="Times New Roman"/>
                <w:sz w:val="20"/>
                <w:szCs w:val="20"/>
              </w:rPr>
            </w:pPr>
            <w:r w:rsidRPr="0073124E">
              <w:rPr>
                <w:rFonts w:ascii="Times New Roman" w:eastAsia="Times New Roman" w:hAnsi="Times New Roman"/>
                <w:sz w:val="20"/>
                <w:szCs w:val="20"/>
              </w:rPr>
              <w:t xml:space="preserve">Należy zachować ostrożność oraz dokonać uważnej oceny stosunku korzyści do ryzyka stosując </w:t>
            </w:r>
            <w:proofErr w:type="spellStart"/>
            <w:r w:rsidRPr="0073124E">
              <w:rPr>
                <w:rFonts w:ascii="Times New Roman" w:eastAsia="Times New Roman" w:hAnsi="Times New Roman"/>
                <w:sz w:val="20"/>
                <w:szCs w:val="20"/>
              </w:rPr>
              <w:t>pasyreotyd</w:t>
            </w:r>
            <w:proofErr w:type="spellEnd"/>
            <w:r w:rsidRPr="0073124E">
              <w:rPr>
                <w:rFonts w:ascii="Times New Roman" w:eastAsia="Times New Roman" w:hAnsi="Times New Roman"/>
                <w:sz w:val="20"/>
                <w:szCs w:val="20"/>
              </w:rPr>
              <w:t xml:space="preserve"> u pacjentów narażonych na istotne ryzyko wystąpienia wydłużenia odstępu QT w EKG.</w:t>
            </w:r>
          </w:p>
        </w:tc>
        <w:tc>
          <w:tcPr>
            <w:tcW w:w="1607" w:type="pct"/>
            <w:tcBorders>
              <w:top w:val="single" w:sz="6" w:space="0" w:color="auto"/>
              <w:left w:val="single" w:sz="6" w:space="0" w:color="auto"/>
              <w:bottom w:val="single" w:sz="6" w:space="0" w:color="auto"/>
              <w:right w:val="single" w:sz="6" w:space="0" w:color="auto"/>
            </w:tcBorders>
          </w:tcPr>
          <w:p w:rsidR="00F729FE" w:rsidRPr="0073124E" w:rsidRDefault="00F729FE" w:rsidP="00F729FE">
            <w:pPr>
              <w:numPr>
                <w:ilvl w:val="0"/>
                <w:numId w:val="20"/>
              </w:numPr>
              <w:spacing w:before="120" w:after="120" w:line="240" w:lineRule="auto"/>
              <w:ind w:left="357" w:right="120" w:hanging="357"/>
              <w:jc w:val="both"/>
              <w:rPr>
                <w:rFonts w:ascii="Times New Roman" w:eastAsia="Times New Roman" w:hAnsi="Times New Roman"/>
                <w:b/>
                <w:sz w:val="20"/>
                <w:szCs w:val="20"/>
              </w:rPr>
            </w:pPr>
            <w:r w:rsidRPr="0073124E">
              <w:rPr>
                <w:rFonts w:ascii="Times New Roman" w:hAnsi="Times New Roman"/>
                <w:b/>
                <w:sz w:val="20"/>
                <w:szCs w:val="20"/>
              </w:rPr>
              <w:lastRenderedPageBreak/>
              <w:t xml:space="preserve"> </w:t>
            </w:r>
            <w:r w:rsidRPr="0073124E">
              <w:rPr>
                <w:rFonts w:ascii="Times New Roman" w:eastAsia="Times New Roman" w:hAnsi="Times New Roman"/>
                <w:b/>
                <w:sz w:val="20"/>
                <w:szCs w:val="20"/>
              </w:rPr>
              <w:t xml:space="preserve">Badania przy kwalifikacji do leczenia </w:t>
            </w:r>
            <w:proofErr w:type="spellStart"/>
            <w:r w:rsidRPr="0073124E">
              <w:rPr>
                <w:rFonts w:ascii="Times New Roman" w:eastAsia="Times New Roman" w:hAnsi="Times New Roman"/>
                <w:b/>
                <w:sz w:val="20"/>
                <w:szCs w:val="20"/>
              </w:rPr>
              <w:t>pasyreotydem</w:t>
            </w:r>
            <w:proofErr w:type="spellEnd"/>
          </w:p>
          <w:p w:rsidR="00F729FE" w:rsidRPr="0073124E" w:rsidRDefault="00F729FE" w:rsidP="00F729FE">
            <w:pPr>
              <w:numPr>
                <w:ilvl w:val="1"/>
                <w:numId w:val="21"/>
              </w:numPr>
              <w:spacing w:after="60"/>
              <w:ind w:left="317" w:right="120" w:hanging="289"/>
              <w:jc w:val="both"/>
              <w:rPr>
                <w:rFonts w:ascii="Times New Roman" w:eastAsia="Times New Roman" w:hAnsi="Times New Roman"/>
                <w:sz w:val="20"/>
                <w:szCs w:val="20"/>
              </w:rPr>
            </w:pPr>
            <w:r w:rsidRPr="0073124E">
              <w:rPr>
                <w:rFonts w:ascii="Times New Roman" w:eastAsia="Times New Roman" w:hAnsi="Times New Roman"/>
                <w:sz w:val="20"/>
                <w:szCs w:val="20"/>
              </w:rPr>
              <w:t>badanie podmiotowe i przedmiotowe: ocena somatycznych objawów akromegalii oraz ewentualnych powikłań, zwłaszcza w zakresie chorób układu sercowo-naczyniowego i metabolicznych (cukrzyca i zaburzenia tolerancji węglowodanów);</w:t>
            </w:r>
          </w:p>
          <w:p w:rsidR="00F729FE" w:rsidRPr="0073124E" w:rsidRDefault="00F729FE" w:rsidP="00F729FE">
            <w:pPr>
              <w:numPr>
                <w:ilvl w:val="1"/>
                <w:numId w:val="21"/>
              </w:numPr>
              <w:spacing w:after="60"/>
              <w:ind w:left="317" w:right="120" w:hanging="289"/>
              <w:jc w:val="both"/>
              <w:rPr>
                <w:rFonts w:ascii="Times New Roman" w:eastAsia="Times New Roman" w:hAnsi="Times New Roman"/>
                <w:sz w:val="20"/>
                <w:szCs w:val="20"/>
              </w:rPr>
            </w:pPr>
            <w:r w:rsidRPr="0073124E">
              <w:rPr>
                <w:rFonts w:ascii="Times New Roman" w:eastAsia="Times New Roman" w:hAnsi="Times New Roman"/>
                <w:sz w:val="20"/>
                <w:szCs w:val="20"/>
              </w:rPr>
              <w:t>ocena hormonalna: stę</w:t>
            </w:r>
            <w:r>
              <w:rPr>
                <w:rFonts w:ascii="Times New Roman" w:eastAsia="Times New Roman" w:hAnsi="Times New Roman"/>
                <w:sz w:val="20"/>
                <w:szCs w:val="20"/>
              </w:rPr>
              <w:t>żenie hormonu wzrostu; stężenie</w:t>
            </w:r>
            <w:r>
              <w:rPr>
                <w:rFonts w:ascii="Times New Roman" w:eastAsia="Times New Roman" w:hAnsi="Times New Roman"/>
                <w:sz w:val="20"/>
                <w:szCs w:val="20"/>
              </w:rPr>
              <w:br/>
            </w:r>
            <w:r w:rsidRPr="0073124E">
              <w:rPr>
                <w:rFonts w:ascii="Times New Roman" w:eastAsia="Times New Roman" w:hAnsi="Times New Roman"/>
                <w:sz w:val="20"/>
                <w:szCs w:val="20"/>
              </w:rPr>
              <w:t>IGF-1, ocena wyrównania czynności nadnerczy i tarczycy;</w:t>
            </w:r>
          </w:p>
          <w:p w:rsidR="00F729FE" w:rsidRPr="0073124E" w:rsidRDefault="00F729FE" w:rsidP="00F729FE">
            <w:pPr>
              <w:numPr>
                <w:ilvl w:val="1"/>
                <w:numId w:val="21"/>
              </w:numPr>
              <w:spacing w:after="60"/>
              <w:ind w:left="317" w:right="120" w:hanging="289"/>
              <w:jc w:val="both"/>
              <w:rPr>
                <w:rFonts w:ascii="Times New Roman" w:eastAsia="Times New Roman" w:hAnsi="Times New Roman"/>
                <w:sz w:val="20"/>
                <w:szCs w:val="20"/>
              </w:rPr>
            </w:pPr>
            <w:r w:rsidRPr="0073124E">
              <w:rPr>
                <w:rFonts w:ascii="Times New Roman" w:eastAsia="Times New Roman" w:hAnsi="Times New Roman"/>
                <w:sz w:val="20"/>
                <w:szCs w:val="20"/>
              </w:rPr>
              <w:t xml:space="preserve">rezonans magnetyczny układu podwzgórzowo-przysadkowego z użyciem środka kontrastowego wykonany przy użyciu aparatu spełniającego normy do diagnostyki przysadki nie wcześniej niż w okresie 3 miesięcy poprzedzających kwalifikację do leczenia </w:t>
            </w:r>
            <w:proofErr w:type="spellStart"/>
            <w:r w:rsidRPr="0073124E">
              <w:rPr>
                <w:rFonts w:ascii="Times New Roman" w:eastAsia="Times New Roman" w:hAnsi="Times New Roman"/>
                <w:sz w:val="20"/>
                <w:szCs w:val="20"/>
              </w:rPr>
              <w:t>pasyreotydem</w:t>
            </w:r>
            <w:proofErr w:type="spellEnd"/>
            <w:r w:rsidRPr="0073124E">
              <w:rPr>
                <w:rFonts w:ascii="Times New Roman" w:eastAsia="Times New Roman" w:hAnsi="Times New Roman"/>
                <w:sz w:val="20"/>
                <w:szCs w:val="20"/>
              </w:rPr>
              <w:t>;</w:t>
            </w:r>
          </w:p>
          <w:p w:rsidR="00F729FE" w:rsidRPr="0073124E" w:rsidRDefault="00F729FE" w:rsidP="00F729FE">
            <w:pPr>
              <w:numPr>
                <w:ilvl w:val="1"/>
                <w:numId w:val="21"/>
              </w:numPr>
              <w:spacing w:after="60"/>
              <w:ind w:left="317" w:right="120" w:hanging="289"/>
              <w:jc w:val="both"/>
              <w:rPr>
                <w:rFonts w:ascii="Times New Roman" w:eastAsia="Times New Roman" w:hAnsi="Times New Roman"/>
                <w:sz w:val="20"/>
                <w:szCs w:val="20"/>
              </w:rPr>
            </w:pPr>
            <w:r w:rsidRPr="0073124E">
              <w:rPr>
                <w:rFonts w:ascii="Times New Roman" w:eastAsia="Times New Roman" w:hAnsi="Times New Roman"/>
                <w:sz w:val="20"/>
                <w:szCs w:val="20"/>
              </w:rPr>
              <w:t xml:space="preserve">ocena pola widzenia w przypadku </w:t>
            </w:r>
            <w:proofErr w:type="spellStart"/>
            <w:r w:rsidRPr="0073124E">
              <w:rPr>
                <w:rFonts w:ascii="Times New Roman" w:eastAsia="Times New Roman" w:hAnsi="Times New Roman"/>
                <w:sz w:val="20"/>
                <w:szCs w:val="20"/>
              </w:rPr>
              <w:t>makrogruczolaka</w:t>
            </w:r>
            <w:proofErr w:type="spellEnd"/>
            <w:r w:rsidRPr="0073124E">
              <w:rPr>
                <w:rFonts w:ascii="Times New Roman" w:eastAsia="Times New Roman" w:hAnsi="Times New Roman"/>
                <w:sz w:val="20"/>
                <w:szCs w:val="20"/>
              </w:rPr>
              <w:t xml:space="preserve"> przysadki (guz o średnicy ≥ 1 cm);</w:t>
            </w:r>
          </w:p>
          <w:p w:rsidR="00F729FE" w:rsidRPr="0073124E" w:rsidRDefault="00F729FE" w:rsidP="00F729FE">
            <w:pPr>
              <w:numPr>
                <w:ilvl w:val="1"/>
                <w:numId w:val="21"/>
              </w:numPr>
              <w:spacing w:after="60"/>
              <w:ind w:left="317" w:right="120" w:hanging="289"/>
              <w:jc w:val="both"/>
              <w:rPr>
                <w:rFonts w:ascii="Times New Roman" w:eastAsia="Times New Roman" w:hAnsi="Times New Roman"/>
                <w:sz w:val="20"/>
                <w:szCs w:val="20"/>
              </w:rPr>
            </w:pPr>
            <w:r w:rsidRPr="0073124E">
              <w:rPr>
                <w:rFonts w:ascii="Times New Roman" w:eastAsia="Times New Roman" w:hAnsi="Times New Roman"/>
                <w:sz w:val="20"/>
                <w:szCs w:val="20"/>
              </w:rPr>
              <w:t xml:space="preserve">badania laboratoryjne: ocena stężenia glukozy w osoczu krwi żylnej na czczo oraz odsetek hemoglobiny </w:t>
            </w:r>
            <w:proofErr w:type="spellStart"/>
            <w:r w:rsidRPr="0073124E">
              <w:rPr>
                <w:rFonts w:ascii="Times New Roman" w:eastAsia="Times New Roman" w:hAnsi="Times New Roman"/>
                <w:sz w:val="20"/>
                <w:szCs w:val="20"/>
              </w:rPr>
              <w:t>glikowanej</w:t>
            </w:r>
            <w:proofErr w:type="spellEnd"/>
            <w:r w:rsidRPr="0073124E">
              <w:rPr>
                <w:rFonts w:ascii="Times New Roman" w:eastAsia="Times New Roman" w:hAnsi="Times New Roman"/>
                <w:sz w:val="20"/>
                <w:szCs w:val="20"/>
              </w:rPr>
              <w:t xml:space="preserve"> (HbA1c), stężenie sodu, potasu, magnezu, kreatyniny i GFR;</w:t>
            </w:r>
          </w:p>
          <w:p w:rsidR="00F729FE" w:rsidRPr="0073124E" w:rsidRDefault="00F729FE" w:rsidP="00F729FE">
            <w:pPr>
              <w:numPr>
                <w:ilvl w:val="1"/>
                <w:numId w:val="21"/>
              </w:numPr>
              <w:spacing w:after="60"/>
              <w:ind w:left="317" w:right="120" w:hanging="289"/>
              <w:jc w:val="both"/>
              <w:rPr>
                <w:rFonts w:ascii="Times New Roman" w:eastAsia="Times New Roman" w:hAnsi="Times New Roman"/>
                <w:sz w:val="20"/>
                <w:szCs w:val="20"/>
              </w:rPr>
            </w:pPr>
            <w:r w:rsidRPr="0073124E">
              <w:rPr>
                <w:rFonts w:ascii="Times New Roman" w:eastAsia="Times New Roman" w:hAnsi="Times New Roman"/>
                <w:sz w:val="20"/>
                <w:szCs w:val="20"/>
              </w:rPr>
              <w:lastRenderedPageBreak/>
              <w:t xml:space="preserve">ocena funkcji wątroby: aktywność </w:t>
            </w:r>
            <w:proofErr w:type="spellStart"/>
            <w:r w:rsidRPr="0073124E">
              <w:rPr>
                <w:rFonts w:ascii="Times New Roman" w:eastAsia="Times New Roman" w:hAnsi="Times New Roman"/>
                <w:sz w:val="20"/>
                <w:szCs w:val="20"/>
              </w:rPr>
              <w:t>AspAT</w:t>
            </w:r>
            <w:proofErr w:type="spellEnd"/>
            <w:r w:rsidRPr="0073124E">
              <w:rPr>
                <w:rFonts w:ascii="Times New Roman" w:eastAsia="Times New Roman" w:hAnsi="Times New Roman"/>
                <w:sz w:val="20"/>
                <w:szCs w:val="20"/>
              </w:rPr>
              <w:t xml:space="preserve"> i </w:t>
            </w:r>
            <w:proofErr w:type="spellStart"/>
            <w:r w:rsidRPr="0073124E">
              <w:rPr>
                <w:rFonts w:ascii="Times New Roman" w:eastAsia="Times New Roman" w:hAnsi="Times New Roman"/>
                <w:sz w:val="20"/>
                <w:szCs w:val="20"/>
              </w:rPr>
              <w:t>AlAT</w:t>
            </w:r>
            <w:proofErr w:type="spellEnd"/>
            <w:r w:rsidRPr="0073124E">
              <w:rPr>
                <w:rFonts w:ascii="Times New Roman" w:eastAsia="Times New Roman" w:hAnsi="Times New Roman"/>
                <w:sz w:val="20"/>
                <w:szCs w:val="20"/>
              </w:rPr>
              <w:t xml:space="preserve"> oraz bilirubiny całkowitej;</w:t>
            </w:r>
          </w:p>
          <w:p w:rsidR="00F729FE" w:rsidRPr="0073124E" w:rsidRDefault="00F729FE" w:rsidP="00F729FE">
            <w:pPr>
              <w:numPr>
                <w:ilvl w:val="1"/>
                <w:numId w:val="21"/>
              </w:numPr>
              <w:spacing w:after="60"/>
              <w:ind w:left="317" w:right="120" w:hanging="289"/>
              <w:jc w:val="both"/>
              <w:rPr>
                <w:rFonts w:ascii="Times New Roman" w:eastAsia="Times New Roman" w:hAnsi="Times New Roman"/>
                <w:sz w:val="20"/>
                <w:szCs w:val="20"/>
              </w:rPr>
            </w:pPr>
            <w:r w:rsidRPr="0073124E">
              <w:rPr>
                <w:rFonts w:ascii="Times New Roman" w:eastAsia="Times New Roman" w:hAnsi="Times New Roman"/>
                <w:sz w:val="20"/>
                <w:szCs w:val="20"/>
              </w:rPr>
              <w:t>ocena ultrasonograficzna jamy brzusznej ze szczególnym uwzględnieniem pęcherzyka żółciowego i dróg żółciowych (jeśli nie była wykonywana w okresie 3 poprzedzających miesięcy);</w:t>
            </w:r>
          </w:p>
          <w:p w:rsidR="00F729FE" w:rsidRPr="0073124E" w:rsidRDefault="00F729FE" w:rsidP="00F729FE">
            <w:pPr>
              <w:numPr>
                <w:ilvl w:val="1"/>
                <w:numId w:val="21"/>
              </w:numPr>
              <w:spacing w:after="60"/>
              <w:ind w:left="317" w:right="120" w:hanging="289"/>
              <w:jc w:val="both"/>
              <w:rPr>
                <w:rFonts w:ascii="Times New Roman" w:eastAsia="Times New Roman" w:hAnsi="Times New Roman"/>
                <w:sz w:val="20"/>
                <w:szCs w:val="20"/>
              </w:rPr>
            </w:pPr>
            <w:r w:rsidRPr="0073124E">
              <w:rPr>
                <w:rFonts w:ascii="Times New Roman" w:eastAsia="Times New Roman" w:hAnsi="Times New Roman"/>
                <w:sz w:val="20"/>
                <w:szCs w:val="20"/>
              </w:rPr>
              <w:t>ocena układu krążenia: ocena ciśnienia tętniczego oraz badanie EKG z uważną oceną odstępu QT oraz ewentualnych zaburzeń rytmu serca, a w razie wątpliwości lub obciążającego wywiadu w zakresie chorób układu krążenia konsultacja kardiologiczna.</w:t>
            </w:r>
          </w:p>
          <w:p w:rsidR="00F729FE" w:rsidRPr="0073124E" w:rsidRDefault="00F729FE" w:rsidP="00F729FE">
            <w:pPr>
              <w:numPr>
                <w:ilvl w:val="0"/>
                <w:numId w:val="20"/>
              </w:numPr>
              <w:spacing w:before="120" w:after="120"/>
              <w:ind w:right="120"/>
              <w:jc w:val="both"/>
              <w:rPr>
                <w:rFonts w:ascii="Times New Roman" w:eastAsia="Times New Roman" w:hAnsi="Times New Roman"/>
                <w:b/>
                <w:sz w:val="20"/>
                <w:szCs w:val="20"/>
              </w:rPr>
            </w:pPr>
            <w:r w:rsidRPr="0073124E">
              <w:rPr>
                <w:rFonts w:ascii="Times New Roman" w:eastAsia="Times New Roman" w:hAnsi="Times New Roman"/>
                <w:b/>
                <w:sz w:val="20"/>
                <w:szCs w:val="20"/>
              </w:rPr>
              <w:t xml:space="preserve"> Monitorowanie leczenia</w:t>
            </w:r>
          </w:p>
          <w:p w:rsidR="00F729FE" w:rsidRPr="0073124E" w:rsidRDefault="00F729FE" w:rsidP="00F729FE">
            <w:pPr>
              <w:numPr>
                <w:ilvl w:val="1"/>
                <w:numId w:val="22"/>
              </w:numPr>
              <w:tabs>
                <w:tab w:val="left" w:pos="317"/>
              </w:tabs>
              <w:spacing w:after="60"/>
              <w:ind w:left="317" w:right="120" w:hanging="289"/>
              <w:jc w:val="both"/>
              <w:rPr>
                <w:rFonts w:ascii="Times New Roman" w:eastAsia="Times New Roman" w:hAnsi="Times New Roman"/>
                <w:sz w:val="20"/>
                <w:szCs w:val="20"/>
              </w:rPr>
            </w:pPr>
            <w:r w:rsidRPr="0073124E">
              <w:rPr>
                <w:rFonts w:ascii="Times New Roman" w:eastAsia="Times New Roman" w:hAnsi="Times New Roman"/>
                <w:sz w:val="20"/>
                <w:szCs w:val="20"/>
              </w:rPr>
              <w:t xml:space="preserve">po 3 miesiącach od rozpoczęcia leczenia (3 dawki </w:t>
            </w:r>
            <w:proofErr w:type="spellStart"/>
            <w:r w:rsidRPr="0073124E">
              <w:rPr>
                <w:rFonts w:ascii="Times New Roman" w:eastAsia="Times New Roman" w:hAnsi="Times New Roman"/>
                <w:sz w:val="20"/>
                <w:szCs w:val="20"/>
              </w:rPr>
              <w:t>pasyreotydu</w:t>
            </w:r>
            <w:proofErr w:type="spellEnd"/>
            <w:r w:rsidRPr="0073124E">
              <w:rPr>
                <w:rFonts w:ascii="Times New Roman" w:eastAsia="Times New Roman" w:hAnsi="Times New Roman"/>
                <w:sz w:val="20"/>
                <w:szCs w:val="20"/>
              </w:rPr>
              <w:t xml:space="preserve">) należy wykonać ocenę stężenia GH i stężenia IGF-1 w surowicy. Oznaczenia GH i IGF-1 należy powtarzać w okresie leczenia </w:t>
            </w:r>
            <w:proofErr w:type="spellStart"/>
            <w:r w:rsidRPr="0073124E">
              <w:rPr>
                <w:rFonts w:ascii="Times New Roman" w:eastAsia="Times New Roman" w:hAnsi="Times New Roman"/>
                <w:sz w:val="20"/>
                <w:szCs w:val="20"/>
              </w:rPr>
              <w:t>pasyreotydem</w:t>
            </w:r>
            <w:proofErr w:type="spellEnd"/>
            <w:r w:rsidRPr="0073124E">
              <w:rPr>
                <w:rFonts w:ascii="Times New Roman" w:eastAsia="Times New Roman" w:hAnsi="Times New Roman"/>
                <w:sz w:val="20"/>
                <w:szCs w:val="20"/>
              </w:rPr>
              <w:t xml:space="preserve"> co 3 miesiące;</w:t>
            </w:r>
          </w:p>
          <w:p w:rsidR="00F729FE" w:rsidRPr="0073124E" w:rsidRDefault="00F729FE" w:rsidP="00F729FE">
            <w:pPr>
              <w:numPr>
                <w:ilvl w:val="1"/>
                <w:numId w:val="22"/>
              </w:numPr>
              <w:tabs>
                <w:tab w:val="left" w:pos="317"/>
              </w:tabs>
              <w:spacing w:after="60"/>
              <w:ind w:left="317" w:right="120" w:hanging="289"/>
              <w:jc w:val="both"/>
              <w:rPr>
                <w:rFonts w:ascii="Times New Roman" w:eastAsia="Times New Roman" w:hAnsi="Times New Roman"/>
                <w:sz w:val="20"/>
                <w:szCs w:val="20"/>
              </w:rPr>
            </w:pPr>
            <w:r w:rsidRPr="0073124E">
              <w:rPr>
                <w:rFonts w:ascii="Times New Roman" w:eastAsia="Times New Roman" w:hAnsi="Times New Roman"/>
                <w:sz w:val="20"/>
                <w:szCs w:val="20"/>
              </w:rPr>
              <w:t>po 6 i 12 miesiącach od rozpoczęcia leczenia należy wykonać badanie rezonansu magnetycznego układu podwzgórzowo-przysadkowego. Począwszy od drugiego roku leczenia badanie to należy wykonywać co 12 miesięcy lub też niezwłocznie w sytuacji dołączenia się nowych ubytków w polu widzenia;</w:t>
            </w:r>
          </w:p>
          <w:p w:rsidR="00F729FE" w:rsidRPr="0073124E" w:rsidRDefault="00F729FE" w:rsidP="00F729FE">
            <w:pPr>
              <w:numPr>
                <w:ilvl w:val="1"/>
                <w:numId w:val="22"/>
              </w:numPr>
              <w:tabs>
                <w:tab w:val="left" w:pos="317"/>
              </w:tabs>
              <w:spacing w:after="60"/>
              <w:ind w:left="317" w:right="120" w:hanging="289"/>
              <w:jc w:val="both"/>
              <w:rPr>
                <w:rFonts w:ascii="Times New Roman" w:eastAsia="Times New Roman" w:hAnsi="Times New Roman"/>
                <w:sz w:val="20"/>
                <w:szCs w:val="20"/>
              </w:rPr>
            </w:pPr>
            <w:r w:rsidRPr="0073124E">
              <w:rPr>
                <w:rFonts w:ascii="Times New Roman" w:eastAsia="Times New Roman" w:hAnsi="Times New Roman"/>
                <w:sz w:val="20"/>
                <w:szCs w:val="20"/>
              </w:rPr>
              <w:t>oznaczanie stężenia glukozy we krwi i / lub ocena stężenia glukozy w osoczu na czczo – co tydzień przez pierwsze trzy miesiące od podania leku następnie okresowo zgodnie ze wskazaniami klinicznymi, a także w ciągu pierwszych 4</w:t>
            </w:r>
            <w:r>
              <w:rPr>
                <w:rFonts w:ascii="Times New Roman" w:eastAsia="Times New Roman" w:hAnsi="Times New Roman"/>
                <w:sz w:val="20"/>
                <w:szCs w:val="20"/>
              </w:rPr>
              <w:t> </w:t>
            </w:r>
            <w:r w:rsidRPr="0073124E">
              <w:rPr>
                <w:rFonts w:ascii="Times New Roman" w:eastAsia="Times New Roman" w:hAnsi="Times New Roman"/>
                <w:sz w:val="20"/>
                <w:szCs w:val="20"/>
              </w:rPr>
              <w:t xml:space="preserve">tygodni po każdym zwiększeniu dawki. Ponadto należy monitorować wartość stężenia glukozy w osoczu na czczo po 4 </w:t>
            </w:r>
            <w:r w:rsidRPr="0073124E">
              <w:rPr>
                <w:rFonts w:ascii="Times New Roman" w:eastAsia="Times New Roman" w:hAnsi="Times New Roman"/>
                <w:sz w:val="20"/>
                <w:szCs w:val="20"/>
              </w:rPr>
              <w:lastRenderedPageBreak/>
              <w:t>tygodniach od zakończenia leczenia, a stężenie HbA1c – po 3 tygodniach od zakończenia leczenia;</w:t>
            </w:r>
          </w:p>
          <w:p w:rsidR="00F729FE" w:rsidRPr="0073124E" w:rsidRDefault="00F729FE" w:rsidP="00F729FE">
            <w:pPr>
              <w:numPr>
                <w:ilvl w:val="1"/>
                <w:numId w:val="22"/>
              </w:numPr>
              <w:tabs>
                <w:tab w:val="left" w:pos="317"/>
              </w:tabs>
              <w:spacing w:after="60"/>
              <w:ind w:left="317" w:right="120" w:hanging="289"/>
              <w:jc w:val="both"/>
              <w:rPr>
                <w:rFonts w:ascii="Times New Roman" w:eastAsia="Times New Roman" w:hAnsi="Times New Roman"/>
                <w:sz w:val="20"/>
                <w:szCs w:val="20"/>
              </w:rPr>
            </w:pPr>
            <w:r w:rsidRPr="0073124E">
              <w:rPr>
                <w:rFonts w:ascii="Times New Roman" w:eastAsia="Times New Roman" w:hAnsi="Times New Roman"/>
                <w:sz w:val="20"/>
                <w:szCs w:val="20"/>
              </w:rPr>
              <w:t xml:space="preserve">ocena odsetka HbA1c po 3 miesiącach od podania leku i następnie co 3 miesiące w pierwszym roku leczenia oraz nie rzadziej niż raz na 6 miesięcy począwszy od drugiego roku leczenia </w:t>
            </w:r>
            <w:proofErr w:type="spellStart"/>
            <w:r w:rsidRPr="0073124E">
              <w:rPr>
                <w:rFonts w:ascii="Times New Roman" w:eastAsia="Times New Roman" w:hAnsi="Times New Roman"/>
                <w:sz w:val="20"/>
                <w:szCs w:val="20"/>
              </w:rPr>
              <w:t>pasyreotydem</w:t>
            </w:r>
            <w:proofErr w:type="spellEnd"/>
            <w:r w:rsidRPr="0073124E">
              <w:rPr>
                <w:rFonts w:ascii="Times New Roman" w:eastAsia="Times New Roman" w:hAnsi="Times New Roman"/>
                <w:sz w:val="20"/>
                <w:szCs w:val="20"/>
              </w:rPr>
              <w:t>;</w:t>
            </w:r>
          </w:p>
          <w:p w:rsidR="00F729FE" w:rsidRPr="0073124E" w:rsidRDefault="00F729FE" w:rsidP="00F729FE">
            <w:pPr>
              <w:numPr>
                <w:ilvl w:val="1"/>
                <w:numId w:val="22"/>
              </w:numPr>
              <w:tabs>
                <w:tab w:val="left" w:pos="317"/>
              </w:tabs>
              <w:spacing w:after="60"/>
              <w:ind w:left="317" w:right="120" w:hanging="289"/>
              <w:jc w:val="both"/>
              <w:rPr>
                <w:rFonts w:ascii="Times New Roman" w:eastAsia="Times New Roman" w:hAnsi="Times New Roman"/>
                <w:sz w:val="20"/>
                <w:szCs w:val="20"/>
              </w:rPr>
            </w:pPr>
            <w:r w:rsidRPr="0073124E">
              <w:rPr>
                <w:rFonts w:ascii="Times New Roman" w:eastAsia="Times New Roman" w:hAnsi="Times New Roman"/>
                <w:sz w:val="20"/>
                <w:szCs w:val="20"/>
              </w:rPr>
              <w:t xml:space="preserve">oznaczenie aktywności </w:t>
            </w:r>
            <w:proofErr w:type="spellStart"/>
            <w:r w:rsidRPr="0073124E">
              <w:rPr>
                <w:rFonts w:ascii="Times New Roman" w:eastAsia="Times New Roman" w:hAnsi="Times New Roman"/>
                <w:sz w:val="20"/>
                <w:szCs w:val="20"/>
              </w:rPr>
              <w:t>AspAT</w:t>
            </w:r>
            <w:proofErr w:type="spellEnd"/>
            <w:r w:rsidRPr="0073124E">
              <w:rPr>
                <w:rFonts w:ascii="Times New Roman" w:eastAsia="Times New Roman" w:hAnsi="Times New Roman"/>
                <w:sz w:val="20"/>
                <w:szCs w:val="20"/>
              </w:rPr>
              <w:t xml:space="preserve"> i </w:t>
            </w:r>
            <w:proofErr w:type="spellStart"/>
            <w:r w:rsidRPr="0073124E">
              <w:rPr>
                <w:rFonts w:ascii="Times New Roman" w:eastAsia="Times New Roman" w:hAnsi="Times New Roman"/>
                <w:sz w:val="20"/>
                <w:szCs w:val="20"/>
              </w:rPr>
              <w:t>AlAT</w:t>
            </w:r>
            <w:proofErr w:type="spellEnd"/>
            <w:r w:rsidRPr="0073124E">
              <w:rPr>
                <w:rFonts w:ascii="Times New Roman" w:eastAsia="Times New Roman" w:hAnsi="Times New Roman"/>
                <w:sz w:val="20"/>
                <w:szCs w:val="20"/>
              </w:rPr>
              <w:t xml:space="preserve"> oraz stężenia bilirubiny całkowitej po 1 i 2 tygodniach od podania pierwszej dawki leku lub zwiększenia jego dawki, a następnie z częstością co 1 miesiąc przez 3 miesiące leczenia. Następne monitorowanie powinno odbyć się w zależności od potrzeb klinicznych;</w:t>
            </w:r>
          </w:p>
          <w:p w:rsidR="00F729FE" w:rsidRPr="0073124E" w:rsidRDefault="00F729FE" w:rsidP="00F729FE">
            <w:pPr>
              <w:numPr>
                <w:ilvl w:val="1"/>
                <w:numId w:val="22"/>
              </w:numPr>
              <w:tabs>
                <w:tab w:val="left" w:pos="317"/>
              </w:tabs>
              <w:spacing w:after="60"/>
              <w:ind w:left="317" w:right="120" w:hanging="289"/>
              <w:jc w:val="both"/>
              <w:rPr>
                <w:rFonts w:ascii="Times New Roman" w:eastAsia="Times New Roman" w:hAnsi="Times New Roman"/>
                <w:sz w:val="20"/>
                <w:szCs w:val="20"/>
              </w:rPr>
            </w:pPr>
            <w:r w:rsidRPr="0073124E">
              <w:rPr>
                <w:rFonts w:ascii="Times New Roman" w:eastAsia="Times New Roman" w:hAnsi="Times New Roman"/>
                <w:sz w:val="20"/>
                <w:szCs w:val="20"/>
              </w:rPr>
              <w:t>badanie EKG z oceną odstępu QT po 3 tygodniach od rozpoczęcia leczenia lub zwiększenia dawki leku, następnie co 1 miesiąc przez 3 miesiące, a potem nie rzadziej niż raz na 6 miesięcy w trakcie trwania leczenia lub częściej, w zależności od wskazań klinicznych;</w:t>
            </w:r>
          </w:p>
          <w:p w:rsidR="00F729FE" w:rsidRPr="0073124E" w:rsidRDefault="00F729FE" w:rsidP="00F729FE">
            <w:pPr>
              <w:numPr>
                <w:ilvl w:val="1"/>
                <w:numId w:val="22"/>
              </w:numPr>
              <w:tabs>
                <w:tab w:val="left" w:pos="317"/>
              </w:tabs>
              <w:spacing w:after="60"/>
              <w:ind w:left="317" w:right="120" w:hanging="289"/>
              <w:jc w:val="both"/>
              <w:rPr>
                <w:rFonts w:ascii="Times New Roman" w:eastAsia="Times New Roman" w:hAnsi="Times New Roman"/>
                <w:sz w:val="20"/>
                <w:szCs w:val="20"/>
              </w:rPr>
            </w:pPr>
            <w:r w:rsidRPr="0073124E">
              <w:rPr>
                <w:rFonts w:ascii="Times New Roman" w:eastAsia="Times New Roman" w:hAnsi="Times New Roman"/>
                <w:sz w:val="20"/>
                <w:szCs w:val="20"/>
              </w:rPr>
              <w:t>USG pęcherzyka i dróg żółci</w:t>
            </w:r>
            <w:r>
              <w:rPr>
                <w:rFonts w:ascii="Times New Roman" w:eastAsia="Times New Roman" w:hAnsi="Times New Roman"/>
                <w:sz w:val="20"/>
                <w:szCs w:val="20"/>
              </w:rPr>
              <w:t>owych nie rzadziej niż raz na 6 </w:t>
            </w:r>
            <w:r w:rsidRPr="0073124E">
              <w:rPr>
                <w:rFonts w:ascii="Times New Roman" w:eastAsia="Times New Roman" w:hAnsi="Times New Roman"/>
                <w:sz w:val="20"/>
                <w:szCs w:val="20"/>
              </w:rPr>
              <w:t>miesięcy w okresie leczenia i 6 miesięcy po jego zakończeniu;</w:t>
            </w:r>
          </w:p>
          <w:p w:rsidR="00F729FE" w:rsidRPr="0073124E" w:rsidRDefault="00F729FE" w:rsidP="00F729FE">
            <w:pPr>
              <w:numPr>
                <w:ilvl w:val="1"/>
                <w:numId w:val="22"/>
              </w:numPr>
              <w:tabs>
                <w:tab w:val="left" w:pos="317"/>
              </w:tabs>
              <w:spacing w:after="60"/>
              <w:ind w:left="317" w:right="120" w:hanging="289"/>
              <w:jc w:val="both"/>
              <w:rPr>
                <w:rFonts w:ascii="Times New Roman" w:eastAsia="Times New Roman" w:hAnsi="Times New Roman"/>
                <w:sz w:val="20"/>
                <w:szCs w:val="20"/>
              </w:rPr>
            </w:pPr>
            <w:r w:rsidRPr="0073124E">
              <w:rPr>
                <w:rFonts w:ascii="Times New Roman" w:eastAsia="Times New Roman" w:hAnsi="Times New Roman"/>
                <w:sz w:val="20"/>
                <w:szCs w:val="20"/>
              </w:rPr>
              <w:t>oznaczenie poziomu magnezu i potasu według wskazań klinicznych;</w:t>
            </w:r>
          </w:p>
          <w:p w:rsidR="00F729FE" w:rsidRPr="0073124E" w:rsidRDefault="00F729FE" w:rsidP="00F729FE">
            <w:pPr>
              <w:numPr>
                <w:ilvl w:val="1"/>
                <w:numId w:val="22"/>
              </w:numPr>
              <w:tabs>
                <w:tab w:val="left" w:pos="317"/>
              </w:tabs>
              <w:spacing w:after="60"/>
              <w:ind w:left="317" w:right="120" w:hanging="289"/>
              <w:jc w:val="both"/>
              <w:rPr>
                <w:rFonts w:ascii="Times New Roman" w:eastAsia="Times New Roman" w:hAnsi="Times New Roman"/>
                <w:sz w:val="20"/>
                <w:szCs w:val="20"/>
              </w:rPr>
            </w:pPr>
            <w:r w:rsidRPr="0073124E">
              <w:rPr>
                <w:rFonts w:ascii="Times New Roman" w:eastAsia="Times New Roman" w:hAnsi="Times New Roman"/>
                <w:sz w:val="20"/>
                <w:szCs w:val="20"/>
              </w:rPr>
              <w:t xml:space="preserve">ocena pola widzenia w przypadku </w:t>
            </w:r>
            <w:proofErr w:type="spellStart"/>
            <w:r w:rsidRPr="0073124E">
              <w:rPr>
                <w:rFonts w:ascii="Times New Roman" w:eastAsia="Times New Roman" w:hAnsi="Times New Roman"/>
                <w:sz w:val="20"/>
                <w:szCs w:val="20"/>
              </w:rPr>
              <w:t>makrogruczolaków</w:t>
            </w:r>
            <w:proofErr w:type="spellEnd"/>
            <w:r w:rsidRPr="0073124E">
              <w:rPr>
                <w:rFonts w:ascii="Times New Roman" w:eastAsia="Times New Roman" w:hAnsi="Times New Roman"/>
                <w:sz w:val="20"/>
                <w:szCs w:val="20"/>
              </w:rPr>
              <w:t xml:space="preserve"> przysadki nie rzadziej niż 1 raz do roku i zawsze w przypadku wystąpienia nowych ubytków w polu widzenia lub subiektywnego pogorszenia pola widzenia;</w:t>
            </w:r>
          </w:p>
          <w:p w:rsidR="00F729FE" w:rsidRPr="0073124E" w:rsidRDefault="00F729FE" w:rsidP="00F729FE">
            <w:pPr>
              <w:numPr>
                <w:ilvl w:val="1"/>
                <w:numId w:val="22"/>
              </w:numPr>
              <w:tabs>
                <w:tab w:val="left" w:pos="317"/>
              </w:tabs>
              <w:spacing w:after="120"/>
              <w:ind w:left="317" w:right="120" w:hanging="289"/>
              <w:jc w:val="both"/>
              <w:rPr>
                <w:rFonts w:ascii="Times New Roman" w:eastAsia="Times New Roman" w:hAnsi="Times New Roman"/>
                <w:sz w:val="20"/>
                <w:szCs w:val="20"/>
              </w:rPr>
            </w:pPr>
            <w:r w:rsidRPr="0073124E">
              <w:rPr>
                <w:rFonts w:ascii="Times New Roman" w:eastAsia="Times New Roman" w:hAnsi="Times New Roman"/>
                <w:sz w:val="20"/>
                <w:szCs w:val="20"/>
              </w:rPr>
              <w:t>ocena wyrównania czyn</w:t>
            </w:r>
            <w:r>
              <w:rPr>
                <w:rFonts w:ascii="Times New Roman" w:eastAsia="Times New Roman" w:hAnsi="Times New Roman"/>
                <w:sz w:val="20"/>
                <w:szCs w:val="20"/>
              </w:rPr>
              <w:t>ności nadnerczy i tarczycy co 6 </w:t>
            </w:r>
            <w:r w:rsidRPr="0073124E">
              <w:rPr>
                <w:rFonts w:ascii="Times New Roman" w:eastAsia="Times New Roman" w:hAnsi="Times New Roman"/>
                <w:sz w:val="20"/>
                <w:szCs w:val="20"/>
              </w:rPr>
              <w:t>miesięcy.</w:t>
            </w:r>
          </w:p>
          <w:p w:rsidR="00F729FE" w:rsidRPr="00595437" w:rsidRDefault="00F729FE" w:rsidP="00F729FE">
            <w:pPr>
              <w:numPr>
                <w:ilvl w:val="0"/>
                <w:numId w:val="20"/>
              </w:numPr>
              <w:spacing w:before="120" w:after="120"/>
              <w:ind w:right="120"/>
              <w:jc w:val="both"/>
              <w:rPr>
                <w:rFonts w:ascii="Times New Roman" w:eastAsia="Times New Roman" w:hAnsi="Times New Roman"/>
                <w:b/>
                <w:sz w:val="20"/>
                <w:szCs w:val="20"/>
              </w:rPr>
            </w:pPr>
            <w:r w:rsidRPr="00595437">
              <w:rPr>
                <w:rFonts w:ascii="Times New Roman" w:eastAsia="Times New Roman" w:hAnsi="Times New Roman"/>
                <w:b/>
                <w:sz w:val="20"/>
                <w:szCs w:val="20"/>
              </w:rPr>
              <w:t>Monitorowanie programu</w:t>
            </w:r>
          </w:p>
          <w:p w:rsidR="00F729FE" w:rsidRPr="0073124E" w:rsidRDefault="00F729FE" w:rsidP="00F729FE">
            <w:pPr>
              <w:numPr>
                <w:ilvl w:val="1"/>
                <w:numId w:val="19"/>
              </w:numPr>
              <w:autoSpaceDE w:val="0"/>
              <w:autoSpaceDN w:val="0"/>
              <w:adjustRightInd w:val="0"/>
              <w:spacing w:after="60"/>
              <w:ind w:left="312" w:right="120" w:hanging="263"/>
              <w:jc w:val="both"/>
              <w:rPr>
                <w:rFonts w:ascii="Times New Roman" w:eastAsia="Times New Roman" w:hAnsi="Times New Roman"/>
                <w:sz w:val="20"/>
                <w:szCs w:val="20"/>
              </w:rPr>
            </w:pPr>
            <w:r w:rsidRPr="0073124E">
              <w:rPr>
                <w:rFonts w:ascii="Times New Roman" w:eastAsia="Times New Roman" w:hAnsi="Times New Roman"/>
                <w:sz w:val="20"/>
                <w:szCs w:val="20"/>
              </w:rPr>
              <w:lastRenderedPageBreak/>
              <w:t>gromadzenie w dokumentacji medycznej pacjenta danych dotyczących monitorowania leczenia i każdorazowe ich przedstawienie na żądanie kontrolerów Narodowego Funduszu Zdrowia;</w:t>
            </w:r>
          </w:p>
          <w:p w:rsidR="00F729FE" w:rsidRPr="0073124E" w:rsidRDefault="00F729FE" w:rsidP="00F729FE">
            <w:pPr>
              <w:numPr>
                <w:ilvl w:val="1"/>
                <w:numId w:val="19"/>
              </w:numPr>
              <w:autoSpaceDE w:val="0"/>
              <w:autoSpaceDN w:val="0"/>
              <w:adjustRightInd w:val="0"/>
              <w:spacing w:after="60"/>
              <w:ind w:left="312" w:right="120" w:hanging="263"/>
              <w:jc w:val="both"/>
              <w:rPr>
                <w:rFonts w:ascii="Times New Roman" w:eastAsia="Times New Roman" w:hAnsi="Times New Roman"/>
                <w:sz w:val="20"/>
                <w:szCs w:val="20"/>
              </w:rPr>
            </w:pPr>
            <w:r w:rsidRPr="0073124E">
              <w:rPr>
                <w:rFonts w:ascii="Times New Roman" w:eastAsia="Times New Roman" w:hAnsi="Times New Roman"/>
                <w:sz w:val="20"/>
                <w:szCs w:val="20"/>
              </w:rPr>
              <w:t>uzupełnianie danych zawartych w rejestrze (SMPT), dostępnym za pomocą aplikacji internetowej udostępnionej przez OW NFZ, z częstotliwością zgodną z opisem programu oraz na zakończenie leczenia;</w:t>
            </w:r>
          </w:p>
          <w:p w:rsidR="00F729FE" w:rsidRPr="0073124E" w:rsidRDefault="00F729FE" w:rsidP="00F729FE">
            <w:pPr>
              <w:numPr>
                <w:ilvl w:val="1"/>
                <w:numId w:val="19"/>
              </w:numPr>
              <w:autoSpaceDE w:val="0"/>
              <w:autoSpaceDN w:val="0"/>
              <w:adjustRightInd w:val="0"/>
              <w:spacing w:after="120"/>
              <w:ind w:left="312" w:right="120" w:hanging="284"/>
              <w:jc w:val="both"/>
              <w:rPr>
                <w:rFonts w:ascii="Times New Roman" w:hAnsi="Times New Roman"/>
                <w:b/>
                <w:sz w:val="20"/>
                <w:szCs w:val="20"/>
              </w:rPr>
            </w:pPr>
            <w:r w:rsidRPr="0073124E">
              <w:rPr>
                <w:rFonts w:ascii="Times New Roman" w:eastAsia="Times New Roman" w:hAnsi="Times New Roman"/>
                <w:sz w:val="20"/>
                <w:szCs w:val="20"/>
              </w:rPr>
              <w:t xml:space="preserve">przekazywanie informacji sprawozdawczo – rozliczeniowych do NFZ: informacje przekazuje się do NFZ w formie papierowej lub w formie elektronicznej, zgodnie z wymaganiami opublikowanymi przez Narodowy Fundusz Zdrowia. </w:t>
            </w:r>
          </w:p>
        </w:tc>
      </w:tr>
    </w:tbl>
    <w:p w:rsidR="00097CEA" w:rsidRPr="0015336C" w:rsidRDefault="00097CEA" w:rsidP="0015336C">
      <w:pPr>
        <w:rPr>
          <w:rFonts w:ascii="Times New Roman" w:hAnsi="Times New Roman" w:cs="Times New Roman"/>
          <w:sz w:val="20"/>
          <w:szCs w:val="20"/>
        </w:rPr>
      </w:pPr>
    </w:p>
    <w:sectPr w:rsidR="00097CEA" w:rsidRPr="0015336C" w:rsidSect="006501FD">
      <w:footerReference w:type="default" r:id="rId8"/>
      <w:pgSz w:w="16838" w:h="11906" w:orient="landscape"/>
      <w:pgMar w:top="1588" w:right="720" w:bottom="1418"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D08" w:rsidRDefault="00AE5D08" w:rsidP="00EA1DA5">
      <w:pPr>
        <w:spacing w:after="0" w:line="240" w:lineRule="auto"/>
      </w:pPr>
      <w:r>
        <w:separator/>
      </w:r>
    </w:p>
  </w:endnote>
  <w:endnote w:type="continuationSeparator" w:id="0">
    <w:p w:rsidR="00AE5D08" w:rsidRDefault="00AE5D08" w:rsidP="00EA1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2B5C" w:rsidRDefault="00FD2B5C">
    <w:pPr>
      <w:pStyle w:val="Stopka"/>
    </w:pPr>
  </w:p>
  <w:p w:rsidR="00CD3F29" w:rsidRPr="001B56AA" w:rsidRDefault="00CD3F29" w:rsidP="001B56AA">
    <w:pPr>
      <w:spacing w:after="0" w:line="240" w:lineRule="auto"/>
      <w:jc w:val="center"/>
      <w:rPr>
        <w:rFonts w:ascii="Times New Roman" w:eastAsia="Times New Roman" w:hAnsi="Times New Roman" w:cs="Times New Roman"/>
        <w:sz w:val="24"/>
        <w:szCs w:val="24"/>
        <w:lang w:eastAsia="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D08" w:rsidRDefault="00AE5D08" w:rsidP="00EA1DA5">
      <w:pPr>
        <w:spacing w:after="0" w:line="240" w:lineRule="auto"/>
      </w:pPr>
      <w:r>
        <w:separator/>
      </w:r>
    </w:p>
  </w:footnote>
  <w:footnote w:type="continuationSeparator" w:id="0">
    <w:p w:rsidR="00AE5D08" w:rsidRDefault="00AE5D08" w:rsidP="00EA1D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E010E"/>
    <w:multiLevelType w:val="hybridMultilevel"/>
    <w:tmpl w:val="C834FF08"/>
    <w:lvl w:ilvl="0" w:tplc="04150017">
      <w:start w:val="1"/>
      <w:numFmt w:val="lowerLetter"/>
      <w:lvlText w:val="%1)"/>
      <w:lvlJc w:val="left"/>
      <w:pPr>
        <w:ind w:left="942" w:hanging="360"/>
      </w:pPr>
    </w:lvl>
    <w:lvl w:ilvl="1" w:tplc="04150019" w:tentative="1">
      <w:start w:val="1"/>
      <w:numFmt w:val="lowerLetter"/>
      <w:lvlText w:val="%2."/>
      <w:lvlJc w:val="left"/>
      <w:pPr>
        <w:ind w:left="1662" w:hanging="360"/>
      </w:pPr>
    </w:lvl>
    <w:lvl w:ilvl="2" w:tplc="0415001B" w:tentative="1">
      <w:start w:val="1"/>
      <w:numFmt w:val="lowerRoman"/>
      <w:lvlText w:val="%3."/>
      <w:lvlJc w:val="right"/>
      <w:pPr>
        <w:ind w:left="2382" w:hanging="180"/>
      </w:pPr>
    </w:lvl>
    <w:lvl w:ilvl="3" w:tplc="0415000F" w:tentative="1">
      <w:start w:val="1"/>
      <w:numFmt w:val="decimal"/>
      <w:lvlText w:val="%4."/>
      <w:lvlJc w:val="left"/>
      <w:pPr>
        <w:ind w:left="3102" w:hanging="360"/>
      </w:pPr>
    </w:lvl>
    <w:lvl w:ilvl="4" w:tplc="04150019" w:tentative="1">
      <w:start w:val="1"/>
      <w:numFmt w:val="lowerLetter"/>
      <w:lvlText w:val="%5."/>
      <w:lvlJc w:val="left"/>
      <w:pPr>
        <w:ind w:left="3822" w:hanging="360"/>
      </w:pPr>
    </w:lvl>
    <w:lvl w:ilvl="5" w:tplc="0415001B" w:tentative="1">
      <w:start w:val="1"/>
      <w:numFmt w:val="lowerRoman"/>
      <w:lvlText w:val="%6."/>
      <w:lvlJc w:val="right"/>
      <w:pPr>
        <w:ind w:left="4542" w:hanging="180"/>
      </w:pPr>
    </w:lvl>
    <w:lvl w:ilvl="6" w:tplc="0415000F" w:tentative="1">
      <w:start w:val="1"/>
      <w:numFmt w:val="decimal"/>
      <w:lvlText w:val="%7."/>
      <w:lvlJc w:val="left"/>
      <w:pPr>
        <w:ind w:left="5262" w:hanging="360"/>
      </w:pPr>
    </w:lvl>
    <w:lvl w:ilvl="7" w:tplc="04150019" w:tentative="1">
      <w:start w:val="1"/>
      <w:numFmt w:val="lowerLetter"/>
      <w:lvlText w:val="%8."/>
      <w:lvlJc w:val="left"/>
      <w:pPr>
        <w:ind w:left="5982" w:hanging="360"/>
      </w:pPr>
    </w:lvl>
    <w:lvl w:ilvl="8" w:tplc="0415001B" w:tentative="1">
      <w:start w:val="1"/>
      <w:numFmt w:val="lowerRoman"/>
      <w:lvlText w:val="%9."/>
      <w:lvlJc w:val="right"/>
      <w:pPr>
        <w:ind w:left="6702" w:hanging="180"/>
      </w:pPr>
    </w:lvl>
  </w:abstractNum>
  <w:abstractNum w:abstractNumId="1" w15:restartNumberingAfterBreak="0">
    <w:nsid w:val="014B4F18"/>
    <w:multiLevelType w:val="multilevel"/>
    <w:tmpl w:val="05D62BE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AF51B0"/>
    <w:multiLevelType w:val="hybridMultilevel"/>
    <w:tmpl w:val="D4A2C24E"/>
    <w:lvl w:ilvl="0" w:tplc="762633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3692DD5"/>
    <w:multiLevelType w:val="hybridMultilevel"/>
    <w:tmpl w:val="A9AA899C"/>
    <w:lvl w:ilvl="0" w:tplc="E5CC5B82">
      <w:start w:val="1"/>
      <w:numFmt w:val="decimal"/>
      <w:lvlText w:val="%1)"/>
      <w:lvlJc w:val="right"/>
      <w:pPr>
        <w:ind w:left="720" w:hanging="360"/>
      </w:pPr>
      <w:rPr>
        <w:rFonts w:ascii="Times New Roman" w:eastAsiaTheme="minorHAnsi"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5546A0"/>
    <w:multiLevelType w:val="multilevel"/>
    <w:tmpl w:val="9A621D8E"/>
    <w:lvl w:ilvl="0">
      <w:start w:val="1"/>
      <w:numFmt w:val="decimal"/>
      <w:lvlText w:val="%1."/>
      <w:lvlJc w:val="left"/>
      <w:pPr>
        <w:ind w:left="360" w:hanging="360"/>
      </w:pPr>
      <w:rPr>
        <w:rFonts w:hint="default"/>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E52211E"/>
    <w:multiLevelType w:val="hybridMultilevel"/>
    <w:tmpl w:val="6BAACEE2"/>
    <w:lvl w:ilvl="0" w:tplc="209EAE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FED1D64"/>
    <w:multiLevelType w:val="multilevel"/>
    <w:tmpl w:val="59E4DC6E"/>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280611F"/>
    <w:multiLevelType w:val="hybridMultilevel"/>
    <w:tmpl w:val="0660D322"/>
    <w:lvl w:ilvl="0" w:tplc="762633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45D7416"/>
    <w:multiLevelType w:val="multilevel"/>
    <w:tmpl w:val="F6E8DA0E"/>
    <w:lvl w:ilvl="0">
      <w:start w:val="1"/>
      <w:numFmt w:val="decimal"/>
      <w:lvlText w:val="%1."/>
      <w:lvlJc w:val="left"/>
      <w:pPr>
        <w:ind w:left="360" w:hanging="360"/>
      </w:pPr>
    </w:lvl>
    <w:lvl w:ilvl="1">
      <w:start w:val="1"/>
      <w:numFmt w:val="decimal"/>
      <w:lvlText w:val="%2)"/>
      <w:lvlJc w:val="left"/>
      <w:pPr>
        <w:ind w:left="792" w:hanging="432"/>
      </w:pPr>
      <w:rPr>
        <w:rFonts w:ascii="Arial" w:hAnsi="Arial" w:cs="Arial" w:hint="default"/>
        <w:b w:val="0"/>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49A0F55"/>
    <w:multiLevelType w:val="multilevel"/>
    <w:tmpl w:val="B40CD0D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5A9236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6D63A21"/>
    <w:multiLevelType w:val="hybridMultilevel"/>
    <w:tmpl w:val="7C0087F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CF175F7"/>
    <w:multiLevelType w:val="multilevel"/>
    <w:tmpl w:val="9D069B5A"/>
    <w:lvl w:ilvl="0">
      <w:start w:val="1"/>
      <w:numFmt w:val="decimal"/>
      <w:lvlText w:val="%1."/>
      <w:lvlJc w:val="left"/>
      <w:pPr>
        <w:ind w:left="360" w:hanging="360"/>
      </w:pPr>
      <w:rPr>
        <w:rFonts w:hint="default"/>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65A0F74"/>
    <w:multiLevelType w:val="multilevel"/>
    <w:tmpl w:val="DB0AB08E"/>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76041E6"/>
    <w:multiLevelType w:val="multilevel"/>
    <w:tmpl w:val="CD640B0E"/>
    <w:lvl w:ilvl="0">
      <w:start w:val="1"/>
      <w:numFmt w:val="decimal"/>
      <w:lvlText w:val="%1)"/>
      <w:lvlJc w:val="right"/>
      <w:pPr>
        <w:ind w:left="360" w:hanging="360"/>
      </w:pPr>
      <w:rPr>
        <w:rFonts w:ascii="Times New Roman" w:eastAsiaTheme="minorHAnsi" w:hAnsi="Times New Roman" w:cs="Times New Roman" w:hint="default"/>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76E665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BE82FF9"/>
    <w:multiLevelType w:val="hybridMultilevel"/>
    <w:tmpl w:val="46408562"/>
    <w:lvl w:ilvl="0" w:tplc="76263364">
      <w:start w:val="1"/>
      <w:numFmt w:val="bullet"/>
      <w:lvlText w:val=""/>
      <w:lvlJc w:val="left"/>
      <w:pPr>
        <w:ind w:left="942" w:hanging="360"/>
      </w:pPr>
      <w:rPr>
        <w:rFonts w:ascii="Symbol" w:hAnsi="Symbol" w:hint="default"/>
      </w:rPr>
    </w:lvl>
    <w:lvl w:ilvl="1" w:tplc="04150003" w:tentative="1">
      <w:start w:val="1"/>
      <w:numFmt w:val="bullet"/>
      <w:lvlText w:val="o"/>
      <w:lvlJc w:val="left"/>
      <w:pPr>
        <w:ind w:left="1662" w:hanging="360"/>
      </w:pPr>
      <w:rPr>
        <w:rFonts w:ascii="Courier New" w:hAnsi="Courier New" w:cs="Courier New" w:hint="default"/>
      </w:rPr>
    </w:lvl>
    <w:lvl w:ilvl="2" w:tplc="04150005" w:tentative="1">
      <w:start w:val="1"/>
      <w:numFmt w:val="bullet"/>
      <w:lvlText w:val=""/>
      <w:lvlJc w:val="left"/>
      <w:pPr>
        <w:ind w:left="2382" w:hanging="360"/>
      </w:pPr>
      <w:rPr>
        <w:rFonts w:ascii="Wingdings" w:hAnsi="Wingdings" w:hint="default"/>
      </w:rPr>
    </w:lvl>
    <w:lvl w:ilvl="3" w:tplc="04150001" w:tentative="1">
      <w:start w:val="1"/>
      <w:numFmt w:val="bullet"/>
      <w:lvlText w:val=""/>
      <w:lvlJc w:val="left"/>
      <w:pPr>
        <w:ind w:left="3102" w:hanging="360"/>
      </w:pPr>
      <w:rPr>
        <w:rFonts w:ascii="Symbol" w:hAnsi="Symbol" w:hint="default"/>
      </w:rPr>
    </w:lvl>
    <w:lvl w:ilvl="4" w:tplc="04150003" w:tentative="1">
      <w:start w:val="1"/>
      <w:numFmt w:val="bullet"/>
      <w:lvlText w:val="o"/>
      <w:lvlJc w:val="left"/>
      <w:pPr>
        <w:ind w:left="3822" w:hanging="360"/>
      </w:pPr>
      <w:rPr>
        <w:rFonts w:ascii="Courier New" w:hAnsi="Courier New" w:cs="Courier New" w:hint="default"/>
      </w:rPr>
    </w:lvl>
    <w:lvl w:ilvl="5" w:tplc="04150005" w:tentative="1">
      <w:start w:val="1"/>
      <w:numFmt w:val="bullet"/>
      <w:lvlText w:val=""/>
      <w:lvlJc w:val="left"/>
      <w:pPr>
        <w:ind w:left="4542" w:hanging="360"/>
      </w:pPr>
      <w:rPr>
        <w:rFonts w:ascii="Wingdings" w:hAnsi="Wingdings" w:hint="default"/>
      </w:rPr>
    </w:lvl>
    <w:lvl w:ilvl="6" w:tplc="04150001" w:tentative="1">
      <w:start w:val="1"/>
      <w:numFmt w:val="bullet"/>
      <w:lvlText w:val=""/>
      <w:lvlJc w:val="left"/>
      <w:pPr>
        <w:ind w:left="5262" w:hanging="360"/>
      </w:pPr>
      <w:rPr>
        <w:rFonts w:ascii="Symbol" w:hAnsi="Symbol" w:hint="default"/>
      </w:rPr>
    </w:lvl>
    <w:lvl w:ilvl="7" w:tplc="04150003" w:tentative="1">
      <w:start w:val="1"/>
      <w:numFmt w:val="bullet"/>
      <w:lvlText w:val="o"/>
      <w:lvlJc w:val="left"/>
      <w:pPr>
        <w:ind w:left="5982" w:hanging="360"/>
      </w:pPr>
      <w:rPr>
        <w:rFonts w:ascii="Courier New" w:hAnsi="Courier New" w:cs="Courier New" w:hint="default"/>
      </w:rPr>
    </w:lvl>
    <w:lvl w:ilvl="8" w:tplc="04150005" w:tentative="1">
      <w:start w:val="1"/>
      <w:numFmt w:val="bullet"/>
      <w:lvlText w:val=""/>
      <w:lvlJc w:val="left"/>
      <w:pPr>
        <w:ind w:left="6702" w:hanging="360"/>
      </w:pPr>
      <w:rPr>
        <w:rFonts w:ascii="Wingdings" w:hAnsi="Wingdings" w:hint="default"/>
      </w:rPr>
    </w:lvl>
  </w:abstractNum>
  <w:abstractNum w:abstractNumId="17" w15:restartNumberingAfterBreak="0">
    <w:nsid w:val="5E064C57"/>
    <w:multiLevelType w:val="hybridMultilevel"/>
    <w:tmpl w:val="C2862BE6"/>
    <w:lvl w:ilvl="0" w:tplc="E5CC5B82">
      <w:start w:val="1"/>
      <w:numFmt w:val="decimal"/>
      <w:lvlText w:val="%1)"/>
      <w:lvlJc w:val="right"/>
      <w:pPr>
        <w:ind w:left="501" w:hanging="360"/>
      </w:pPr>
      <w:rPr>
        <w:rFonts w:ascii="Times New Roman" w:eastAsiaTheme="minorHAns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74A5A19"/>
    <w:multiLevelType w:val="multilevel"/>
    <w:tmpl w:val="59E4DC6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D8F4CF6"/>
    <w:multiLevelType w:val="hybridMultilevel"/>
    <w:tmpl w:val="89924AA6"/>
    <w:lvl w:ilvl="0" w:tplc="04150017">
      <w:start w:val="1"/>
      <w:numFmt w:val="lowerLetter"/>
      <w:lvlText w:val="%1)"/>
      <w:lvlJc w:val="left"/>
      <w:pPr>
        <w:ind w:left="895" w:hanging="360"/>
      </w:pPr>
    </w:lvl>
    <w:lvl w:ilvl="1" w:tplc="04150019" w:tentative="1">
      <w:start w:val="1"/>
      <w:numFmt w:val="lowerLetter"/>
      <w:lvlText w:val="%2."/>
      <w:lvlJc w:val="left"/>
      <w:pPr>
        <w:ind w:left="1615" w:hanging="360"/>
      </w:pPr>
    </w:lvl>
    <w:lvl w:ilvl="2" w:tplc="0415001B" w:tentative="1">
      <w:start w:val="1"/>
      <w:numFmt w:val="lowerRoman"/>
      <w:lvlText w:val="%3."/>
      <w:lvlJc w:val="right"/>
      <w:pPr>
        <w:ind w:left="2335" w:hanging="180"/>
      </w:pPr>
    </w:lvl>
    <w:lvl w:ilvl="3" w:tplc="0415000F" w:tentative="1">
      <w:start w:val="1"/>
      <w:numFmt w:val="decimal"/>
      <w:lvlText w:val="%4."/>
      <w:lvlJc w:val="left"/>
      <w:pPr>
        <w:ind w:left="3055" w:hanging="360"/>
      </w:pPr>
    </w:lvl>
    <w:lvl w:ilvl="4" w:tplc="04150019" w:tentative="1">
      <w:start w:val="1"/>
      <w:numFmt w:val="lowerLetter"/>
      <w:lvlText w:val="%5."/>
      <w:lvlJc w:val="left"/>
      <w:pPr>
        <w:ind w:left="3775" w:hanging="360"/>
      </w:pPr>
    </w:lvl>
    <w:lvl w:ilvl="5" w:tplc="0415001B" w:tentative="1">
      <w:start w:val="1"/>
      <w:numFmt w:val="lowerRoman"/>
      <w:lvlText w:val="%6."/>
      <w:lvlJc w:val="right"/>
      <w:pPr>
        <w:ind w:left="4495" w:hanging="180"/>
      </w:pPr>
    </w:lvl>
    <w:lvl w:ilvl="6" w:tplc="0415000F" w:tentative="1">
      <w:start w:val="1"/>
      <w:numFmt w:val="decimal"/>
      <w:lvlText w:val="%7."/>
      <w:lvlJc w:val="left"/>
      <w:pPr>
        <w:ind w:left="5215" w:hanging="360"/>
      </w:pPr>
    </w:lvl>
    <w:lvl w:ilvl="7" w:tplc="04150019" w:tentative="1">
      <w:start w:val="1"/>
      <w:numFmt w:val="lowerLetter"/>
      <w:lvlText w:val="%8."/>
      <w:lvlJc w:val="left"/>
      <w:pPr>
        <w:ind w:left="5935" w:hanging="360"/>
      </w:pPr>
    </w:lvl>
    <w:lvl w:ilvl="8" w:tplc="0415001B" w:tentative="1">
      <w:start w:val="1"/>
      <w:numFmt w:val="lowerRoman"/>
      <w:lvlText w:val="%9."/>
      <w:lvlJc w:val="right"/>
      <w:pPr>
        <w:ind w:left="6655" w:hanging="180"/>
      </w:pPr>
    </w:lvl>
  </w:abstractNum>
  <w:abstractNum w:abstractNumId="20" w15:restartNumberingAfterBreak="0">
    <w:nsid w:val="734A1E30"/>
    <w:multiLevelType w:val="hybridMultilevel"/>
    <w:tmpl w:val="BCDA73A6"/>
    <w:lvl w:ilvl="0" w:tplc="E5CC5B82">
      <w:start w:val="1"/>
      <w:numFmt w:val="decimal"/>
      <w:lvlText w:val="%1)"/>
      <w:lvlJc w:val="right"/>
      <w:pPr>
        <w:ind w:left="720" w:hanging="360"/>
      </w:pPr>
      <w:rPr>
        <w:rFonts w:ascii="Times New Roman" w:eastAsiaTheme="minorHAns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487F19"/>
    <w:multiLevelType w:val="hybridMultilevel"/>
    <w:tmpl w:val="07F8398A"/>
    <w:lvl w:ilvl="0" w:tplc="E5CC5B82">
      <w:start w:val="1"/>
      <w:numFmt w:val="decimal"/>
      <w:lvlText w:val="%1)"/>
      <w:lvlJc w:val="right"/>
      <w:pPr>
        <w:ind w:left="720" w:hanging="360"/>
      </w:pPr>
      <w:rPr>
        <w:rFonts w:ascii="Times New Roman" w:eastAsiaTheme="minorHAnsi"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4"/>
  </w:num>
  <w:num w:numId="3">
    <w:abstractNumId w:val="15"/>
  </w:num>
  <w:num w:numId="4">
    <w:abstractNumId w:val="5"/>
  </w:num>
  <w:num w:numId="5">
    <w:abstractNumId w:val="14"/>
  </w:num>
  <w:num w:numId="6">
    <w:abstractNumId w:val="20"/>
  </w:num>
  <w:num w:numId="7">
    <w:abstractNumId w:val="7"/>
  </w:num>
  <w:num w:numId="8">
    <w:abstractNumId w:val="3"/>
  </w:num>
  <w:num w:numId="9">
    <w:abstractNumId w:val="21"/>
  </w:num>
  <w:num w:numId="10">
    <w:abstractNumId w:val="11"/>
  </w:num>
  <w:num w:numId="11">
    <w:abstractNumId w:val="17"/>
  </w:num>
  <w:num w:numId="12">
    <w:abstractNumId w:val="19"/>
  </w:num>
  <w:num w:numId="13">
    <w:abstractNumId w:val="2"/>
  </w:num>
  <w:num w:numId="14">
    <w:abstractNumId w:val="0"/>
  </w:num>
  <w:num w:numId="15">
    <w:abstractNumId w:val="16"/>
  </w:num>
  <w:num w:numId="16">
    <w:abstractNumId w:val="10"/>
  </w:num>
  <w:num w:numId="17">
    <w:abstractNumId w:val="18"/>
  </w:num>
  <w:num w:numId="18">
    <w:abstractNumId w:val="6"/>
  </w:num>
  <w:num w:numId="19">
    <w:abstractNumId w:val="8"/>
  </w:num>
  <w:num w:numId="20">
    <w:abstractNumId w:val="13"/>
  </w:num>
  <w:num w:numId="21">
    <w:abstractNumId w:val="1"/>
  </w:num>
  <w:num w:numId="22">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CEA"/>
    <w:rsid w:val="0000774E"/>
    <w:rsid w:val="00016E7D"/>
    <w:rsid w:val="0001743B"/>
    <w:rsid w:val="0002328C"/>
    <w:rsid w:val="00026323"/>
    <w:rsid w:val="0004348E"/>
    <w:rsid w:val="0004522F"/>
    <w:rsid w:val="000754AD"/>
    <w:rsid w:val="0008481F"/>
    <w:rsid w:val="00090E05"/>
    <w:rsid w:val="00097CEA"/>
    <w:rsid w:val="000A3B50"/>
    <w:rsid w:val="000A4C13"/>
    <w:rsid w:val="000B54B9"/>
    <w:rsid w:val="000C26A5"/>
    <w:rsid w:val="00101A8D"/>
    <w:rsid w:val="00102D95"/>
    <w:rsid w:val="001122F3"/>
    <w:rsid w:val="00133F4C"/>
    <w:rsid w:val="00151EB2"/>
    <w:rsid w:val="0015336C"/>
    <w:rsid w:val="00171A23"/>
    <w:rsid w:val="001807E9"/>
    <w:rsid w:val="00184FCE"/>
    <w:rsid w:val="001B1B22"/>
    <w:rsid w:val="001B56AA"/>
    <w:rsid w:val="001D2025"/>
    <w:rsid w:val="001F2F3D"/>
    <w:rsid w:val="001F319F"/>
    <w:rsid w:val="002026CD"/>
    <w:rsid w:val="00211ACB"/>
    <w:rsid w:val="00230B01"/>
    <w:rsid w:val="00242455"/>
    <w:rsid w:val="00282981"/>
    <w:rsid w:val="00291924"/>
    <w:rsid w:val="002A4ECE"/>
    <w:rsid w:val="002B3FE9"/>
    <w:rsid w:val="002C6734"/>
    <w:rsid w:val="002D5B09"/>
    <w:rsid w:val="002E31C9"/>
    <w:rsid w:val="002F15EF"/>
    <w:rsid w:val="00320E06"/>
    <w:rsid w:val="00333F0F"/>
    <w:rsid w:val="00344669"/>
    <w:rsid w:val="00367687"/>
    <w:rsid w:val="00392D9A"/>
    <w:rsid w:val="003A3258"/>
    <w:rsid w:val="003C53D3"/>
    <w:rsid w:val="003D7CCF"/>
    <w:rsid w:val="003E4C68"/>
    <w:rsid w:val="004003FF"/>
    <w:rsid w:val="00403769"/>
    <w:rsid w:val="00440404"/>
    <w:rsid w:val="004605DF"/>
    <w:rsid w:val="004736A6"/>
    <w:rsid w:val="00475A61"/>
    <w:rsid w:val="004858FC"/>
    <w:rsid w:val="004E554D"/>
    <w:rsid w:val="00502DAD"/>
    <w:rsid w:val="00511432"/>
    <w:rsid w:val="0052217A"/>
    <w:rsid w:val="00553F95"/>
    <w:rsid w:val="0057219F"/>
    <w:rsid w:val="005733DB"/>
    <w:rsid w:val="00587EC9"/>
    <w:rsid w:val="005E2AE0"/>
    <w:rsid w:val="00604FC6"/>
    <w:rsid w:val="006133BA"/>
    <w:rsid w:val="0061367F"/>
    <w:rsid w:val="0061787D"/>
    <w:rsid w:val="00626BA2"/>
    <w:rsid w:val="006319DB"/>
    <w:rsid w:val="00642468"/>
    <w:rsid w:val="006501FD"/>
    <w:rsid w:val="0066548C"/>
    <w:rsid w:val="006778BC"/>
    <w:rsid w:val="006977EB"/>
    <w:rsid w:val="006A08EF"/>
    <w:rsid w:val="006B21DC"/>
    <w:rsid w:val="006C3862"/>
    <w:rsid w:val="006F4E84"/>
    <w:rsid w:val="00776914"/>
    <w:rsid w:val="007A41E4"/>
    <w:rsid w:val="007B7E5B"/>
    <w:rsid w:val="007C7350"/>
    <w:rsid w:val="00804B1A"/>
    <w:rsid w:val="008137BC"/>
    <w:rsid w:val="0083577B"/>
    <w:rsid w:val="00847A8D"/>
    <w:rsid w:val="008628A9"/>
    <w:rsid w:val="00863FA2"/>
    <w:rsid w:val="00874EB3"/>
    <w:rsid w:val="008C7CAA"/>
    <w:rsid w:val="008D3D48"/>
    <w:rsid w:val="008E3C9B"/>
    <w:rsid w:val="009032E5"/>
    <w:rsid w:val="00906740"/>
    <w:rsid w:val="00921383"/>
    <w:rsid w:val="0092492F"/>
    <w:rsid w:val="009434BE"/>
    <w:rsid w:val="009440F9"/>
    <w:rsid w:val="009520EF"/>
    <w:rsid w:val="00966741"/>
    <w:rsid w:val="009815E4"/>
    <w:rsid w:val="00986B20"/>
    <w:rsid w:val="00990321"/>
    <w:rsid w:val="009A2A0C"/>
    <w:rsid w:val="009A4CE1"/>
    <w:rsid w:val="009A5CA2"/>
    <w:rsid w:val="009B6E4C"/>
    <w:rsid w:val="009C3E5B"/>
    <w:rsid w:val="00A36C05"/>
    <w:rsid w:val="00A45067"/>
    <w:rsid w:val="00A50EF9"/>
    <w:rsid w:val="00A704EC"/>
    <w:rsid w:val="00A9435D"/>
    <w:rsid w:val="00AB0E0C"/>
    <w:rsid w:val="00AC0A47"/>
    <w:rsid w:val="00AC1C08"/>
    <w:rsid w:val="00AE5D08"/>
    <w:rsid w:val="00AF268E"/>
    <w:rsid w:val="00AF2FCC"/>
    <w:rsid w:val="00B07645"/>
    <w:rsid w:val="00B5090C"/>
    <w:rsid w:val="00B74261"/>
    <w:rsid w:val="00B750CC"/>
    <w:rsid w:val="00B8422E"/>
    <w:rsid w:val="00B967BB"/>
    <w:rsid w:val="00BC029A"/>
    <w:rsid w:val="00BD08EF"/>
    <w:rsid w:val="00BD7F6C"/>
    <w:rsid w:val="00C02F73"/>
    <w:rsid w:val="00C138A1"/>
    <w:rsid w:val="00C166A1"/>
    <w:rsid w:val="00C2669C"/>
    <w:rsid w:val="00C32310"/>
    <w:rsid w:val="00C45D55"/>
    <w:rsid w:val="00C53B9F"/>
    <w:rsid w:val="00C63FF0"/>
    <w:rsid w:val="00C64FB5"/>
    <w:rsid w:val="00C76D55"/>
    <w:rsid w:val="00C85CE2"/>
    <w:rsid w:val="00C876D4"/>
    <w:rsid w:val="00CA1D97"/>
    <w:rsid w:val="00CB413C"/>
    <w:rsid w:val="00CD3F29"/>
    <w:rsid w:val="00CD5BB3"/>
    <w:rsid w:val="00D11E58"/>
    <w:rsid w:val="00D17380"/>
    <w:rsid w:val="00D24802"/>
    <w:rsid w:val="00D40121"/>
    <w:rsid w:val="00D41DF5"/>
    <w:rsid w:val="00D56B8C"/>
    <w:rsid w:val="00D831D4"/>
    <w:rsid w:val="00D90491"/>
    <w:rsid w:val="00DA42F4"/>
    <w:rsid w:val="00DC135D"/>
    <w:rsid w:val="00DE6C55"/>
    <w:rsid w:val="00E05816"/>
    <w:rsid w:val="00E21710"/>
    <w:rsid w:val="00E334B6"/>
    <w:rsid w:val="00E370B0"/>
    <w:rsid w:val="00E40EA2"/>
    <w:rsid w:val="00E54496"/>
    <w:rsid w:val="00E70753"/>
    <w:rsid w:val="00EA1DA5"/>
    <w:rsid w:val="00EB75DF"/>
    <w:rsid w:val="00EC6693"/>
    <w:rsid w:val="00EF4B76"/>
    <w:rsid w:val="00EF71D4"/>
    <w:rsid w:val="00F20A3A"/>
    <w:rsid w:val="00F33D11"/>
    <w:rsid w:val="00F37C14"/>
    <w:rsid w:val="00F438F6"/>
    <w:rsid w:val="00F45ED6"/>
    <w:rsid w:val="00F57FAD"/>
    <w:rsid w:val="00F71E5E"/>
    <w:rsid w:val="00F729FE"/>
    <w:rsid w:val="00F866BC"/>
    <w:rsid w:val="00FA0578"/>
    <w:rsid w:val="00FA1D99"/>
    <w:rsid w:val="00FD18A1"/>
    <w:rsid w:val="00FD2B5C"/>
    <w:rsid w:val="00FE4F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C74BD1EA-D505-4FEC-8A02-3217923F6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097C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097CEA"/>
    <w:pPr>
      <w:ind w:left="720"/>
      <w:contextualSpacing/>
    </w:pPr>
  </w:style>
  <w:style w:type="paragraph" w:styleId="Tekstdymka">
    <w:name w:val="Balloon Text"/>
    <w:basedOn w:val="Normalny"/>
    <w:link w:val="TekstdymkaZnak"/>
    <w:uiPriority w:val="99"/>
    <w:semiHidden/>
    <w:unhideWhenUsed/>
    <w:rsid w:val="002F15E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F15EF"/>
    <w:rPr>
      <w:rFonts w:ascii="Tahoma" w:hAnsi="Tahoma" w:cs="Tahoma"/>
      <w:sz w:val="16"/>
      <w:szCs w:val="16"/>
    </w:rPr>
  </w:style>
  <w:style w:type="paragraph" w:styleId="Nagwek">
    <w:name w:val="header"/>
    <w:basedOn w:val="Normalny"/>
    <w:link w:val="NagwekZnak"/>
    <w:uiPriority w:val="99"/>
    <w:unhideWhenUsed/>
    <w:rsid w:val="00EA1D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A1DA5"/>
  </w:style>
  <w:style w:type="paragraph" w:styleId="Stopka">
    <w:name w:val="footer"/>
    <w:basedOn w:val="Normalny"/>
    <w:link w:val="StopkaZnak"/>
    <w:uiPriority w:val="99"/>
    <w:unhideWhenUsed/>
    <w:rsid w:val="00EA1D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1DA5"/>
  </w:style>
  <w:style w:type="paragraph" w:styleId="Bezodstpw">
    <w:name w:val="No Spacing"/>
    <w:basedOn w:val="Normalny"/>
    <w:uiPriority w:val="1"/>
    <w:qFormat/>
    <w:rsid w:val="00090E05"/>
    <w:pPr>
      <w:autoSpaceDE w:val="0"/>
      <w:autoSpaceDN w:val="0"/>
      <w:adjustRightInd w:val="0"/>
      <w:spacing w:before="60" w:after="0" w:line="240" w:lineRule="auto"/>
      <w:jc w:val="both"/>
    </w:pPr>
    <w:rPr>
      <w:rFonts w:ascii="Times New Roman" w:eastAsia="Times New Roman" w:hAnsi="Times New Roman" w:cs="Times New Roman"/>
      <w:sz w:val="20"/>
      <w:szCs w:val="20"/>
      <w:lang w:val="en-GB" w:eastAsia="pl-PL"/>
    </w:rPr>
  </w:style>
  <w:style w:type="table" w:styleId="Jasnecieniowanie">
    <w:name w:val="Light Shading"/>
    <w:basedOn w:val="Standardowy"/>
    <w:uiPriority w:val="60"/>
    <w:rsid w:val="00090E05"/>
    <w:pPr>
      <w:spacing w:after="0" w:line="240" w:lineRule="auto"/>
    </w:pPr>
    <w:rPr>
      <w:rFonts w:ascii="Calibri" w:eastAsia="Calibri" w:hAnsi="Calibri" w:cs="Times New Roman"/>
      <w:color w:val="000000" w:themeColor="text1" w:themeShade="BF"/>
      <w:lang w:eastAsia="pl-PL"/>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Odwoaniedokomentarza">
    <w:name w:val="annotation reference"/>
    <w:basedOn w:val="Domylnaczcionkaakapitu"/>
    <w:uiPriority w:val="99"/>
    <w:semiHidden/>
    <w:unhideWhenUsed/>
    <w:rsid w:val="009A2A0C"/>
    <w:rPr>
      <w:sz w:val="16"/>
      <w:szCs w:val="16"/>
    </w:rPr>
  </w:style>
  <w:style w:type="paragraph" w:styleId="Tekstkomentarza">
    <w:name w:val="annotation text"/>
    <w:basedOn w:val="Normalny"/>
    <w:link w:val="TekstkomentarzaZnak"/>
    <w:uiPriority w:val="99"/>
    <w:semiHidden/>
    <w:unhideWhenUsed/>
    <w:rsid w:val="009A2A0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A2A0C"/>
    <w:rPr>
      <w:sz w:val="20"/>
      <w:szCs w:val="20"/>
    </w:rPr>
  </w:style>
  <w:style w:type="paragraph" w:styleId="Tematkomentarza">
    <w:name w:val="annotation subject"/>
    <w:basedOn w:val="Tekstkomentarza"/>
    <w:next w:val="Tekstkomentarza"/>
    <w:link w:val="TematkomentarzaZnak"/>
    <w:uiPriority w:val="99"/>
    <w:semiHidden/>
    <w:unhideWhenUsed/>
    <w:rsid w:val="009A2A0C"/>
    <w:rPr>
      <w:b/>
      <w:bCs/>
    </w:rPr>
  </w:style>
  <w:style w:type="character" w:customStyle="1" w:styleId="TematkomentarzaZnak">
    <w:name w:val="Temat komentarza Znak"/>
    <w:basedOn w:val="TekstkomentarzaZnak"/>
    <w:link w:val="Tematkomentarza"/>
    <w:uiPriority w:val="99"/>
    <w:semiHidden/>
    <w:rsid w:val="009A2A0C"/>
    <w:rPr>
      <w:b/>
      <w:bCs/>
      <w:sz w:val="20"/>
      <w:szCs w:val="20"/>
    </w:rPr>
  </w:style>
  <w:style w:type="paragraph" w:styleId="Tekstpodstawowy">
    <w:name w:val="Body Text"/>
    <w:aliases w:val="Body Text Char1,Body Text Char Char,Body Text Char1 Char Char,Body Text Char Char Char Char,Body Text Char1 Char Char Char Char,Body Text Char Char Char Char Char Char,Body Text Char1 Char Char Char Char Char Char"/>
    <w:basedOn w:val="Normalny"/>
    <w:link w:val="TekstpodstawowyZnak"/>
    <w:rsid w:val="00C85CE2"/>
    <w:pPr>
      <w:spacing w:after="0" w:line="240" w:lineRule="auto"/>
      <w:jc w:val="both"/>
    </w:pPr>
    <w:rPr>
      <w:rFonts w:ascii="Times New Roman" w:eastAsia="Times New Roman" w:hAnsi="Times New Roman" w:cs="Times New Roman"/>
      <w:sz w:val="24"/>
      <w:szCs w:val="24"/>
      <w:lang w:val="en-US" w:eastAsia="pl-PL"/>
    </w:rPr>
  </w:style>
  <w:style w:type="character" w:customStyle="1" w:styleId="TekstpodstawowyZnak">
    <w:name w:val="Tekst podstawowy Znak"/>
    <w:aliases w:val="Body Text Char1 Znak,Body Text Char Char Znak,Body Text Char1 Char Char Znak,Body Text Char Char Char Char Znak,Body Text Char1 Char Char Char Char Znak,Body Text Char Char Char Char Char Char Znak"/>
    <w:basedOn w:val="Domylnaczcionkaakapitu"/>
    <w:link w:val="Tekstpodstawowy"/>
    <w:rsid w:val="00C85CE2"/>
    <w:rPr>
      <w:rFonts w:ascii="Times New Roman" w:eastAsia="Times New Roman" w:hAnsi="Times New Roman" w:cs="Times New Roman"/>
      <w:sz w:val="24"/>
      <w:szCs w:val="24"/>
      <w:lang w:val="en-US"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336348">
      <w:bodyDiv w:val="1"/>
      <w:marLeft w:val="0"/>
      <w:marRight w:val="0"/>
      <w:marTop w:val="0"/>
      <w:marBottom w:val="0"/>
      <w:divBdr>
        <w:top w:val="none" w:sz="0" w:space="0" w:color="auto"/>
        <w:left w:val="none" w:sz="0" w:space="0" w:color="auto"/>
        <w:bottom w:val="none" w:sz="0" w:space="0" w:color="auto"/>
        <w:right w:val="none" w:sz="0" w:space="0" w:color="auto"/>
      </w:divBdr>
    </w:div>
    <w:div w:id="296183663">
      <w:bodyDiv w:val="1"/>
      <w:marLeft w:val="0"/>
      <w:marRight w:val="0"/>
      <w:marTop w:val="0"/>
      <w:marBottom w:val="0"/>
      <w:divBdr>
        <w:top w:val="none" w:sz="0" w:space="0" w:color="auto"/>
        <w:left w:val="none" w:sz="0" w:space="0" w:color="auto"/>
        <w:bottom w:val="none" w:sz="0" w:space="0" w:color="auto"/>
        <w:right w:val="none" w:sz="0" w:space="0" w:color="auto"/>
      </w:divBdr>
      <w:divsChild>
        <w:div w:id="1387529635">
          <w:marLeft w:val="0"/>
          <w:marRight w:val="0"/>
          <w:marTop w:val="0"/>
          <w:marBottom w:val="0"/>
          <w:divBdr>
            <w:top w:val="none" w:sz="0" w:space="0" w:color="auto"/>
            <w:left w:val="none" w:sz="0" w:space="0" w:color="auto"/>
            <w:bottom w:val="none" w:sz="0" w:space="0" w:color="auto"/>
            <w:right w:val="none" w:sz="0" w:space="0" w:color="auto"/>
          </w:divBdr>
        </w:div>
        <w:div w:id="1485853389">
          <w:marLeft w:val="0"/>
          <w:marRight w:val="0"/>
          <w:marTop w:val="0"/>
          <w:marBottom w:val="0"/>
          <w:divBdr>
            <w:top w:val="none" w:sz="0" w:space="0" w:color="auto"/>
            <w:left w:val="none" w:sz="0" w:space="0" w:color="auto"/>
            <w:bottom w:val="none" w:sz="0" w:space="0" w:color="auto"/>
            <w:right w:val="none" w:sz="0" w:space="0" w:color="auto"/>
          </w:divBdr>
        </w:div>
        <w:div w:id="873470666">
          <w:marLeft w:val="0"/>
          <w:marRight w:val="0"/>
          <w:marTop w:val="0"/>
          <w:marBottom w:val="0"/>
          <w:divBdr>
            <w:top w:val="none" w:sz="0" w:space="0" w:color="auto"/>
            <w:left w:val="none" w:sz="0" w:space="0" w:color="auto"/>
            <w:bottom w:val="none" w:sz="0" w:space="0" w:color="auto"/>
            <w:right w:val="none" w:sz="0" w:space="0" w:color="auto"/>
          </w:divBdr>
        </w:div>
        <w:div w:id="1507599100">
          <w:marLeft w:val="0"/>
          <w:marRight w:val="0"/>
          <w:marTop w:val="0"/>
          <w:marBottom w:val="0"/>
          <w:divBdr>
            <w:top w:val="none" w:sz="0" w:space="0" w:color="auto"/>
            <w:left w:val="none" w:sz="0" w:space="0" w:color="auto"/>
            <w:bottom w:val="none" w:sz="0" w:space="0" w:color="auto"/>
            <w:right w:val="none" w:sz="0" w:space="0" w:color="auto"/>
          </w:divBdr>
        </w:div>
        <w:div w:id="686179365">
          <w:marLeft w:val="0"/>
          <w:marRight w:val="0"/>
          <w:marTop w:val="0"/>
          <w:marBottom w:val="0"/>
          <w:divBdr>
            <w:top w:val="none" w:sz="0" w:space="0" w:color="auto"/>
            <w:left w:val="none" w:sz="0" w:space="0" w:color="auto"/>
            <w:bottom w:val="none" w:sz="0" w:space="0" w:color="auto"/>
            <w:right w:val="none" w:sz="0" w:space="0" w:color="auto"/>
          </w:divBdr>
        </w:div>
        <w:div w:id="1530490156">
          <w:marLeft w:val="0"/>
          <w:marRight w:val="0"/>
          <w:marTop w:val="0"/>
          <w:marBottom w:val="0"/>
          <w:divBdr>
            <w:top w:val="none" w:sz="0" w:space="0" w:color="auto"/>
            <w:left w:val="none" w:sz="0" w:space="0" w:color="auto"/>
            <w:bottom w:val="none" w:sz="0" w:space="0" w:color="auto"/>
            <w:right w:val="none" w:sz="0" w:space="0" w:color="auto"/>
          </w:divBdr>
        </w:div>
        <w:div w:id="1638299960">
          <w:marLeft w:val="0"/>
          <w:marRight w:val="0"/>
          <w:marTop w:val="0"/>
          <w:marBottom w:val="0"/>
          <w:divBdr>
            <w:top w:val="none" w:sz="0" w:space="0" w:color="auto"/>
            <w:left w:val="none" w:sz="0" w:space="0" w:color="auto"/>
            <w:bottom w:val="none" w:sz="0" w:space="0" w:color="auto"/>
            <w:right w:val="none" w:sz="0" w:space="0" w:color="auto"/>
          </w:divBdr>
        </w:div>
      </w:divsChild>
    </w:div>
    <w:div w:id="1836258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8DA90-797F-4631-B56C-FA5928237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1406</Words>
  <Characters>8442</Characters>
  <DocSecurity>0</DocSecurity>
  <Lines>70</Lines>
  <Paragraphs>19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2016-07-05T10:53:00Z</cp:lastPrinted>
  <dcterms:created xsi:type="dcterms:W3CDTF">2018-04-20T09:06:00Z</dcterms:created>
  <dcterms:modified xsi:type="dcterms:W3CDTF">2018-04-20T09:09:00Z</dcterms:modified>
</cp:coreProperties>
</file>